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83031" w14:paraId="73BD09FE" w14:textId="77777777">
      <w:pPr>
        <w:pStyle w:val="Title"/>
      </w:pPr>
      <w:r>
        <w:t>Before the</w:t>
      </w:r>
    </w:p>
    <w:p w:rsidR="00A83031" w14:paraId="36353D33" w14:textId="77777777">
      <w:pPr>
        <w:jc w:val="center"/>
        <w:outlineLvl w:val="0"/>
        <w:rPr>
          <w:b/>
        </w:rPr>
      </w:pPr>
      <w:r>
        <w:rPr>
          <w:b/>
        </w:rPr>
        <w:t>Federal Communications Commission</w:t>
      </w:r>
    </w:p>
    <w:p w:rsidR="00A83031" w14:paraId="3379A4F8" w14:textId="77777777">
      <w:pPr>
        <w:jc w:val="center"/>
        <w:outlineLvl w:val="0"/>
        <w:rPr>
          <w:b/>
        </w:rPr>
      </w:pPr>
      <w:r>
        <w:rPr>
          <w:b/>
        </w:rPr>
        <w:t>Washington, D.C. 20554</w:t>
      </w:r>
    </w:p>
    <w:p w:rsidR="00A83031" w14:paraId="5CBA96F5" w14:textId="77777777">
      <w:pPr>
        <w:tabs>
          <w:tab w:val="left" w:pos="-720"/>
        </w:tabs>
        <w:suppressAutoHyphens/>
        <w:spacing w:line="227" w:lineRule="auto"/>
        <w:rPr>
          <w:spacing w:val="-2"/>
        </w:rPr>
      </w:pPr>
    </w:p>
    <w:tbl>
      <w:tblPr>
        <w:tblW w:w="9666" w:type="dxa"/>
        <w:tblLayout w:type="fixed"/>
        <w:tblLook w:val="0000"/>
      </w:tblPr>
      <w:tblGrid>
        <w:gridCol w:w="4742"/>
        <w:gridCol w:w="636"/>
        <w:gridCol w:w="4288"/>
      </w:tblGrid>
      <w:tr w14:paraId="432AC3B2" w14:textId="77777777" w:rsidTr="00A83031">
        <w:tblPrEx>
          <w:tblW w:w="9666" w:type="dxa"/>
          <w:tblLayout w:type="fixed"/>
          <w:tblLook w:val="0000"/>
        </w:tblPrEx>
        <w:trPr>
          <w:trHeight w:val="1593"/>
        </w:trPr>
        <w:tc>
          <w:tcPr>
            <w:tcW w:w="4742" w:type="dxa"/>
          </w:tcPr>
          <w:p w:rsidR="00A83031" w14:paraId="7D3E1F2D" w14:textId="77777777">
            <w:pPr>
              <w:tabs>
                <w:tab w:val="center" w:pos="4680"/>
              </w:tabs>
              <w:suppressAutoHyphens/>
              <w:rPr>
                <w:spacing w:val="-2"/>
              </w:rPr>
            </w:pPr>
            <w:r>
              <w:rPr>
                <w:spacing w:val="-2"/>
              </w:rPr>
              <w:t>In the Matter of</w:t>
            </w:r>
          </w:p>
          <w:p w:rsidR="00A83031" w14:paraId="533EE9F2" w14:textId="77777777">
            <w:pPr>
              <w:tabs>
                <w:tab w:val="center" w:pos="4680"/>
              </w:tabs>
              <w:suppressAutoHyphens/>
              <w:rPr>
                <w:spacing w:val="-2"/>
              </w:rPr>
            </w:pPr>
          </w:p>
          <w:p w:rsidR="00A83031" w:rsidP="00E67838" w14:paraId="2FA1D8A2" w14:textId="77777777">
            <w:pPr>
              <w:tabs>
                <w:tab w:val="center" w:pos="4680"/>
              </w:tabs>
              <w:suppressAutoHyphens/>
            </w:pPr>
            <w:r>
              <w:rPr>
                <w:spacing w:val="-2"/>
              </w:rPr>
              <w:t>Review of the Commission’s Rules Governing the 896-901/935-940 MHz Band</w:t>
            </w:r>
          </w:p>
          <w:p w:rsidR="00A83031" w:rsidP="00A83031" w14:paraId="6F009205" w14:textId="77777777">
            <w:pPr>
              <w:jc w:val="left"/>
              <w:rPr>
                <w:spacing w:val="-2"/>
              </w:rPr>
            </w:pPr>
          </w:p>
          <w:p w:rsidR="00CE3252" w:rsidP="00A83031" w14:paraId="03EEBB7D" w14:textId="77777777">
            <w:pPr>
              <w:jc w:val="left"/>
            </w:pPr>
            <w:r>
              <w:rPr>
                <w:spacing w:val="-2"/>
              </w:rPr>
              <w:t>pdvWireless</w:t>
            </w:r>
            <w:r>
              <w:rPr>
                <w:spacing w:val="-2"/>
              </w:rPr>
              <w:t xml:space="preserve">, Inc. d/b/a Anterix, </w:t>
            </w:r>
            <w:r>
              <w:rPr>
                <w:spacing w:val="-2"/>
              </w:rPr>
              <w:t>Request for Modification</w:t>
            </w:r>
            <w:r>
              <w:rPr>
                <w:spacing w:val="-2"/>
              </w:rPr>
              <w:t xml:space="preserve"> of </w:t>
            </w:r>
            <w:r w:rsidR="00A93B8D">
              <w:rPr>
                <w:spacing w:val="-2"/>
              </w:rPr>
              <w:t xml:space="preserve">900 MHz </w:t>
            </w:r>
            <w:r>
              <w:rPr>
                <w:spacing w:val="-2"/>
              </w:rPr>
              <w:t xml:space="preserve">Temporary Filing Freeze </w:t>
            </w:r>
          </w:p>
        </w:tc>
        <w:tc>
          <w:tcPr>
            <w:tcW w:w="636" w:type="dxa"/>
          </w:tcPr>
          <w:p w:rsidR="00A83031" w14:paraId="789B4CA6" w14:textId="77777777">
            <w:pPr>
              <w:tabs>
                <w:tab w:val="center" w:pos="4680"/>
              </w:tabs>
              <w:suppressAutoHyphens/>
              <w:rPr>
                <w:b/>
                <w:spacing w:val="-2"/>
              </w:rPr>
            </w:pPr>
            <w:r>
              <w:rPr>
                <w:b/>
                <w:spacing w:val="-2"/>
              </w:rPr>
              <w:t>)</w:t>
            </w:r>
          </w:p>
          <w:p w:rsidR="00A83031" w14:paraId="78D87CE1" w14:textId="77777777">
            <w:pPr>
              <w:tabs>
                <w:tab w:val="center" w:pos="4680"/>
              </w:tabs>
              <w:suppressAutoHyphens/>
              <w:rPr>
                <w:b/>
                <w:spacing w:val="-2"/>
              </w:rPr>
            </w:pPr>
            <w:r>
              <w:rPr>
                <w:b/>
                <w:spacing w:val="-2"/>
              </w:rPr>
              <w:t>)</w:t>
            </w:r>
          </w:p>
          <w:p w:rsidR="00A83031" w14:paraId="243BB841" w14:textId="77777777">
            <w:pPr>
              <w:tabs>
                <w:tab w:val="center" w:pos="4680"/>
              </w:tabs>
              <w:suppressAutoHyphens/>
              <w:rPr>
                <w:b/>
                <w:spacing w:val="-2"/>
              </w:rPr>
            </w:pPr>
            <w:r>
              <w:rPr>
                <w:b/>
                <w:spacing w:val="-2"/>
              </w:rPr>
              <w:t>)</w:t>
            </w:r>
          </w:p>
          <w:p w:rsidR="00A83031" w14:paraId="22185A79" w14:textId="77777777">
            <w:pPr>
              <w:tabs>
                <w:tab w:val="center" w:pos="4680"/>
              </w:tabs>
              <w:suppressAutoHyphens/>
              <w:rPr>
                <w:b/>
                <w:spacing w:val="-2"/>
              </w:rPr>
            </w:pPr>
            <w:r>
              <w:rPr>
                <w:b/>
                <w:spacing w:val="-2"/>
              </w:rPr>
              <w:t>)</w:t>
            </w:r>
          </w:p>
          <w:p w:rsidR="00A83031" w14:paraId="1B53AB07" w14:textId="77777777">
            <w:pPr>
              <w:tabs>
                <w:tab w:val="center" w:pos="4680"/>
              </w:tabs>
              <w:suppressAutoHyphens/>
              <w:rPr>
                <w:b/>
                <w:spacing w:val="-2"/>
              </w:rPr>
            </w:pPr>
            <w:r>
              <w:rPr>
                <w:b/>
                <w:spacing w:val="-2"/>
              </w:rPr>
              <w:t>)</w:t>
            </w:r>
          </w:p>
          <w:p w:rsidR="00A83031" w14:paraId="73D4E190" w14:textId="77777777">
            <w:pPr>
              <w:tabs>
                <w:tab w:val="center" w:pos="4680"/>
              </w:tabs>
              <w:suppressAutoHyphens/>
              <w:rPr>
                <w:b/>
                <w:spacing w:val="-2"/>
              </w:rPr>
            </w:pPr>
            <w:r>
              <w:rPr>
                <w:b/>
                <w:spacing w:val="-2"/>
              </w:rPr>
              <w:t>)</w:t>
            </w:r>
          </w:p>
          <w:p w:rsidR="00CE3252" w14:paraId="48DE5017" w14:textId="77777777">
            <w:pPr>
              <w:tabs>
                <w:tab w:val="center" w:pos="4680"/>
              </w:tabs>
              <w:suppressAutoHyphens/>
              <w:rPr>
                <w:b/>
                <w:spacing w:val="-2"/>
              </w:rPr>
            </w:pPr>
            <w:r>
              <w:rPr>
                <w:b/>
                <w:spacing w:val="-2"/>
              </w:rPr>
              <w:t>)</w:t>
            </w:r>
          </w:p>
          <w:p w:rsidR="00CE3252" w:rsidRPr="00816FF4" w14:paraId="13B36916" w14:textId="77777777">
            <w:pPr>
              <w:tabs>
                <w:tab w:val="center" w:pos="4680"/>
              </w:tabs>
              <w:suppressAutoHyphens/>
              <w:rPr>
                <w:b/>
                <w:spacing w:val="-2"/>
              </w:rPr>
            </w:pPr>
          </w:p>
        </w:tc>
        <w:tc>
          <w:tcPr>
            <w:tcW w:w="4288" w:type="dxa"/>
          </w:tcPr>
          <w:p w:rsidR="00A83031" w14:paraId="64D32597" w14:textId="77777777">
            <w:pPr>
              <w:tabs>
                <w:tab w:val="center" w:pos="4680"/>
              </w:tabs>
              <w:suppressAutoHyphens/>
              <w:rPr>
                <w:spacing w:val="-2"/>
              </w:rPr>
            </w:pPr>
          </w:p>
          <w:p w:rsidR="00A83031" w14:paraId="1355FF54" w14:textId="77777777">
            <w:pPr>
              <w:tabs>
                <w:tab w:val="center" w:pos="4680"/>
              </w:tabs>
              <w:suppressAutoHyphens/>
              <w:rPr>
                <w:spacing w:val="-2"/>
              </w:rPr>
            </w:pPr>
          </w:p>
          <w:p w:rsidR="0072028D" w:rsidP="0072028D" w14:paraId="6530FB73" w14:textId="77777777">
            <w:pPr>
              <w:tabs>
                <w:tab w:val="center" w:pos="4680"/>
              </w:tabs>
              <w:suppressAutoHyphens/>
              <w:rPr>
                <w:spacing w:val="-2"/>
              </w:rPr>
            </w:pPr>
            <w:r>
              <w:rPr>
                <w:spacing w:val="-2"/>
              </w:rPr>
              <w:t>WT Docket No. 17-200</w:t>
            </w:r>
          </w:p>
          <w:p w:rsidR="00A83031" w14:paraId="232B64FD" w14:textId="77777777">
            <w:pPr>
              <w:pStyle w:val="TOAHeading"/>
              <w:tabs>
                <w:tab w:val="center" w:pos="4680"/>
                <w:tab w:val="clear" w:pos="9360"/>
              </w:tabs>
              <w:rPr>
                <w:spacing w:val="-2"/>
              </w:rPr>
            </w:pPr>
          </w:p>
          <w:p w:rsidR="00A83031" w14:paraId="52CDFB33" w14:textId="77777777">
            <w:pPr>
              <w:tabs>
                <w:tab w:val="center" w:pos="4680"/>
              </w:tabs>
              <w:suppressAutoHyphens/>
              <w:rPr>
                <w:spacing w:val="-2"/>
              </w:rPr>
            </w:pPr>
          </w:p>
        </w:tc>
      </w:tr>
    </w:tbl>
    <w:p w:rsidR="00A83031" w14:paraId="5AA25A48" w14:textId="77777777">
      <w:pPr>
        <w:jc w:val="center"/>
        <w:outlineLvl w:val="0"/>
        <w:rPr>
          <w:b/>
        </w:rPr>
      </w:pPr>
      <w:r>
        <w:rPr>
          <w:b/>
        </w:rPr>
        <w:fldChar w:fldCharType="begin"/>
      </w:r>
      <w:r>
        <w:rPr>
          <w:b/>
        </w:rPr>
        <w:instrText xml:space="preserve"> AUTOTEXTLIST  \* MERGEFORMAT </w:instrText>
      </w:r>
      <w:r>
        <w:rPr>
          <w:b/>
        </w:rPr>
        <w:fldChar w:fldCharType="separate"/>
      </w:r>
      <w:r>
        <w:rPr>
          <w:b/>
        </w:rPr>
        <w:t>ORDER</w:t>
      </w:r>
      <w:r>
        <w:rPr>
          <w:b/>
        </w:rPr>
        <w:fldChar w:fldCharType="end"/>
      </w:r>
    </w:p>
    <w:p w:rsidR="00A83031" w14:paraId="216E5519" w14:textId="77777777">
      <w:pPr>
        <w:tabs>
          <w:tab w:val="left" w:pos="-720"/>
        </w:tabs>
        <w:suppressAutoHyphens/>
        <w:spacing w:line="227" w:lineRule="auto"/>
        <w:rPr>
          <w:spacing w:val="-2"/>
        </w:rPr>
      </w:pPr>
    </w:p>
    <w:p w:rsidR="00A83031" w14:paraId="20C36ADD" w14:textId="34C21912">
      <w:pPr>
        <w:tabs>
          <w:tab w:val="left" w:pos="720"/>
          <w:tab w:val="left" w:pos="5760"/>
        </w:tabs>
        <w:suppressAutoHyphens/>
        <w:spacing w:line="227" w:lineRule="auto"/>
        <w:rPr>
          <w:spacing w:val="-2"/>
        </w:rPr>
      </w:pPr>
      <w:r>
        <w:rPr>
          <w:b/>
          <w:spacing w:val="-2"/>
        </w:rPr>
        <w:t xml:space="preserve">   Adopted:  </w:t>
      </w:r>
      <w:r w:rsidR="00090520">
        <w:rPr>
          <w:b/>
          <w:spacing w:val="-2"/>
        </w:rPr>
        <w:t>October 8, 2019</w:t>
      </w:r>
      <w:r>
        <w:rPr>
          <w:b/>
          <w:spacing w:val="-2"/>
        </w:rPr>
        <w:tab/>
        <w:t xml:space="preserve">Released:  </w:t>
      </w:r>
      <w:r w:rsidR="00090520">
        <w:rPr>
          <w:b/>
          <w:spacing w:val="-2"/>
        </w:rPr>
        <w:t xml:space="preserve">October </w:t>
      </w:r>
      <w:r w:rsidR="00C23752">
        <w:rPr>
          <w:b/>
          <w:spacing w:val="-2"/>
        </w:rPr>
        <w:t>9</w:t>
      </w:r>
      <w:r w:rsidR="00090520">
        <w:rPr>
          <w:b/>
          <w:spacing w:val="-2"/>
        </w:rPr>
        <w:t>, 2019</w:t>
      </w:r>
    </w:p>
    <w:p w:rsidR="00A83031" w14:paraId="03E75E68" w14:textId="77777777"/>
    <w:p w:rsidR="00A83031" w:rsidRPr="00DB3534" w:rsidP="00A83031" w14:paraId="5E1D5F25" w14:textId="77777777">
      <w:pPr>
        <w:jc w:val="left"/>
        <w:rPr>
          <w:spacing w:val="-2"/>
        </w:rPr>
      </w:pPr>
      <w:r w:rsidRPr="00DB3534">
        <w:rPr>
          <w:spacing w:val="-2"/>
        </w:rPr>
        <w:t>By the Chief, Wireless Telecommunications Bureau:</w:t>
      </w:r>
    </w:p>
    <w:p w:rsidR="00A83031" w:rsidRPr="00DB3534" w:rsidP="00A83031" w14:paraId="27D80475" w14:textId="77777777">
      <w:pPr>
        <w:jc w:val="left"/>
        <w:rPr>
          <w:spacing w:val="-2"/>
        </w:rPr>
      </w:pPr>
    </w:p>
    <w:p w:rsidR="00920F2C" w:rsidRPr="00920F2C" w:rsidP="000F0336" w14:paraId="252FB334" w14:textId="049725E1">
      <w:pPr>
        <w:pStyle w:val="ParaNum"/>
        <w:tabs>
          <w:tab w:val="clear" w:pos="1080"/>
          <w:tab w:val="num" w:pos="1440"/>
        </w:tabs>
        <w:jc w:val="left"/>
      </w:pPr>
      <w:r w:rsidRPr="00DB3534">
        <w:rPr>
          <w:i/>
        </w:rPr>
        <w:t xml:space="preserve">Introduction.  </w:t>
      </w:r>
      <w:r w:rsidR="00E67838">
        <w:t>By t</w:t>
      </w:r>
      <w:r w:rsidRPr="00DB3534">
        <w:t xml:space="preserve">his </w:t>
      </w:r>
      <w:r w:rsidRPr="00DB3534">
        <w:rPr>
          <w:i/>
        </w:rPr>
        <w:t>Order</w:t>
      </w:r>
      <w:r w:rsidR="00E67838">
        <w:t>, we modify t</w:t>
      </w:r>
      <w:r w:rsidRPr="00DB3534" w:rsidR="00E67838">
        <w:t xml:space="preserve">he </w:t>
      </w:r>
      <w:r w:rsidR="00E67838">
        <w:rPr>
          <w:spacing w:val="-2"/>
        </w:rPr>
        <w:t xml:space="preserve">temporary freeze </w:t>
      </w:r>
      <w:r w:rsidRPr="008D529C" w:rsidR="00E67838">
        <w:rPr>
          <w:spacing w:val="-2"/>
        </w:rPr>
        <w:t xml:space="preserve">on the acceptance of certain applications related to </w:t>
      </w:r>
      <w:r w:rsidR="00A83CAA">
        <w:rPr>
          <w:spacing w:val="-2"/>
        </w:rPr>
        <w:t>land mobile radio</w:t>
      </w:r>
      <w:r w:rsidRPr="008D529C" w:rsidR="00E67838">
        <w:rPr>
          <w:spacing w:val="-2"/>
        </w:rPr>
        <w:t xml:space="preserve"> services operating in the </w:t>
      </w:r>
      <w:bookmarkStart w:id="0" w:name="_Hlk1649522"/>
      <w:r w:rsidRPr="008D529C" w:rsidR="00E67838">
        <w:rPr>
          <w:spacing w:val="-2"/>
        </w:rPr>
        <w:t xml:space="preserve">896-901/935-940 MHz </w:t>
      </w:r>
      <w:r w:rsidR="00E67838">
        <w:rPr>
          <w:spacing w:val="-2"/>
        </w:rPr>
        <w:t xml:space="preserve">(900 MHz) </w:t>
      </w:r>
      <w:r w:rsidRPr="008D529C" w:rsidR="00E67838">
        <w:rPr>
          <w:spacing w:val="-2"/>
        </w:rPr>
        <w:t>band</w:t>
      </w:r>
      <w:r w:rsidR="00A83CAA">
        <w:rPr>
          <w:spacing w:val="-2"/>
        </w:rPr>
        <w:t>,</w:t>
      </w:r>
      <w:r>
        <w:rPr>
          <w:rStyle w:val="FootnoteReference"/>
          <w:spacing w:val="-2"/>
        </w:rPr>
        <w:footnoteReference w:id="3"/>
      </w:r>
      <w:r w:rsidR="00E67838">
        <w:rPr>
          <w:spacing w:val="-2"/>
        </w:rPr>
        <w:t xml:space="preserve"> as set for</w:t>
      </w:r>
      <w:r w:rsidR="00207229">
        <w:rPr>
          <w:spacing w:val="-2"/>
        </w:rPr>
        <w:t>th</w:t>
      </w:r>
      <w:r w:rsidR="00E67838">
        <w:rPr>
          <w:spacing w:val="-2"/>
        </w:rPr>
        <w:t xml:space="preserve"> below, pursuant to a</w:t>
      </w:r>
      <w:bookmarkEnd w:id="0"/>
      <w:r w:rsidRPr="00DB3534">
        <w:t xml:space="preserve"> </w:t>
      </w:r>
      <w:r w:rsidR="00E67838">
        <w:t>r</w:t>
      </w:r>
      <w:r w:rsidR="00FE2209">
        <w:t>equest</w:t>
      </w:r>
      <w:r w:rsidRPr="00DB3534">
        <w:t xml:space="preserve"> filed by </w:t>
      </w:r>
      <w:r w:rsidR="00FE2209">
        <w:t>pdvWireless</w:t>
      </w:r>
      <w:r w:rsidR="00FE2209">
        <w:t>, Inc. d/b/a Anterix</w:t>
      </w:r>
      <w:r>
        <w:t xml:space="preserve"> (</w:t>
      </w:r>
      <w:r w:rsidR="00FE2209">
        <w:t>Anterix</w:t>
      </w:r>
      <w:r w:rsidR="009F1B4E">
        <w:t>)</w:t>
      </w:r>
      <w:r w:rsidR="00E67838">
        <w:t>.</w:t>
      </w:r>
      <w:r>
        <w:rPr>
          <w:vertAlign w:val="superscript"/>
        </w:rPr>
        <w:footnoteReference w:id="4"/>
      </w:r>
      <w:r w:rsidR="00E67838">
        <w:t xml:space="preserve">  Specifically, we modify the freeze to </w:t>
      </w:r>
      <w:r w:rsidR="001427BD">
        <w:rPr>
          <w:spacing w:val="-2"/>
        </w:rPr>
        <w:t xml:space="preserve">provide greater flexibility for 900 MHz band incumbents to relocate out of the broadband segment that the Commission </w:t>
      </w:r>
      <w:r w:rsidR="00993AC0">
        <w:rPr>
          <w:spacing w:val="-2"/>
        </w:rPr>
        <w:t xml:space="preserve">has </w:t>
      </w:r>
      <w:r w:rsidR="001427BD">
        <w:rPr>
          <w:spacing w:val="-2"/>
        </w:rPr>
        <w:t xml:space="preserve">proposed in </w:t>
      </w:r>
      <w:r w:rsidR="00A93B8D">
        <w:rPr>
          <w:spacing w:val="-2"/>
        </w:rPr>
        <w:t>a</w:t>
      </w:r>
      <w:r w:rsidR="001427BD">
        <w:rPr>
          <w:spacing w:val="-2"/>
        </w:rPr>
        <w:t xml:space="preserve"> pending rulemaking proceeding.  </w:t>
      </w:r>
      <w:r w:rsidRPr="00DB3534">
        <w:t xml:space="preserve"> </w:t>
      </w:r>
      <w:r w:rsidRPr="009F1B4E">
        <w:rPr>
          <w:spacing w:val="-2"/>
        </w:rPr>
        <w:t xml:space="preserve"> </w:t>
      </w:r>
    </w:p>
    <w:p w:rsidR="00C84C83" w:rsidRPr="00C84C83" w:rsidP="000F0336" w14:paraId="31FA9C4C" w14:textId="5938F1AE">
      <w:pPr>
        <w:pStyle w:val="ParaNum"/>
        <w:tabs>
          <w:tab w:val="clear" w:pos="1080"/>
          <w:tab w:val="num" w:pos="1440"/>
        </w:tabs>
        <w:jc w:val="left"/>
      </w:pPr>
      <w:r w:rsidRPr="00920F2C">
        <w:rPr>
          <w:i/>
          <w:spacing w:val="-2"/>
        </w:rPr>
        <w:t xml:space="preserve">Background. </w:t>
      </w:r>
      <w:bookmarkStart w:id="1" w:name="_Hlk18399363"/>
      <w:r w:rsidRPr="00920F2C" w:rsidR="00936285">
        <w:rPr>
          <w:i/>
          <w:spacing w:val="-2"/>
        </w:rPr>
        <w:t xml:space="preserve"> </w:t>
      </w:r>
      <w:r w:rsidRPr="00993AC0" w:rsidR="00993AC0">
        <w:rPr>
          <w:snapToGrid/>
        </w:rPr>
        <w:t>In September 2018, the Wireless Telecommunications Bureau announced a temporary freeze on the acceptance of applications for new or expanded use of 900 MHz band frequencies.</w:t>
      </w:r>
      <w:r>
        <w:rPr>
          <w:snapToGrid/>
          <w:sz w:val="20"/>
          <w:vertAlign w:val="superscript"/>
        </w:rPr>
        <w:footnoteReference w:id="5"/>
      </w:r>
      <w:r w:rsidRPr="00993AC0" w:rsidR="00993AC0">
        <w:rPr>
          <w:snapToGrid/>
        </w:rPr>
        <w:t xml:space="preserve">  The purpose of the freeze </w:t>
      </w:r>
      <w:r w:rsidR="003E5FC5">
        <w:rPr>
          <w:snapToGrid/>
        </w:rPr>
        <w:t>wa</w:t>
      </w:r>
      <w:r w:rsidRPr="00993AC0" w:rsidR="00993AC0">
        <w:rPr>
          <w:snapToGrid/>
        </w:rPr>
        <w:t xml:space="preserve">s to preserve the current landscape of authorized operations in the 900 MHz band pending Commission </w:t>
      </w:r>
      <w:r w:rsidRPr="00993AC0" w:rsidR="00993AC0">
        <w:t>action as part of its inquiry into potential rule changes to promote next-generation technologies and services in the band.</w:t>
      </w:r>
      <w:r>
        <w:rPr>
          <w:snapToGrid/>
          <w:sz w:val="20"/>
          <w:vertAlign w:val="superscript"/>
        </w:rPr>
        <w:footnoteReference w:id="6"/>
      </w:r>
      <w:r w:rsidRPr="00993AC0" w:rsidR="00993AC0">
        <w:t xml:space="preserve">  </w:t>
      </w:r>
      <w:bookmarkStart w:id="3" w:name="_Hlk18400307"/>
      <w:r w:rsidRPr="00920F2C" w:rsidR="00993AC0">
        <w:rPr>
          <w:snapToGrid/>
          <w:kern w:val="0"/>
        </w:rPr>
        <w:t xml:space="preserve">The </w:t>
      </w:r>
      <w:r w:rsidRPr="00920F2C" w:rsidR="00993AC0">
        <w:rPr>
          <w:i/>
          <w:snapToGrid/>
          <w:kern w:val="0"/>
        </w:rPr>
        <w:t xml:space="preserve">Public Notice </w:t>
      </w:r>
      <w:r w:rsidRPr="00993AC0" w:rsidR="00993AC0">
        <w:rPr>
          <w:snapToGrid/>
          <w:kern w:val="0"/>
        </w:rPr>
        <w:t xml:space="preserve">noted that </w:t>
      </w:r>
      <w:r w:rsidRPr="00993AC0" w:rsidR="00993AC0">
        <w:t>licensees have recourse via the Commission's waiver provisions to request an exception to the freeze.</w:t>
      </w:r>
      <w:r>
        <w:rPr>
          <w:sz w:val="20"/>
          <w:vertAlign w:val="superscript"/>
        </w:rPr>
        <w:footnoteReference w:id="7"/>
      </w:r>
      <w:r w:rsidRPr="00993AC0" w:rsidR="00993AC0">
        <w:rPr>
          <w:snapToGrid/>
          <w:kern w:val="0"/>
        </w:rPr>
        <w:t xml:space="preserve">  </w:t>
      </w:r>
      <w:bookmarkEnd w:id="3"/>
    </w:p>
    <w:p w:rsidR="00993AC0" w:rsidRPr="00993AC0" w:rsidP="000F0336" w14:paraId="764AD13E" w14:textId="47142F89">
      <w:pPr>
        <w:pStyle w:val="ParaNum"/>
        <w:tabs>
          <w:tab w:val="clear" w:pos="1080"/>
          <w:tab w:val="num" w:pos="1440"/>
        </w:tabs>
        <w:jc w:val="left"/>
      </w:pPr>
      <w:r w:rsidRPr="00993AC0">
        <w:t xml:space="preserve">In March 2019, the Commission released a </w:t>
      </w:r>
      <w:r w:rsidRPr="00993AC0">
        <w:rPr>
          <w:i/>
        </w:rPr>
        <w:t>Notice of Proposed Rulemaking</w:t>
      </w:r>
      <w:r w:rsidRPr="00993AC0">
        <w:t xml:space="preserve"> </w:t>
      </w:r>
      <w:r w:rsidR="003E5FC5">
        <w:t xml:space="preserve">in which it </w:t>
      </w:r>
      <w:r w:rsidRPr="00993AC0">
        <w:t>propos</w:t>
      </w:r>
      <w:r w:rsidR="003E5FC5">
        <w:t>ed</w:t>
      </w:r>
      <w:r w:rsidRPr="00993AC0">
        <w:t xml:space="preserve"> to realign the 900 MHz band to create </w:t>
      </w:r>
      <w:r w:rsidRPr="00993AC0">
        <w:rPr>
          <w:snapToGrid/>
        </w:rPr>
        <w:t>a 3/3 megahertz broadband segment</w:t>
      </w:r>
      <w:r w:rsidR="00C84C83">
        <w:rPr>
          <w:snapToGrid/>
        </w:rPr>
        <w:t xml:space="preserve"> (</w:t>
      </w:r>
      <w:r w:rsidRPr="00DA6888" w:rsidR="00C84C83">
        <w:rPr>
          <w:rFonts w:eastAsia="Calibri"/>
        </w:rPr>
        <w:t>897.5-900.5 MHz/936.5-939.5 MHz</w:t>
      </w:r>
      <w:r w:rsidR="00C84C83">
        <w:rPr>
          <w:snapToGrid/>
        </w:rPr>
        <w:t>)</w:t>
      </w:r>
      <w:r w:rsidRPr="00993AC0">
        <w:rPr>
          <w:snapToGrid/>
        </w:rPr>
        <w:t xml:space="preserve">, while reserving the remaining 2/2 megahertz of spectrum </w:t>
      </w:r>
      <w:r w:rsidR="00C84C83">
        <w:rPr>
          <w:snapToGrid/>
        </w:rPr>
        <w:t>(</w:t>
      </w:r>
      <w:r w:rsidRPr="00DA6888" w:rsidR="00C84C83">
        <w:rPr>
          <w:rFonts w:eastAsia="Calibri"/>
        </w:rPr>
        <w:t>896-897.5/935-936.5 MHz</w:t>
      </w:r>
      <w:r w:rsidR="00C84C83">
        <w:rPr>
          <w:rFonts w:eastAsia="Calibri"/>
        </w:rPr>
        <w:t xml:space="preserve"> and </w:t>
      </w:r>
      <w:r w:rsidRPr="00DA6888" w:rsidR="00C84C83">
        <w:rPr>
          <w:rFonts w:eastAsia="Calibri"/>
        </w:rPr>
        <w:t>900.5-901/939.5-940 MHz</w:t>
      </w:r>
      <w:r w:rsidR="00C84C83">
        <w:rPr>
          <w:snapToGrid/>
        </w:rPr>
        <w:t xml:space="preserve">) </w:t>
      </w:r>
      <w:r w:rsidRPr="00993AC0">
        <w:rPr>
          <w:snapToGrid/>
        </w:rPr>
        <w:t>for narrowband operations.</w:t>
      </w:r>
      <w:r>
        <w:rPr>
          <w:snapToGrid/>
          <w:sz w:val="20"/>
          <w:vertAlign w:val="superscript"/>
        </w:rPr>
        <w:footnoteReference w:id="8"/>
      </w:r>
      <w:r w:rsidR="00C84C83">
        <w:rPr>
          <w:snapToGrid/>
        </w:rPr>
        <w:t xml:space="preserve">  </w:t>
      </w:r>
      <w:r w:rsidRPr="00920F2C" w:rsidR="00C84C83">
        <w:rPr>
          <w:snapToGrid/>
        </w:rPr>
        <w:t>The Commission</w:t>
      </w:r>
      <w:r w:rsidR="001D72DA">
        <w:rPr>
          <w:snapToGrid/>
        </w:rPr>
        <w:t xml:space="preserve"> indicated that </w:t>
      </w:r>
      <w:r w:rsidR="001D72DA">
        <w:rPr>
          <w:snapToGrid/>
        </w:rPr>
        <w:t>if this proposal is adopted, it will lift the temporary filing freeze to allow 900 MHz band incumbents to file applications necessary to effectuate relocation from the broadband segment to the segments reserved for narrowband operations</w:t>
      </w:r>
      <w:r w:rsidRPr="00920F2C" w:rsidR="00C84C83">
        <w:rPr>
          <w:snapToGrid/>
        </w:rPr>
        <w:t>.</w:t>
      </w:r>
      <w:r>
        <w:rPr>
          <w:rStyle w:val="FootnoteReference"/>
          <w:snapToGrid/>
        </w:rPr>
        <w:footnoteReference w:id="9"/>
      </w:r>
      <w:r w:rsidRPr="00920F2C" w:rsidR="00C84C83">
        <w:rPr>
          <w:snapToGrid/>
        </w:rPr>
        <w:t xml:space="preserve">  </w:t>
      </w:r>
    </w:p>
    <w:bookmarkEnd w:id="1"/>
    <w:p w:rsidR="00920F2C" w:rsidP="000F0336" w14:paraId="2F4A3C39" w14:textId="147F649B">
      <w:pPr>
        <w:pStyle w:val="ParaNum"/>
        <w:tabs>
          <w:tab w:val="clear" w:pos="1080"/>
          <w:tab w:val="num" w:pos="1440"/>
        </w:tabs>
        <w:jc w:val="left"/>
        <w:rPr>
          <w:spacing w:val="-2"/>
        </w:rPr>
      </w:pPr>
      <w:r>
        <w:rPr>
          <w:spacing w:val="-2"/>
        </w:rPr>
        <w:t>Anterix</w:t>
      </w:r>
      <w:r>
        <w:rPr>
          <w:spacing w:val="-2"/>
        </w:rPr>
        <w:t xml:space="preserve"> </w:t>
      </w:r>
      <w:r w:rsidR="003E5FC5">
        <w:rPr>
          <w:spacing w:val="-2"/>
        </w:rPr>
        <w:t xml:space="preserve">in its Request </w:t>
      </w:r>
      <w:r w:rsidR="00A17080">
        <w:rPr>
          <w:spacing w:val="-2"/>
        </w:rPr>
        <w:t xml:space="preserve">states that many 900 MHz band incumbents were in the process of upgrading or replacing their systems when the freeze was announced, and </w:t>
      </w:r>
      <w:r w:rsidR="00125402">
        <w:rPr>
          <w:spacing w:val="-2"/>
        </w:rPr>
        <w:t xml:space="preserve">that these incumbents </w:t>
      </w:r>
      <w:r w:rsidR="00A17080">
        <w:rPr>
          <w:spacing w:val="-2"/>
        </w:rPr>
        <w:t>wish to construct on frequencies outside of the proposed broadband segment.</w:t>
      </w:r>
      <w:r>
        <w:rPr>
          <w:rStyle w:val="FootnoteReference"/>
          <w:spacing w:val="-2"/>
        </w:rPr>
        <w:footnoteReference w:id="10"/>
      </w:r>
      <w:r w:rsidR="00A17080">
        <w:rPr>
          <w:spacing w:val="-2"/>
        </w:rPr>
        <w:t xml:space="preserve">  It </w:t>
      </w:r>
      <w:r w:rsidR="00775B49">
        <w:rPr>
          <w:spacing w:val="-2"/>
        </w:rPr>
        <w:t>request</w:t>
      </w:r>
      <w:r>
        <w:rPr>
          <w:spacing w:val="-2"/>
        </w:rPr>
        <w:t>s</w:t>
      </w:r>
      <w:r w:rsidR="00775B49">
        <w:rPr>
          <w:spacing w:val="-2"/>
        </w:rPr>
        <w:t xml:space="preserve"> </w:t>
      </w:r>
      <w:r w:rsidR="00FD5999">
        <w:rPr>
          <w:spacing w:val="-2"/>
        </w:rPr>
        <w:t xml:space="preserve">that the freeze be modified to provide flexibility </w:t>
      </w:r>
      <w:r w:rsidR="001D72DA">
        <w:rPr>
          <w:spacing w:val="-2"/>
        </w:rPr>
        <w:t>for</w:t>
      </w:r>
      <w:r w:rsidR="00CD5F9E">
        <w:rPr>
          <w:spacing w:val="-2"/>
        </w:rPr>
        <w:t xml:space="preserve"> </w:t>
      </w:r>
      <w:r w:rsidR="00E94FFD">
        <w:rPr>
          <w:spacing w:val="-2"/>
        </w:rPr>
        <w:t>incumbents</w:t>
      </w:r>
      <w:r w:rsidR="00FD5999">
        <w:rPr>
          <w:spacing w:val="-2"/>
        </w:rPr>
        <w:t xml:space="preserve"> to exchange frequencies in the </w:t>
      </w:r>
      <w:r w:rsidR="00FE1416">
        <w:rPr>
          <w:spacing w:val="-2"/>
        </w:rPr>
        <w:t>proposed</w:t>
      </w:r>
      <w:r w:rsidR="00FD5999">
        <w:rPr>
          <w:spacing w:val="-2"/>
        </w:rPr>
        <w:t xml:space="preserve"> broadband segment voluntarily for </w:t>
      </w:r>
      <w:r w:rsidR="001D72DA">
        <w:rPr>
          <w:spacing w:val="-2"/>
        </w:rPr>
        <w:t xml:space="preserve">an equal number of </w:t>
      </w:r>
      <w:r w:rsidR="00FD5999">
        <w:rPr>
          <w:spacing w:val="-2"/>
        </w:rPr>
        <w:t xml:space="preserve">frequencies in the </w:t>
      </w:r>
      <w:r w:rsidRPr="00F76E59" w:rsidR="00F76E59">
        <w:rPr>
          <w:spacing w:val="-2"/>
        </w:rPr>
        <w:t>segments that would continue to be used for narrowband operations</w:t>
      </w:r>
      <w:r w:rsidR="00FD5999">
        <w:rPr>
          <w:spacing w:val="-2"/>
        </w:rPr>
        <w:t>.</w:t>
      </w:r>
      <w:r>
        <w:rPr>
          <w:rStyle w:val="FootnoteReference"/>
          <w:spacing w:val="-2"/>
        </w:rPr>
        <w:footnoteReference w:id="11"/>
      </w:r>
      <w:r w:rsidR="0040128C">
        <w:rPr>
          <w:spacing w:val="-2"/>
        </w:rPr>
        <w:t xml:space="preserve">  </w:t>
      </w:r>
      <w:r w:rsidR="00A17080">
        <w:rPr>
          <w:spacing w:val="-2"/>
        </w:rPr>
        <w:t>In order to ensure that the</w:t>
      </w:r>
      <w:r w:rsidR="00E94FFD">
        <w:rPr>
          <w:spacing w:val="-2"/>
        </w:rPr>
        <w:t>re is no net increase in th</w:t>
      </w:r>
      <w:r w:rsidR="00A17080">
        <w:rPr>
          <w:spacing w:val="-2"/>
        </w:rPr>
        <w:t xml:space="preserve">e number of frequencies assigned to incumbents, </w:t>
      </w:r>
      <w:r w:rsidR="00A17080">
        <w:rPr>
          <w:spacing w:val="-2"/>
        </w:rPr>
        <w:t>Anterix</w:t>
      </w:r>
      <w:r w:rsidR="00A17080">
        <w:rPr>
          <w:spacing w:val="-2"/>
        </w:rPr>
        <w:t xml:space="preserve"> suggests that</w:t>
      </w:r>
      <w:r w:rsidR="003E5FC5">
        <w:rPr>
          <w:spacing w:val="-2"/>
        </w:rPr>
        <w:t>,</w:t>
      </w:r>
      <w:r w:rsidR="00A17080">
        <w:rPr>
          <w:spacing w:val="-2"/>
        </w:rPr>
        <w:t xml:space="preserve"> if an incumbent is granted 900 MHz band frequencies outside the proposed broadband segment, its authorization for the corresponding frequencies in the proposed broadband segment be canceled.</w:t>
      </w:r>
      <w:bookmarkStart w:id="4" w:name="_Hlk20403064"/>
      <w:r>
        <w:rPr>
          <w:rStyle w:val="FootnoteReference"/>
          <w:spacing w:val="-2"/>
        </w:rPr>
        <w:footnoteReference w:id="12"/>
      </w:r>
      <w:bookmarkEnd w:id="4"/>
      <w:r w:rsidR="00A17080">
        <w:rPr>
          <w:spacing w:val="-2"/>
        </w:rPr>
        <w:t xml:space="preserve">  </w:t>
      </w:r>
      <w:r w:rsidR="002634B3">
        <w:rPr>
          <w:spacing w:val="-2"/>
        </w:rPr>
        <w:t>It</w:t>
      </w:r>
      <w:r w:rsidR="00775B49">
        <w:rPr>
          <w:spacing w:val="-2"/>
        </w:rPr>
        <w:t xml:space="preserve"> argues that allowing incumbents </w:t>
      </w:r>
      <w:r w:rsidR="002634B3">
        <w:rPr>
          <w:spacing w:val="-2"/>
        </w:rPr>
        <w:t xml:space="preserve">to </w:t>
      </w:r>
      <w:r w:rsidR="00775B49">
        <w:rPr>
          <w:spacing w:val="-2"/>
        </w:rPr>
        <w:t xml:space="preserve">exchange frequencies on </w:t>
      </w:r>
      <w:r w:rsidR="00A63BB0">
        <w:rPr>
          <w:spacing w:val="-2"/>
        </w:rPr>
        <w:t>this</w:t>
      </w:r>
      <w:r w:rsidR="00775B49">
        <w:rPr>
          <w:spacing w:val="-2"/>
        </w:rPr>
        <w:t xml:space="preserve"> basis before </w:t>
      </w:r>
      <w:r w:rsidR="00AE463B">
        <w:rPr>
          <w:spacing w:val="-2"/>
        </w:rPr>
        <w:t>the Commission adopts</w:t>
      </w:r>
      <w:r w:rsidR="00775B49">
        <w:rPr>
          <w:spacing w:val="-2"/>
        </w:rPr>
        <w:t xml:space="preserve"> final rules for the </w:t>
      </w:r>
      <w:r w:rsidR="00AE463B">
        <w:rPr>
          <w:spacing w:val="-2"/>
        </w:rPr>
        <w:t xml:space="preserve">900 MHz </w:t>
      </w:r>
      <w:r w:rsidR="00775B49">
        <w:rPr>
          <w:spacing w:val="-2"/>
        </w:rPr>
        <w:t xml:space="preserve">band realignment </w:t>
      </w:r>
      <w:r w:rsidR="00A63BB0">
        <w:rPr>
          <w:spacing w:val="-2"/>
        </w:rPr>
        <w:t xml:space="preserve">would </w:t>
      </w:r>
      <w:r w:rsidR="00775B49">
        <w:rPr>
          <w:spacing w:val="-2"/>
        </w:rPr>
        <w:t>accelerate the process of clearing the broadband segment of narrowband incumbents without prejudging or compromising the outcome of the rulemaking proceeding.</w:t>
      </w:r>
      <w:r>
        <w:rPr>
          <w:rStyle w:val="FootnoteReference"/>
          <w:spacing w:val="-2"/>
        </w:rPr>
        <w:footnoteReference w:id="13"/>
      </w:r>
      <w:r w:rsidR="002634B3">
        <w:rPr>
          <w:spacing w:val="-2"/>
        </w:rPr>
        <w:t xml:space="preserve">  It also suggests that modifying the freeze</w:t>
      </w:r>
      <w:r w:rsidR="00A83CAA">
        <w:rPr>
          <w:spacing w:val="-2"/>
        </w:rPr>
        <w:t xml:space="preserve"> as requested</w:t>
      </w:r>
      <w:r w:rsidR="002634B3">
        <w:rPr>
          <w:spacing w:val="-2"/>
        </w:rPr>
        <w:t xml:space="preserve"> will curtail individual requests for waiver of the freeze.</w:t>
      </w:r>
      <w:r>
        <w:rPr>
          <w:rStyle w:val="FootnoteReference"/>
          <w:spacing w:val="-2"/>
        </w:rPr>
        <w:footnoteReference w:id="14"/>
      </w:r>
      <w:r w:rsidR="002634B3">
        <w:rPr>
          <w:spacing w:val="-2"/>
        </w:rPr>
        <w:t xml:space="preserve">  </w:t>
      </w:r>
      <w:bookmarkStart w:id="5" w:name="_GoBack"/>
      <w:bookmarkEnd w:id="5"/>
    </w:p>
    <w:p w:rsidR="004A3976" w:rsidRPr="00920F2C" w:rsidP="00430252" w14:paraId="698B1073" w14:textId="052426B6">
      <w:pPr>
        <w:numPr>
          <w:ilvl w:val="0"/>
          <w:numId w:val="22"/>
        </w:numPr>
        <w:tabs>
          <w:tab w:val="clear" w:pos="1080"/>
        </w:tabs>
        <w:jc w:val="left"/>
        <w:rPr>
          <w:spacing w:val="-2"/>
        </w:rPr>
      </w:pPr>
      <w:r w:rsidRPr="00837FD8">
        <w:rPr>
          <w:i/>
        </w:rPr>
        <w:t xml:space="preserve">Discussion.  </w:t>
      </w:r>
      <w:r w:rsidR="00310098">
        <w:t xml:space="preserve">We </w:t>
      </w:r>
      <w:r w:rsidR="009B3EC4">
        <w:t xml:space="preserve">conclude that the </w:t>
      </w:r>
      <w:r w:rsidRPr="009A4230" w:rsidR="009B3EC4">
        <w:t xml:space="preserve">900 MHz </w:t>
      </w:r>
      <w:r w:rsidR="002B4FA2">
        <w:t xml:space="preserve">freeze </w:t>
      </w:r>
      <w:r w:rsidR="009B3EC4">
        <w:t xml:space="preserve">should be modified to </w:t>
      </w:r>
      <w:r w:rsidRPr="00837FD8" w:rsidR="009B3EC4">
        <w:rPr>
          <w:spacing w:val="-2"/>
        </w:rPr>
        <w:t xml:space="preserve">provide greater flexibility for incumbents to relocate out of the proposed broadband segment. </w:t>
      </w:r>
      <w:r w:rsidRPr="009A4230" w:rsidR="009B3EC4">
        <w:t xml:space="preserve"> </w:t>
      </w:r>
      <w:r w:rsidRPr="009A4230" w:rsidR="009A4230">
        <w:t xml:space="preserve">The purpose of the freeze is to </w:t>
      </w:r>
      <w:r w:rsidRPr="00837FD8" w:rsidR="009A4230">
        <w:rPr>
          <w:snapToGrid/>
        </w:rPr>
        <w:t>preserve the current landscape of authorized operations in the band while the Commission considers potential rule changes.</w:t>
      </w:r>
      <w:r>
        <w:rPr>
          <w:snapToGrid/>
          <w:vertAlign w:val="superscript"/>
        </w:rPr>
        <w:footnoteReference w:id="15"/>
      </w:r>
      <w:r w:rsidRPr="00837FD8" w:rsidR="00583D8D">
        <w:rPr>
          <w:snapToGrid/>
        </w:rPr>
        <w:t xml:space="preserve">  </w:t>
      </w:r>
      <w:r w:rsidRPr="00837FD8" w:rsidR="000966E2">
        <w:rPr>
          <w:snapToGrid/>
        </w:rPr>
        <w:t>We find that the future availability of the 900 MHz band will not be jeopardized by</w:t>
      </w:r>
      <w:r w:rsidRPr="00CF2582" w:rsidR="000966E2">
        <w:rPr>
          <w:snapToGrid/>
        </w:rPr>
        <w:t xml:space="preserve"> </w:t>
      </w:r>
      <w:r w:rsidRPr="00837FD8" w:rsidR="000966E2">
        <w:rPr>
          <w:snapToGrid/>
        </w:rPr>
        <w:t>a</w:t>
      </w:r>
      <w:r w:rsidRPr="00837FD8" w:rsidR="00D13A44">
        <w:rPr>
          <w:snapToGrid/>
        </w:rPr>
        <w:t xml:space="preserve">llowing </w:t>
      </w:r>
      <w:r w:rsidRPr="00837FD8" w:rsidR="00F60C62">
        <w:rPr>
          <w:snapToGrid/>
        </w:rPr>
        <w:t xml:space="preserve">an </w:t>
      </w:r>
      <w:r w:rsidRPr="00837FD8" w:rsidR="00D13A44">
        <w:rPr>
          <w:snapToGrid/>
        </w:rPr>
        <w:t xml:space="preserve">incumbent to exchange frequencies </w:t>
      </w:r>
      <w:r w:rsidRPr="00837FD8" w:rsidR="00F60C62">
        <w:rPr>
          <w:snapToGrid/>
        </w:rPr>
        <w:t xml:space="preserve">in a manner that does not </w:t>
      </w:r>
      <w:r w:rsidRPr="00837FD8" w:rsidR="00D13A44">
        <w:rPr>
          <w:snapToGrid/>
        </w:rPr>
        <w:t>increas</w:t>
      </w:r>
      <w:r w:rsidRPr="00837FD8" w:rsidR="00F60C62">
        <w:rPr>
          <w:snapToGrid/>
        </w:rPr>
        <w:t>e</w:t>
      </w:r>
      <w:r w:rsidRPr="00837FD8" w:rsidR="00D13A44">
        <w:rPr>
          <w:snapToGrid/>
        </w:rPr>
        <w:t xml:space="preserve"> th</w:t>
      </w:r>
      <w:r w:rsidRPr="00837FD8" w:rsidR="00F60C62">
        <w:rPr>
          <w:snapToGrid/>
        </w:rPr>
        <w:t>at incumbent’s</w:t>
      </w:r>
      <w:r w:rsidRPr="00837FD8" w:rsidR="00D13A44">
        <w:rPr>
          <w:snapToGrid/>
        </w:rPr>
        <w:t xml:space="preserve"> net number of licensed frequencies</w:t>
      </w:r>
      <w:r w:rsidRPr="00837FD8" w:rsidR="00F60C62">
        <w:rPr>
          <w:snapToGrid/>
        </w:rPr>
        <w:t xml:space="preserve"> and is consistent with the Commission’s proposed band realignment</w:t>
      </w:r>
      <w:r w:rsidRPr="00CF2582" w:rsidR="00D13A44">
        <w:rPr>
          <w:snapToGrid/>
        </w:rPr>
        <w:t>.</w:t>
      </w:r>
      <w:r>
        <w:rPr>
          <w:snapToGrid/>
          <w:vertAlign w:val="superscript"/>
        </w:rPr>
        <w:footnoteReference w:id="16"/>
      </w:r>
      <w:r w:rsidRPr="00837FD8" w:rsidR="00D13A44">
        <w:rPr>
          <w:snapToGrid/>
        </w:rPr>
        <w:t xml:space="preserve">  </w:t>
      </w:r>
      <w:r w:rsidRPr="00837FD8" w:rsidR="007B06B1">
        <w:rPr>
          <w:snapToGrid/>
        </w:rPr>
        <w:t>In that regard</w:t>
      </w:r>
      <w:r w:rsidRPr="00837FD8" w:rsidR="00D13A44">
        <w:rPr>
          <w:snapToGrid/>
        </w:rPr>
        <w:t xml:space="preserve">, </w:t>
      </w:r>
      <w:r w:rsidRPr="00CF2582" w:rsidR="00AA02EB">
        <w:rPr>
          <w:snapToGrid/>
        </w:rPr>
        <w:t>it is in the public interest to reduce the burdens for licensees and the Commission</w:t>
      </w:r>
      <w:r w:rsidRPr="00837FD8" w:rsidR="007B74FA">
        <w:rPr>
          <w:snapToGrid/>
        </w:rPr>
        <w:t xml:space="preserve"> </w:t>
      </w:r>
      <w:r w:rsidRPr="00837FD8" w:rsidR="00C47D10">
        <w:rPr>
          <w:snapToGrid/>
        </w:rPr>
        <w:t xml:space="preserve">by </w:t>
      </w:r>
      <w:r w:rsidRPr="00837FD8" w:rsidR="00E8278F">
        <w:rPr>
          <w:snapToGrid/>
        </w:rPr>
        <w:t>elimina</w:t>
      </w:r>
      <w:r w:rsidRPr="00837FD8" w:rsidR="00C47D10">
        <w:rPr>
          <w:snapToGrid/>
        </w:rPr>
        <w:t>ting</w:t>
      </w:r>
      <w:r w:rsidRPr="00837FD8" w:rsidR="00E8278F">
        <w:rPr>
          <w:snapToGrid/>
        </w:rPr>
        <w:t xml:space="preserve"> the need </w:t>
      </w:r>
      <w:r w:rsidRPr="00837FD8" w:rsidR="007B06B1">
        <w:rPr>
          <w:snapToGrid/>
        </w:rPr>
        <w:t xml:space="preserve">for </w:t>
      </w:r>
      <w:r w:rsidRPr="00837FD8" w:rsidR="00AA02EB">
        <w:rPr>
          <w:snapToGrid/>
        </w:rPr>
        <w:t xml:space="preserve">individual waiver requests for applications </w:t>
      </w:r>
      <w:r w:rsidRPr="00837FD8" w:rsidR="007B06B1">
        <w:rPr>
          <w:snapToGrid/>
        </w:rPr>
        <w:t>that meet these criteria</w:t>
      </w:r>
      <w:r w:rsidRPr="00837FD8" w:rsidR="00AA02EB">
        <w:rPr>
          <w:snapToGrid/>
        </w:rPr>
        <w:t>.</w:t>
      </w:r>
      <w:r>
        <w:rPr>
          <w:rStyle w:val="FootnoteReference"/>
          <w:snapToGrid/>
        </w:rPr>
        <w:footnoteReference w:id="17"/>
      </w:r>
      <w:r w:rsidR="0046075D">
        <w:t xml:space="preserve">  </w:t>
      </w:r>
    </w:p>
    <w:p w:rsidR="00920F2C" w:rsidP="00920F2C" w14:paraId="18A0D84B" w14:textId="77777777">
      <w:pPr>
        <w:ind w:left="720"/>
        <w:jc w:val="left"/>
        <w:rPr>
          <w:spacing w:val="-2"/>
        </w:rPr>
      </w:pPr>
    </w:p>
    <w:p w:rsidR="00AC35EF" w:rsidRPr="00AC35EF" w:rsidP="00920F2C" w14:paraId="6D966DE4" w14:textId="3ADA25D5">
      <w:pPr>
        <w:numPr>
          <w:ilvl w:val="0"/>
          <w:numId w:val="22"/>
        </w:numPr>
        <w:tabs>
          <w:tab w:val="clear" w:pos="1080"/>
        </w:tabs>
        <w:jc w:val="left"/>
        <w:rPr>
          <w:spacing w:val="-2"/>
        </w:rPr>
      </w:pPr>
      <w:r>
        <w:t xml:space="preserve">We </w:t>
      </w:r>
      <w:r w:rsidR="00AE463B">
        <w:t xml:space="preserve">therefore </w:t>
      </w:r>
      <w:r w:rsidR="009B3EC4">
        <w:t xml:space="preserve">grant </w:t>
      </w:r>
      <w:r w:rsidR="009B3EC4">
        <w:t>Anterix’s</w:t>
      </w:r>
      <w:r w:rsidR="009B3EC4">
        <w:t xml:space="preserve"> request.  Specifically, we </w:t>
      </w:r>
      <w:r>
        <w:t xml:space="preserve">modify the freeze </w:t>
      </w:r>
      <w:r w:rsidR="0027131B">
        <w:t xml:space="preserve">by </w:t>
      </w:r>
      <w:r w:rsidR="005374A5">
        <w:t xml:space="preserve">excluding applications filed by incumbent site-based licensees of frequencies in the </w:t>
      </w:r>
      <w:r w:rsidRPr="009F7BFF" w:rsidR="005374A5">
        <w:t>897.5-900.5 MHz/936.5-939.5 MHz</w:t>
      </w:r>
      <w:r w:rsidR="005374A5">
        <w:t xml:space="preserve"> segment to modify their licenses to request an equal or smaller number of frequencies in the </w:t>
      </w:r>
      <w:r w:rsidRPr="0027131B" w:rsidR="005374A5">
        <w:t>896-897.5/935-936.5 MHz</w:t>
      </w:r>
      <w:r w:rsidR="005374A5">
        <w:t xml:space="preserve"> </w:t>
      </w:r>
      <w:r w:rsidR="00986DDE">
        <w:t>and/</w:t>
      </w:r>
      <w:r w:rsidR="005374A5">
        <w:t xml:space="preserve">or </w:t>
      </w:r>
      <w:r w:rsidRPr="0027131B" w:rsidR="005374A5">
        <w:t>900.5-901/939.5-940 MHz</w:t>
      </w:r>
      <w:r w:rsidR="005374A5">
        <w:t xml:space="preserve"> segments at the same location(s) and with </w:t>
      </w:r>
      <w:r w:rsidR="00BA4711">
        <w:t>equal or smaller spectral and geographic coverage</w:t>
      </w:r>
      <w:r w:rsidR="005374A5">
        <w:t xml:space="preserve">.  </w:t>
      </w:r>
      <w:r w:rsidR="00986DDE">
        <w:t>Th</w:t>
      </w:r>
      <w:r w:rsidR="00200CA3">
        <w:t>is type of</w:t>
      </w:r>
      <w:r w:rsidR="00986DDE">
        <w:t xml:space="preserve"> application must include an attachment </w:t>
      </w:r>
      <w:r w:rsidR="00986DDE">
        <w:t xml:space="preserve">specifying which </w:t>
      </w:r>
      <w:r w:rsidR="00BA4711">
        <w:t>particular</w:t>
      </w:r>
      <w:r w:rsidR="00986DDE">
        <w:t xml:space="preserve"> </w:t>
      </w:r>
      <w:r w:rsidRPr="009F7BFF" w:rsidR="00986DDE">
        <w:t>897.5-900.5 MHz/936.5-939.5 MHz</w:t>
      </w:r>
      <w:r w:rsidR="00986DDE">
        <w:t xml:space="preserve"> segment frequency pair will be canceled in exchange </w:t>
      </w:r>
      <w:r w:rsidR="00BA4711">
        <w:t>for which particular</w:t>
      </w:r>
      <w:r w:rsidR="00986DDE">
        <w:t xml:space="preserve"> requested frequency pair in the </w:t>
      </w:r>
      <w:r w:rsidRPr="0027131B" w:rsidR="00986DDE">
        <w:t>896-897.5/935-936.5 MHz</w:t>
      </w:r>
      <w:r w:rsidR="00986DDE">
        <w:t xml:space="preserve"> and/or </w:t>
      </w:r>
      <w:r w:rsidRPr="0027131B" w:rsidR="00986DDE">
        <w:t>900.5-901/939.5-940 MHz</w:t>
      </w:r>
      <w:r w:rsidR="00986DDE">
        <w:t xml:space="preserve"> segments</w:t>
      </w:r>
      <w:r w:rsidR="00FF4AA5">
        <w:t>.</w:t>
      </w:r>
      <w:r>
        <w:t xml:space="preserve">  To prevent an </w:t>
      </w:r>
      <w:r w:rsidR="00307FB5">
        <w:t>effect on a future band realignment</w:t>
      </w:r>
      <w:r>
        <w:t xml:space="preserve">, </w:t>
      </w:r>
      <w:r w:rsidR="00E36A08">
        <w:t xml:space="preserve">we will not permit </w:t>
      </w:r>
      <w:r w:rsidR="000520A3">
        <w:t xml:space="preserve">licensees </w:t>
      </w:r>
      <w:r w:rsidR="00E36A08">
        <w:t>to</w:t>
      </w:r>
      <w:r w:rsidR="000520A3">
        <w:t xml:space="preserve"> increase the number of unique channels assigned to them</w:t>
      </w:r>
      <w:r w:rsidR="00E36A08">
        <w:t xml:space="preserve">, which </w:t>
      </w:r>
      <w:r w:rsidR="00406D3B">
        <w:t>w</w:t>
      </w:r>
      <w:r w:rsidR="00E36A08">
        <w:t xml:space="preserve">ould </w:t>
      </w:r>
      <w:r w:rsidRPr="00E36A08" w:rsidR="00E36A08">
        <w:t>encumber more channels</w:t>
      </w:r>
      <w:r w:rsidR="00E36A08">
        <w:t xml:space="preserve"> across a region</w:t>
      </w:r>
      <w:r w:rsidR="000520A3">
        <w:t xml:space="preserve">.  </w:t>
      </w:r>
      <w:r w:rsidR="00B01A11">
        <w:t>Specifically</w:t>
      </w:r>
      <w:r w:rsidR="000520A3">
        <w:t xml:space="preserve">, a </w:t>
      </w:r>
      <w:r>
        <w:t>licensee authorized for a</w:t>
      </w:r>
      <w:r w:rsidR="00BA339F">
        <w:t>n</w:t>
      </w:r>
      <w:r>
        <w:t xml:space="preserve"> </w:t>
      </w:r>
      <w:r w:rsidRPr="009F7BFF">
        <w:t>897.5-900.5 MHz/936.5-939.5 MHz</w:t>
      </w:r>
      <w:r>
        <w:t xml:space="preserve"> segment frequency pair at multiple locations </w:t>
      </w:r>
      <w:r w:rsidR="00307FB5">
        <w:t xml:space="preserve">must </w:t>
      </w:r>
      <w:r>
        <w:t xml:space="preserve">replace it with the same </w:t>
      </w:r>
      <w:r w:rsidRPr="0027131B">
        <w:t>896-897.5/935-936.5 MHz</w:t>
      </w:r>
      <w:r>
        <w:t xml:space="preserve"> or </w:t>
      </w:r>
      <w:r w:rsidRPr="0027131B">
        <w:t>900.5-901/939.5-940 MHz</w:t>
      </w:r>
      <w:r>
        <w:t xml:space="preserve"> segment</w:t>
      </w:r>
      <w:r w:rsidR="00505FA1">
        <w:t xml:space="preserve"> frequency pair </w:t>
      </w:r>
      <w:r>
        <w:t xml:space="preserve">at each </w:t>
      </w:r>
      <w:r w:rsidR="00505FA1">
        <w:t xml:space="preserve">such </w:t>
      </w:r>
      <w:r>
        <w:t>location.</w:t>
      </w:r>
      <w:r>
        <w:rPr>
          <w:rStyle w:val="FootnoteReference"/>
        </w:rPr>
        <w:footnoteReference w:id="18"/>
      </w:r>
    </w:p>
    <w:p w:rsidR="00AC35EF" w:rsidRPr="00AC35EF" w:rsidP="00AC35EF" w14:paraId="3F02A9F5" w14:textId="77777777">
      <w:pPr>
        <w:ind w:left="720"/>
        <w:jc w:val="left"/>
        <w:rPr>
          <w:spacing w:val="-2"/>
        </w:rPr>
      </w:pPr>
    </w:p>
    <w:p w:rsidR="00430252" w:rsidRPr="00880529" w:rsidP="00021281" w14:paraId="23237070" w14:textId="5DEA3804">
      <w:pPr>
        <w:numPr>
          <w:ilvl w:val="0"/>
          <w:numId w:val="22"/>
        </w:numPr>
        <w:tabs>
          <w:tab w:val="clear" w:pos="1080"/>
        </w:tabs>
        <w:jc w:val="left"/>
        <w:rPr>
          <w:spacing w:val="-2"/>
        </w:rPr>
      </w:pPr>
      <w:r>
        <w:t>We will not require simultaneous deletion of the old frequencies from the license</w:t>
      </w:r>
      <w:r w:rsidR="001C2D42">
        <w:t xml:space="preserve"> because licensees may need</w:t>
      </w:r>
      <w:r>
        <w:t xml:space="preserve"> </w:t>
      </w:r>
      <w:r w:rsidR="00307FB5">
        <w:t xml:space="preserve">to </w:t>
      </w:r>
      <w:r>
        <w:t xml:space="preserve">continue to use the old frequencies </w:t>
      </w:r>
      <w:r w:rsidR="001C2D42">
        <w:t xml:space="preserve">during a transition period </w:t>
      </w:r>
      <w:r>
        <w:t>while constructing and testing the new frequencies.</w:t>
      </w:r>
      <w:r>
        <w:rPr>
          <w:rStyle w:val="FootnoteReference"/>
        </w:rPr>
        <w:footnoteReference w:id="19"/>
      </w:r>
      <w:r>
        <w:t xml:space="preserve">  Instead, in order to ensure that there is no net increase in the </w:t>
      </w:r>
      <w:r>
        <w:rPr>
          <w:snapToGrid/>
        </w:rPr>
        <w:t>number of licensed 900 MHz band frequencies</w:t>
      </w:r>
      <w:r w:rsidR="00A83D1E">
        <w:rPr>
          <w:snapToGrid/>
        </w:rPr>
        <w:t xml:space="preserve"> beyond a temporary </w:t>
      </w:r>
      <w:r w:rsidR="00075A33">
        <w:rPr>
          <w:snapToGrid/>
        </w:rPr>
        <w:t xml:space="preserve">transition </w:t>
      </w:r>
      <w:r w:rsidR="00A83D1E">
        <w:rPr>
          <w:snapToGrid/>
        </w:rPr>
        <w:t>period</w:t>
      </w:r>
      <w:r>
        <w:rPr>
          <w:snapToGrid/>
        </w:rPr>
        <w:t xml:space="preserve">, </w:t>
      </w:r>
      <w:r>
        <w:t xml:space="preserve">applications will be granted on the express condition that the licensee must cancel its authorization for the corresponding frequencies in the </w:t>
      </w:r>
      <w:r w:rsidRPr="009F7BFF">
        <w:t>897.5-900.5 MHz/936.5-939.5 MHz</w:t>
      </w:r>
      <w:r>
        <w:t xml:space="preserve"> segment </w:t>
      </w:r>
      <w:r w:rsidR="00986DDE">
        <w:t>no later than 180 days after the application is granted.</w:t>
      </w:r>
      <w:r>
        <w:rPr>
          <w:rStyle w:val="FootnoteReference"/>
        </w:rPr>
        <w:footnoteReference w:id="20"/>
      </w:r>
      <w:r w:rsidR="00986DDE">
        <w:t xml:space="preserve">  A failure to cancel the </w:t>
      </w:r>
      <w:r w:rsidRPr="009F7BFF" w:rsidR="00986DDE">
        <w:t>897.5-900.5 MHz/936.5-939.5 MHz</w:t>
      </w:r>
      <w:r w:rsidR="00986DDE">
        <w:t xml:space="preserve"> segment frequencies as required shall constitute a failure to meet a condition of the grant and thus grounds for declaring that the authorization for the frequencies in the </w:t>
      </w:r>
      <w:r w:rsidRPr="0027131B" w:rsidR="00986DDE">
        <w:t>896-897.5/935-936.5 MHz</w:t>
      </w:r>
      <w:r w:rsidR="00986DDE">
        <w:t xml:space="preserve"> and/or </w:t>
      </w:r>
      <w:r w:rsidRPr="0027131B" w:rsidR="00986DDE">
        <w:t>900.5-901/939.5-940 MHz</w:t>
      </w:r>
      <w:r w:rsidR="00986DDE">
        <w:t xml:space="preserve"> segments terminated.</w:t>
      </w:r>
    </w:p>
    <w:p w:rsidR="00880529" w:rsidRPr="00880529" w:rsidP="00880529" w14:paraId="7D73D0E9" w14:textId="77777777">
      <w:pPr>
        <w:ind w:left="720"/>
        <w:jc w:val="left"/>
        <w:rPr>
          <w:spacing w:val="-2"/>
        </w:rPr>
      </w:pPr>
    </w:p>
    <w:p w:rsidR="00880529" w:rsidRPr="00430252" w:rsidP="00021281" w14:paraId="533809DD" w14:textId="204FD851">
      <w:pPr>
        <w:numPr>
          <w:ilvl w:val="0"/>
          <w:numId w:val="22"/>
        </w:numPr>
        <w:tabs>
          <w:tab w:val="clear" w:pos="1080"/>
        </w:tabs>
        <w:jc w:val="left"/>
        <w:rPr>
          <w:spacing w:val="-2"/>
        </w:rPr>
      </w:pPr>
      <w:r>
        <w:t>We note that it is not necessary to modify</w:t>
      </w:r>
      <w:r>
        <w:t xml:space="preserve"> the filing freeze to permit licensees to </w:t>
      </w:r>
      <w:r w:rsidRPr="007603EA">
        <w:rPr>
          <w:i/>
        </w:rPr>
        <w:t>assign</w:t>
      </w:r>
      <w:r>
        <w:t xml:space="preserve"> </w:t>
      </w:r>
      <w:r>
        <w:t xml:space="preserve">frequencies in the proposed broadband segment </w:t>
      </w:r>
      <w:r>
        <w:t>in exchange for</w:t>
      </w:r>
      <w:r>
        <w:t xml:space="preserve"> equivalent frequencies outside the proposed broadband segment</w:t>
      </w:r>
      <w:r>
        <w:t xml:space="preserve">, as requested by </w:t>
      </w:r>
      <w:r>
        <w:t>Anterix</w:t>
      </w:r>
      <w:r>
        <w:t>.</w:t>
      </w:r>
      <w:r>
        <w:rPr>
          <w:rStyle w:val="FootnoteReference"/>
        </w:rPr>
        <w:footnoteReference w:id="21"/>
      </w:r>
      <w:r>
        <w:t xml:space="preserve">  </w:t>
      </w:r>
      <w:r w:rsidRPr="000A2EEF">
        <w:t>T</w:t>
      </w:r>
      <w:r>
        <w:t xml:space="preserve">he </w:t>
      </w:r>
      <w:r>
        <w:rPr>
          <w:i/>
        </w:rPr>
        <w:t>Public Notice</w:t>
      </w:r>
      <w:r>
        <w:t xml:space="preserve"> specifically provides that the freeze does not apply to “applications to assign, transfer, or lease existing licenses.”</w:t>
      </w:r>
      <w:r>
        <w:rPr>
          <w:rStyle w:val="FootnoteReference"/>
        </w:rPr>
        <w:footnoteReference w:id="22"/>
      </w:r>
      <w:r>
        <w:t xml:space="preserve">  We hereby clarify that this exception covers not only applications to assign entire licenses, but also applications to assign specific frequencies.  </w:t>
      </w:r>
    </w:p>
    <w:p w:rsidR="00430252" w:rsidRPr="00430252" w:rsidP="00430252" w14:paraId="29A7EB69" w14:textId="77777777">
      <w:pPr>
        <w:jc w:val="left"/>
        <w:rPr>
          <w:spacing w:val="-2"/>
        </w:rPr>
      </w:pPr>
    </w:p>
    <w:p w:rsidR="00A83031" w:rsidRPr="00F807DB" w:rsidP="00021281" w14:paraId="1F82B316" w14:textId="53465D37">
      <w:pPr>
        <w:numPr>
          <w:ilvl w:val="0"/>
          <w:numId w:val="22"/>
        </w:numPr>
        <w:tabs>
          <w:tab w:val="clear" w:pos="1080"/>
        </w:tabs>
        <w:jc w:val="left"/>
        <w:rPr>
          <w:spacing w:val="-2"/>
        </w:rPr>
      </w:pPr>
      <w:r w:rsidRPr="00DB3534">
        <w:rPr>
          <w:spacing w:val="-2"/>
        </w:rPr>
        <w:t xml:space="preserve">Accordingly, </w:t>
      </w:r>
      <w:r w:rsidRPr="008107AE" w:rsidR="008107AE">
        <w:rPr>
          <w:spacing w:val="-2"/>
        </w:rPr>
        <w:t xml:space="preserve">IT IS ORDERED, pursuant to </w:t>
      </w:r>
      <w:r w:rsidR="00B426DD">
        <w:rPr>
          <w:spacing w:val="-2"/>
        </w:rPr>
        <w:t>s</w:t>
      </w:r>
      <w:r w:rsidRPr="008107AE" w:rsidR="008107AE">
        <w:rPr>
          <w:spacing w:val="-2"/>
        </w:rPr>
        <w:t xml:space="preserve">ection 4(i) of the Communications Act of 1934, as amended, 47 U.S.C. § 154(i), and </w:t>
      </w:r>
      <w:r w:rsidR="003F3E32">
        <w:rPr>
          <w:spacing w:val="-2"/>
        </w:rPr>
        <w:t>s</w:t>
      </w:r>
      <w:r w:rsidRPr="008107AE" w:rsidR="008107AE">
        <w:rPr>
          <w:spacing w:val="-2"/>
        </w:rPr>
        <w:t>ection</w:t>
      </w:r>
      <w:r w:rsidR="008107AE">
        <w:rPr>
          <w:spacing w:val="-2"/>
        </w:rPr>
        <w:t xml:space="preserve"> </w:t>
      </w:r>
      <w:r w:rsidRPr="008107AE" w:rsidR="008107AE">
        <w:rPr>
          <w:spacing w:val="-2"/>
        </w:rPr>
        <w:t>1.41 of the Commission's rules, 47 CFR §</w:t>
      </w:r>
      <w:r w:rsidR="003F3E32">
        <w:rPr>
          <w:spacing w:val="-2"/>
        </w:rPr>
        <w:t> </w:t>
      </w:r>
      <w:r w:rsidRPr="008107AE" w:rsidR="008107AE">
        <w:rPr>
          <w:spacing w:val="-2"/>
        </w:rPr>
        <w:t>1.41, that the Request for Modification</w:t>
      </w:r>
      <w:r w:rsidR="008107AE">
        <w:rPr>
          <w:spacing w:val="-2"/>
        </w:rPr>
        <w:t xml:space="preserve"> filed by </w:t>
      </w:r>
      <w:r w:rsidRPr="008107AE" w:rsidR="008107AE">
        <w:rPr>
          <w:spacing w:val="-2"/>
        </w:rPr>
        <w:t>pdvWireless</w:t>
      </w:r>
      <w:r w:rsidRPr="008107AE" w:rsidR="008107AE">
        <w:rPr>
          <w:spacing w:val="-2"/>
        </w:rPr>
        <w:t xml:space="preserve">, Inc. d/b/a Anterix, </w:t>
      </w:r>
      <w:r w:rsidR="008107AE">
        <w:rPr>
          <w:spacing w:val="-2"/>
        </w:rPr>
        <w:t>on July 8, 2019</w:t>
      </w:r>
      <w:r w:rsidR="00BA339F">
        <w:rPr>
          <w:spacing w:val="-2"/>
        </w:rPr>
        <w:t>,</w:t>
      </w:r>
      <w:r w:rsidR="008107AE">
        <w:rPr>
          <w:spacing w:val="-2"/>
        </w:rPr>
        <w:t xml:space="preserve"> </w:t>
      </w:r>
      <w:r w:rsidRPr="008107AE" w:rsidR="008107AE">
        <w:rPr>
          <w:spacing w:val="-2"/>
        </w:rPr>
        <w:t xml:space="preserve">IS </w:t>
      </w:r>
      <w:r w:rsidR="008107AE">
        <w:rPr>
          <w:spacing w:val="-2"/>
        </w:rPr>
        <w:t>GRANTED</w:t>
      </w:r>
      <w:r w:rsidRPr="008107AE" w:rsidR="008107AE">
        <w:rPr>
          <w:spacing w:val="-2"/>
        </w:rPr>
        <w:t xml:space="preserve"> </w:t>
      </w:r>
      <w:r w:rsidR="00F807DB">
        <w:rPr>
          <w:spacing w:val="-2"/>
        </w:rPr>
        <w:t>and t</w:t>
      </w:r>
      <w:r w:rsidR="00143C68">
        <w:rPr>
          <w:spacing w:val="-2"/>
        </w:rPr>
        <w:t>he</w:t>
      </w:r>
      <w:r w:rsidR="00F807DB">
        <w:rPr>
          <w:spacing w:val="-2"/>
        </w:rPr>
        <w:t xml:space="preserve"> </w:t>
      </w:r>
      <w:r w:rsidR="003F3E32">
        <w:rPr>
          <w:spacing w:val="-2"/>
        </w:rPr>
        <w:t>application</w:t>
      </w:r>
      <w:r w:rsidR="00F807DB">
        <w:rPr>
          <w:spacing w:val="-2"/>
        </w:rPr>
        <w:t xml:space="preserve"> freeze</w:t>
      </w:r>
      <w:r w:rsidR="003F3E32">
        <w:rPr>
          <w:spacing w:val="-2"/>
        </w:rPr>
        <w:t xml:space="preserve"> set forth in </w:t>
      </w:r>
      <w:r w:rsidR="003F3E32">
        <w:rPr>
          <w:i/>
          <w:spacing w:val="-2"/>
        </w:rPr>
        <w:t>Public Notice</w:t>
      </w:r>
      <w:r w:rsidR="003F3E32">
        <w:rPr>
          <w:spacing w:val="-2"/>
        </w:rPr>
        <w:t xml:space="preserve"> DA 18-949, WT Docket No. 17-200,</w:t>
      </w:r>
      <w:r w:rsidR="00F807DB">
        <w:rPr>
          <w:spacing w:val="-2"/>
        </w:rPr>
        <w:t xml:space="preserve"> </w:t>
      </w:r>
      <w:r w:rsidR="00920F2C">
        <w:rPr>
          <w:spacing w:val="-2"/>
        </w:rPr>
        <w:t xml:space="preserve">IS MODIFIED </w:t>
      </w:r>
      <w:r w:rsidR="00F807DB">
        <w:rPr>
          <w:spacing w:val="-2"/>
        </w:rPr>
        <w:t xml:space="preserve">as set forth </w:t>
      </w:r>
      <w:r w:rsidR="003F3E32">
        <w:rPr>
          <w:spacing w:val="-2"/>
        </w:rPr>
        <w:t>here</w:t>
      </w:r>
      <w:r w:rsidR="00F807DB">
        <w:rPr>
          <w:spacing w:val="-2"/>
        </w:rPr>
        <w:t>in</w:t>
      </w:r>
      <w:r w:rsidRPr="00F807DB" w:rsidR="008107AE">
        <w:rPr>
          <w:spacing w:val="-2"/>
        </w:rPr>
        <w:t>.</w:t>
      </w:r>
    </w:p>
    <w:p w:rsidR="00A57822" w:rsidRPr="00DB3534" w:rsidP="00A57822" w14:paraId="741D1D05" w14:textId="77777777">
      <w:pPr>
        <w:jc w:val="left"/>
        <w:rPr>
          <w:spacing w:val="-2"/>
        </w:rPr>
      </w:pPr>
    </w:p>
    <w:p w:rsidR="00430252" w14:paraId="75D264DF" w14:textId="77777777">
      <w:pPr>
        <w:widowControl/>
        <w:jc w:val="left"/>
        <w:rPr>
          <w:spacing w:val="-2"/>
        </w:rPr>
      </w:pPr>
      <w:r>
        <w:rPr>
          <w:spacing w:val="-2"/>
        </w:rPr>
        <w:br w:type="page"/>
      </w:r>
    </w:p>
    <w:p w:rsidR="00A57822" w:rsidRPr="003F3E32" w:rsidP="00A57822" w14:paraId="42B7BA42" w14:textId="304C2FCC">
      <w:pPr>
        <w:numPr>
          <w:ilvl w:val="0"/>
          <w:numId w:val="22"/>
        </w:numPr>
        <w:tabs>
          <w:tab w:val="clear" w:pos="1080"/>
        </w:tabs>
        <w:jc w:val="left"/>
        <w:rPr>
          <w:spacing w:val="-2"/>
        </w:rPr>
      </w:pPr>
      <w:r w:rsidRPr="00DB3534">
        <w:rPr>
          <w:spacing w:val="-2"/>
        </w:rPr>
        <w:t>This action is taken under delegated authority pursuant to sections 0.131 and 0.331 of the Commission’s Rules, 47 CFR §§ 0.131, 0.331.</w:t>
      </w:r>
    </w:p>
    <w:p w:rsidR="00A57822" w:rsidRPr="00DB3534" w:rsidP="00A57822" w14:paraId="1D7148DA" w14:textId="77777777">
      <w:pPr>
        <w:jc w:val="left"/>
        <w:rPr>
          <w:spacing w:val="-2"/>
        </w:rPr>
      </w:pPr>
    </w:p>
    <w:p w:rsidR="00A83031" w:rsidRPr="00DB3534" w:rsidP="00A83031" w14:paraId="1E0482A1" w14:textId="77777777">
      <w:pPr>
        <w:jc w:val="left"/>
        <w:rPr>
          <w:spacing w:val="-2"/>
        </w:rPr>
      </w:pPr>
      <w:r w:rsidRPr="00DB3534">
        <w:rPr>
          <w:spacing w:val="-2"/>
        </w:rPr>
        <w:tab/>
      </w:r>
      <w:r w:rsidRPr="00DB3534">
        <w:rPr>
          <w:spacing w:val="-2"/>
        </w:rPr>
        <w:tab/>
      </w:r>
      <w:r w:rsidRPr="00DB3534">
        <w:rPr>
          <w:spacing w:val="-2"/>
        </w:rPr>
        <w:tab/>
      </w:r>
      <w:r w:rsidRPr="00DB3534">
        <w:rPr>
          <w:spacing w:val="-2"/>
        </w:rPr>
        <w:tab/>
      </w:r>
      <w:r w:rsidRPr="00DB3534">
        <w:rPr>
          <w:spacing w:val="-2"/>
        </w:rPr>
        <w:tab/>
      </w:r>
      <w:r w:rsidRPr="00DB3534">
        <w:rPr>
          <w:spacing w:val="-2"/>
        </w:rPr>
        <w:tab/>
        <w:t>FEDERAL COMMUNICATIONS COMMISSION</w:t>
      </w:r>
    </w:p>
    <w:p w:rsidR="00A83031" w:rsidRPr="00DB3534" w:rsidP="00A83031" w14:paraId="2E140D24" w14:textId="77777777">
      <w:pPr>
        <w:jc w:val="left"/>
        <w:rPr>
          <w:spacing w:val="-2"/>
        </w:rPr>
      </w:pPr>
      <w:r w:rsidRPr="00DB3534">
        <w:rPr>
          <w:spacing w:val="-2"/>
        </w:rPr>
        <w:tab/>
      </w:r>
    </w:p>
    <w:p w:rsidR="00A83031" w:rsidP="00A83031" w14:paraId="5248EFD3" w14:textId="2374AEF5">
      <w:pPr>
        <w:jc w:val="left"/>
        <w:rPr>
          <w:spacing w:val="-2"/>
        </w:rPr>
      </w:pPr>
    </w:p>
    <w:p w:rsidR="00430252" w:rsidRPr="00DB3534" w:rsidP="00A83031" w14:paraId="4E68AEDE" w14:textId="77777777">
      <w:pPr>
        <w:jc w:val="left"/>
        <w:rPr>
          <w:spacing w:val="-2"/>
        </w:rPr>
      </w:pPr>
    </w:p>
    <w:p w:rsidR="00A83031" w:rsidRPr="00DB3534" w:rsidP="00A83031" w14:paraId="53255202" w14:textId="77777777">
      <w:pPr>
        <w:jc w:val="left"/>
        <w:rPr>
          <w:spacing w:val="-2"/>
        </w:rPr>
      </w:pPr>
      <w:r w:rsidRPr="00DB3534">
        <w:rPr>
          <w:spacing w:val="-2"/>
        </w:rPr>
        <w:tab/>
      </w:r>
      <w:r w:rsidRPr="00DB3534">
        <w:rPr>
          <w:spacing w:val="-2"/>
        </w:rPr>
        <w:tab/>
      </w:r>
    </w:p>
    <w:p w:rsidR="00A83031" w:rsidRPr="00DB3534" w:rsidP="00A83031" w14:paraId="59C80731" w14:textId="77777777">
      <w:pPr>
        <w:jc w:val="left"/>
        <w:rPr>
          <w:spacing w:val="-2"/>
        </w:rPr>
      </w:pPr>
      <w:r w:rsidRPr="00DB3534">
        <w:rPr>
          <w:spacing w:val="-2"/>
        </w:rPr>
        <w:tab/>
      </w:r>
      <w:r w:rsidRPr="00DB3534">
        <w:rPr>
          <w:spacing w:val="-2"/>
        </w:rPr>
        <w:tab/>
      </w:r>
      <w:r w:rsidRPr="00DB3534">
        <w:rPr>
          <w:spacing w:val="-2"/>
        </w:rPr>
        <w:tab/>
      </w:r>
      <w:r w:rsidRPr="00DB3534">
        <w:rPr>
          <w:spacing w:val="-2"/>
        </w:rPr>
        <w:tab/>
      </w:r>
      <w:r w:rsidRPr="00DB3534">
        <w:rPr>
          <w:spacing w:val="-2"/>
        </w:rPr>
        <w:tab/>
      </w:r>
      <w:r w:rsidRPr="00DB3534">
        <w:rPr>
          <w:spacing w:val="-2"/>
        </w:rPr>
        <w:tab/>
      </w:r>
      <w:r w:rsidR="003F3E32">
        <w:rPr>
          <w:spacing w:val="-2"/>
        </w:rPr>
        <w:t>Donald K. Stockdale</w:t>
      </w:r>
    </w:p>
    <w:p w:rsidR="00A83031" w:rsidRPr="004C5A68" w:rsidP="00A83031" w14:paraId="69C8D54A" w14:textId="77777777">
      <w:pPr>
        <w:jc w:val="left"/>
        <w:rPr>
          <w:spacing w:val="-2"/>
        </w:rPr>
      </w:pPr>
      <w:r w:rsidRPr="00DB3534">
        <w:rPr>
          <w:spacing w:val="-2"/>
        </w:rPr>
        <w:tab/>
      </w:r>
      <w:r w:rsidRPr="00DB3534">
        <w:rPr>
          <w:spacing w:val="-2"/>
        </w:rPr>
        <w:tab/>
      </w:r>
      <w:r w:rsidRPr="00DB3534">
        <w:rPr>
          <w:spacing w:val="-2"/>
        </w:rPr>
        <w:tab/>
      </w:r>
      <w:r w:rsidRPr="00DB3534">
        <w:rPr>
          <w:spacing w:val="-2"/>
        </w:rPr>
        <w:tab/>
      </w:r>
      <w:r w:rsidRPr="00DB3534">
        <w:rPr>
          <w:spacing w:val="-2"/>
        </w:rPr>
        <w:tab/>
      </w:r>
      <w:r w:rsidRPr="00DB3534">
        <w:rPr>
          <w:spacing w:val="-2"/>
        </w:rPr>
        <w:tab/>
        <w:t>Chief, Wireless Telecommunications Bureau</w:t>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9A6" w14:paraId="41B1EE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4429A6" w14:paraId="6222AD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9A6" w14:paraId="35B228A4" w14:textId="77777777">
    <w:pPr>
      <w:pStyle w:val="Footer"/>
      <w:framePr w:wrap="around" w:vAnchor="text" w:hAnchor="margin" w:xAlign="center" w:y="1"/>
    </w:pPr>
    <w:r>
      <w:fldChar w:fldCharType="begin"/>
    </w:r>
    <w:r>
      <w:instrText xml:space="preserve">PAGE  </w:instrText>
    </w:r>
    <w:r>
      <w:fldChar w:fldCharType="separate"/>
    </w:r>
    <w:r>
      <w:t>4</w:t>
    </w:r>
    <w:r>
      <w:fldChar w:fldCharType="end"/>
    </w:r>
  </w:p>
  <w:p w:rsidR="004429A6" w14:paraId="0ECDEE9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0904" w14:paraId="21ACA0E6" w14:textId="77777777">
      <w:r>
        <w:separator/>
      </w:r>
    </w:p>
  </w:footnote>
  <w:footnote w:type="continuationSeparator" w:id="1">
    <w:p w:rsidR="004F0904" w14:paraId="411F0257" w14:textId="77777777">
      <w:pPr>
        <w:rPr>
          <w:sz w:val="20"/>
        </w:rPr>
      </w:pPr>
      <w:r>
        <w:rPr>
          <w:sz w:val="20"/>
        </w:rPr>
        <w:t xml:space="preserve">(Continued from previous page)  </w:t>
      </w:r>
      <w:r>
        <w:rPr>
          <w:sz w:val="20"/>
        </w:rPr>
        <w:separator/>
      </w:r>
    </w:p>
  </w:footnote>
  <w:footnote w:type="continuationNotice" w:id="2">
    <w:p w:rsidR="004F0904" w:rsidRPr="006561BD" w:rsidP="006561BD" w14:paraId="513D56BD" w14:textId="77777777">
      <w:pPr>
        <w:pStyle w:val="Footer"/>
      </w:pPr>
    </w:p>
  </w:footnote>
  <w:footnote w:id="3">
    <w:p w:rsidR="00E67838" w:rsidP="00E67838" w14:paraId="07EFD89E" w14:textId="77777777">
      <w:pPr>
        <w:pStyle w:val="FootnoteText"/>
      </w:pPr>
      <w:r>
        <w:rPr>
          <w:rStyle w:val="FootnoteReference"/>
        </w:rPr>
        <w:footnoteRef/>
      </w:r>
      <w:r>
        <w:t xml:space="preserve"> </w:t>
      </w:r>
      <w:r w:rsidRPr="003427EB">
        <w:rPr>
          <w:i/>
        </w:rPr>
        <w:t>See Wireless Telecommunications Bureau Announces Temporary Filing Freeze on the Acceptance of Certain Part 90 Applications for 896-901/935-940 MHz (900 MHz Band) Spectrum</w:t>
      </w:r>
      <w:r>
        <w:t xml:space="preserve">, </w:t>
      </w:r>
      <w:r w:rsidRPr="003427EB">
        <w:t>Public Notice</w:t>
      </w:r>
      <w:r>
        <w:rPr>
          <w:i/>
        </w:rPr>
        <w:t xml:space="preserve">, </w:t>
      </w:r>
      <w:r w:rsidRPr="00767BD3">
        <w:t xml:space="preserve">33 FCC </w:t>
      </w:r>
      <w:r w:rsidRPr="00767BD3">
        <w:t>Rcd</w:t>
      </w:r>
      <w:r w:rsidRPr="00767BD3">
        <w:t xml:space="preserve"> 8735</w:t>
      </w:r>
      <w:r>
        <w:t xml:space="preserve"> (WTB 2018) (</w:t>
      </w:r>
      <w:r>
        <w:rPr>
          <w:i/>
        </w:rPr>
        <w:t>Freeze</w:t>
      </w:r>
      <w:r w:rsidRPr="00820EED">
        <w:rPr>
          <w:i/>
        </w:rPr>
        <w:t xml:space="preserve"> Public Notic</w:t>
      </w:r>
      <w:r>
        <w:rPr>
          <w:i/>
        </w:rPr>
        <w:t>e)</w:t>
      </w:r>
      <w:r w:rsidR="00E07E8A">
        <w:t xml:space="preserve">, </w:t>
      </w:r>
      <w:r w:rsidRPr="00067C18" w:rsidR="00E07E8A">
        <w:rPr>
          <w:i/>
        </w:rPr>
        <w:t>recon. pending</w:t>
      </w:r>
      <w:r>
        <w:rPr>
          <w:i/>
        </w:rPr>
        <w:t>.</w:t>
      </w:r>
    </w:p>
  </w:footnote>
  <w:footnote w:id="4">
    <w:p w:rsidR="00E67838" w:rsidRPr="00310098" w:rsidP="00E67838" w14:paraId="1755E35E" w14:textId="3CBAAF15">
      <w:pPr>
        <w:pStyle w:val="FootnoteText"/>
      </w:pPr>
      <w:r>
        <w:rPr>
          <w:rStyle w:val="FootnoteReference"/>
        </w:rPr>
        <w:footnoteRef/>
      </w:r>
      <w:r>
        <w:t xml:space="preserve"> </w:t>
      </w:r>
      <w:r w:rsidRPr="001E0257">
        <w:rPr>
          <w:i/>
        </w:rPr>
        <w:t>See</w:t>
      </w:r>
      <w:r w:rsidRPr="001E0257">
        <w:t xml:space="preserve"> </w:t>
      </w:r>
      <w:r>
        <w:t xml:space="preserve">Letter from Elizabeth R. Sachs, Counsel for </w:t>
      </w:r>
      <w:r>
        <w:t>pdvWireless</w:t>
      </w:r>
      <w:r>
        <w:t>, Inc. d/b/a Anterix, to Donald Stockdale, Chief, Wireless Telecommunications Bureau</w:t>
      </w:r>
      <w:r w:rsidRPr="001E0257">
        <w:t xml:space="preserve"> (</w:t>
      </w:r>
      <w:r>
        <w:t>July 8, 2019</w:t>
      </w:r>
      <w:r w:rsidRPr="001E0257">
        <w:t>) (</w:t>
      </w:r>
      <w:r>
        <w:t>Request).</w:t>
      </w:r>
      <w:r w:rsidR="002634B3">
        <w:t xml:space="preserve">  </w:t>
      </w:r>
      <w:r w:rsidR="00880529">
        <w:t xml:space="preserve">In addition, we note that a request for broader modification of the freeze remains pending.  </w:t>
      </w:r>
      <w:r w:rsidRPr="008501A6" w:rsidR="00880529">
        <w:rPr>
          <w:i/>
        </w:rPr>
        <w:t>See</w:t>
      </w:r>
      <w:r w:rsidR="00880529">
        <w:t xml:space="preserve"> </w:t>
      </w:r>
      <w:r w:rsidRPr="001E0257" w:rsidR="00880529">
        <w:t xml:space="preserve">Petition </w:t>
      </w:r>
      <w:r w:rsidR="00880529">
        <w:t>for Reconsideration or Clarification of the Utilities Technology Council</w:t>
      </w:r>
      <w:r w:rsidRPr="001E0257" w:rsidR="00880529">
        <w:t xml:space="preserve"> (filed </w:t>
      </w:r>
      <w:r w:rsidR="00880529">
        <w:t>Oct. 15, 2018</w:t>
      </w:r>
      <w:r w:rsidRPr="001E0257" w:rsidR="00880529">
        <w:t>)</w:t>
      </w:r>
      <w:r w:rsidR="00880529">
        <w:t xml:space="preserve">; </w:t>
      </w:r>
      <w:r w:rsidR="00880529">
        <w:rPr>
          <w:i/>
        </w:rPr>
        <w:t xml:space="preserve">see also </w:t>
      </w:r>
      <w:r w:rsidRPr="00770303" w:rsidR="00880529">
        <w:t>Letter from William P. Cox, Senior Attorney, NextEra Energy Inc., to Donald Stockdale, Chief, Wireless Telecommunications Bureau (Aug. 7, 2019)</w:t>
      </w:r>
      <w:r w:rsidR="00880529">
        <w:t xml:space="preserve"> (supporting UTC request).</w:t>
      </w:r>
    </w:p>
  </w:footnote>
  <w:footnote w:id="5">
    <w:p w:rsidR="00993AC0" w:rsidRPr="00A20AE9" w:rsidP="00993AC0" w14:paraId="550048F1" w14:textId="77777777">
      <w:pPr>
        <w:pStyle w:val="FootnoteText"/>
      </w:pPr>
      <w:r>
        <w:rPr>
          <w:rStyle w:val="FootnoteReference"/>
        </w:rPr>
        <w:footnoteRef/>
      </w:r>
      <w:r>
        <w:t xml:space="preserve"> </w:t>
      </w:r>
      <w:r>
        <w:rPr>
          <w:i/>
        </w:rPr>
        <w:t xml:space="preserve">See Freeze Public Notice, </w:t>
      </w:r>
      <w:r>
        <w:t xml:space="preserve">33 FCC </w:t>
      </w:r>
      <w:r>
        <w:t>Rcd</w:t>
      </w:r>
      <w:r>
        <w:t xml:space="preserve"> at</w:t>
      </w:r>
      <w:r w:rsidRPr="003427EB">
        <w:t xml:space="preserve"> </w:t>
      </w:r>
      <w:r>
        <w:t>8735-36</w:t>
      </w:r>
      <w:bookmarkStart w:id="2" w:name="_Hlk16790125"/>
      <w:r>
        <w:t>.</w:t>
      </w:r>
    </w:p>
    <w:bookmarkEnd w:id="2"/>
  </w:footnote>
  <w:footnote w:id="6">
    <w:p w:rsidR="00993AC0" w:rsidP="00993AC0" w14:paraId="06FB1D72" w14:textId="77777777">
      <w:pPr>
        <w:pStyle w:val="FootnoteText"/>
      </w:pPr>
      <w:r>
        <w:rPr>
          <w:rStyle w:val="FootnoteReference"/>
        </w:rPr>
        <w:footnoteRef/>
      </w:r>
      <w:r>
        <w:t xml:space="preserve"> </w:t>
      </w:r>
      <w:r>
        <w:rPr>
          <w:i/>
        </w:rPr>
        <w:t>Id.</w:t>
      </w:r>
      <w:r>
        <w:t xml:space="preserve"> at 8735 (citing </w:t>
      </w:r>
      <w:r w:rsidRPr="003427EB">
        <w:rPr>
          <w:i/>
        </w:rPr>
        <w:t>Review of the Commission’s Rules Governing the 896-901/935-940 MHz Band,</w:t>
      </w:r>
      <w:r w:rsidRPr="003D5D5F">
        <w:t xml:space="preserve"> </w:t>
      </w:r>
      <w:r w:rsidRPr="003427EB">
        <w:t>Notice of Inquiry,</w:t>
      </w:r>
      <w:r w:rsidRPr="003D5D5F">
        <w:t xml:space="preserve"> 32 FCC 6421 (2017)</w:t>
      </w:r>
      <w:r>
        <w:t>).</w:t>
      </w:r>
    </w:p>
  </w:footnote>
  <w:footnote w:id="7">
    <w:p w:rsidR="00993AC0" w:rsidRPr="000A5C45" w:rsidP="00993AC0" w14:paraId="6AA5545C" w14:textId="77777777">
      <w:pPr>
        <w:pStyle w:val="FootnoteText"/>
      </w:pPr>
      <w:r>
        <w:rPr>
          <w:rStyle w:val="FootnoteReference"/>
        </w:rPr>
        <w:footnoteRef/>
      </w:r>
      <w:r>
        <w:t xml:space="preserve"> </w:t>
      </w:r>
      <w:r>
        <w:rPr>
          <w:i/>
        </w:rPr>
        <w:t>See id.</w:t>
      </w:r>
      <w:r>
        <w:t xml:space="preserve"> at</w:t>
      </w:r>
      <w:r w:rsidRPr="003427EB">
        <w:t xml:space="preserve"> </w:t>
      </w:r>
      <w:r>
        <w:t>8736, n.4.</w:t>
      </w:r>
    </w:p>
  </w:footnote>
  <w:footnote w:id="8">
    <w:p w:rsidR="00993AC0" w:rsidP="00993AC0" w14:paraId="63A2453B" w14:textId="77777777">
      <w:pPr>
        <w:pStyle w:val="FootnoteText"/>
      </w:pPr>
      <w:r>
        <w:rPr>
          <w:rStyle w:val="FootnoteReference"/>
        </w:rPr>
        <w:footnoteRef/>
      </w:r>
      <w:r>
        <w:t xml:space="preserve"> </w:t>
      </w:r>
      <w:r>
        <w:rPr>
          <w:i/>
        </w:rPr>
        <w:t xml:space="preserve">See </w:t>
      </w:r>
      <w:r w:rsidRPr="003427EB">
        <w:rPr>
          <w:i/>
        </w:rPr>
        <w:t>Review of the Commission’s Rules Governing the 896-901/935-940 MHz Band</w:t>
      </w:r>
      <w:r w:rsidRPr="004D55AF">
        <w:t>,</w:t>
      </w:r>
      <w:r w:rsidRPr="003427EB">
        <w:rPr>
          <w:i/>
        </w:rPr>
        <w:t xml:space="preserve"> </w:t>
      </w:r>
      <w:r w:rsidRPr="003427EB">
        <w:t>Notice of Proposed Rulemaking,</w:t>
      </w:r>
      <w:r>
        <w:t xml:space="preserve"> 34 FCC </w:t>
      </w:r>
      <w:r>
        <w:t>Rcd</w:t>
      </w:r>
      <w:r>
        <w:t xml:space="preserve"> 1550, </w:t>
      </w:r>
      <w:r>
        <w:rPr>
          <w:rFonts w:eastAsia="Calibri"/>
        </w:rPr>
        <w:t>1555, para. 15</w:t>
      </w:r>
      <w:r>
        <w:t xml:space="preserve"> (2019).  </w:t>
      </w:r>
    </w:p>
  </w:footnote>
  <w:footnote w:id="9">
    <w:p w:rsidR="00C84C83" w:rsidP="00C84C83" w14:paraId="6346D348" w14:textId="77777777">
      <w:pPr>
        <w:pStyle w:val="FootnoteText"/>
      </w:pPr>
      <w:r>
        <w:rPr>
          <w:rStyle w:val="FootnoteReference"/>
        </w:rPr>
        <w:footnoteRef/>
      </w:r>
      <w:r>
        <w:t xml:space="preserve"> </w:t>
      </w:r>
      <w:r>
        <w:rPr>
          <w:i/>
        </w:rPr>
        <w:t xml:space="preserve">See </w:t>
      </w:r>
      <w:r w:rsidR="001D72DA">
        <w:rPr>
          <w:i/>
        </w:rPr>
        <w:t>id.</w:t>
      </w:r>
      <w:r>
        <w:t xml:space="preserve"> at 15</w:t>
      </w:r>
      <w:r w:rsidR="001D72DA">
        <w:t>64</w:t>
      </w:r>
      <w:r>
        <w:t xml:space="preserve">, para. </w:t>
      </w:r>
      <w:r w:rsidR="001D72DA">
        <w:t>36</w:t>
      </w:r>
      <w:r>
        <w:t>.</w:t>
      </w:r>
    </w:p>
  </w:footnote>
  <w:footnote w:id="10">
    <w:p w:rsidR="00A17080" w14:paraId="2F244BBF" w14:textId="77777777">
      <w:pPr>
        <w:pStyle w:val="FootnoteText"/>
      </w:pPr>
      <w:r>
        <w:rPr>
          <w:rStyle w:val="FootnoteReference"/>
        </w:rPr>
        <w:footnoteRef/>
      </w:r>
      <w:r>
        <w:t xml:space="preserve"> </w:t>
      </w:r>
      <w:r>
        <w:rPr>
          <w:i/>
        </w:rPr>
        <w:t xml:space="preserve">See </w:t>
      </w:r>
      <w:r w:rsidRPr="00A17080">
        <w:t>Request</w:t>
      </w:r>
      <w:r>
        <w:rPr>
          <w:i/>
        </w:rPr>
        <w:t xml:space="preserve"> </w:t>
      </w:r>
      <w:r>
        <w:t>at 2.</w:t>
      </w:r>
    </w:p>
  </w:footnote>
  <w:footnote w:id="11">
    <w:p w:rsidR="00123681" w:rsidRPr="00123681" w14:paraId="1E7AA905" w14:textId="391B1156">
      <w:pPr>
        <w:pStyle w:val="FootnoteText"/>
      </w:pPr>
      <w:r>
        <w:rPr>
          <w:rStyle w:val="FootnoteReference"/>
        </w:rPr>
        <w:footnoteRef/>
      </w:r>
      <w:r>
        <w:t xml:space="preserve"> </w:t>
      </w:r>
      <w:r w:rsidRPr="009A4230" w:rsidR="00A17080">
        <w:rPr>
          <w:i/>
        </w:rPr>
        <w:t>See id.</w:t>
      </w:r>
      <w:r w:rsidR="00310098">
        <w:rPr>
          <w:i/>
        </w:rPr>
        <w:t xml:space="preserve">  </w:t>
      </w:r>
    </w:p>
  </w:footnote>
  <w:footnote w:id="12">
    <w:p w:rsidR="00A17080" w:rsidRPr="00E94FFD" w14:paraId="62B2D4FE" w14:textId="45F7F3E7">
      <w:pPr>
        <w:pStyle w:val="FootnoteText"/>
      </w:pPr>
      <w:r>
        <w:rPr>
          <w:rStyle w:val="FootnoteReference"/>
        </w:rPr>
        <w:footnoteRef/>
      </w:r>
      <w:r>
        <w:t xml:space="preserve"> </w:t>
      </w:r>
      <w:r w:rsidRPr="009A4230">
        <w:rPr>
          <w:i/>
        </w:rPr>
        <w:t xml:space="preserve">See </w:t>
      </w:r>
      <w:r w:rsidRPr="009A4230" w:rsidR="00BA339F">
        <w:rPr>
          <w:i/>
        </w:rPr>
        <w:t>id.</w:t>
      </w:r>
      <w:r w:rsidR="00E94FFD">
        <w:t xml:space="preserve">  </w:t>
      </w:r>
    </w:p>
  </w:footnote>
  <w:footnote w:id="13">
    <w:p w:rsidR="009A4230" w:rsidRPr="009A4230" w14:paraId="01A20C9D" w14:textId="109346C0">
      <w:pPr>
        <w:pStyle w:val="FootnoteText"/>
        <w:rPr>
          <w:i/>
        </w:rPr>
      </w:pPr>
      <w:r>
        <w:rPr>
          <w:rStyle w:val="FootnoteReference"/>
        </w:rPr>
        <w:footnoteRef/>
      </w:r>
      <w:r>
        <w:t xml:space="preserve"> </w:t>
      </w:r>
      <w:r>
        <w:rPr>
          <w:i/>
        </w:rPr>
        <w:t>See</w:t>
      </w:r>
      <w:r w:rsidR="00625055">
        <w:rPr>
          <w:i/>
        </w:rPr>
        <w:t xml:space="preserve"> id.</w:t>
      </w:r>
    </w:p>
  </w:footnote>
  <w:footnote w:id="14">
    <w:p w:rsidR="002634B3" w14:paraId="40CA8B92" w14:textId="77777777">
      <w:pPr>
        <w:pStyle w:val="FootnoteText"/>
      </w:pPr>
      <w:r>
        <w:rPr>
          <w:rStyle w:val="FootnoteReference"/>
        </w:rPr>
        <w:footnoteRef/>
      </w:r>
      <w:r>
        <w:t xml:space="preserve"> </w:t>
      </w:r>
      <w:r w:rsidRPr="009A4230">
        <w:rPr>
          <w:i/>
        </w:rPr>
        <w:t>See id.</w:t>
      </w:r>
    </w:p>
  </w:footnote>
  <w:footnote w:id="15">
    <w:p w:rsidR="009A4230" w:rsidP="009A4230" w14:paraId="35594425" w14:textId="77777777">
      <w:pPr>
        <w:pStyle w:val="FootnoteText"/>
      </w:pPr>
      <w:r>
        <w:rPr>
          <w:rStyle w:val="FootnoteReference"/>
        </w:rPr>
        <w:footnoteRef/>
      </w:r>
      <w:r>
        <w:t xml:space="preserve"> </w:t>
      </w:r>
      <w:bookmarkStart w:id="6" w:name="_Hlk19172681"/>
      <w:r>
        <w:rPr>
          <w:i/>
        </w:rPr>
        <w:t xml:space="preserve">See </w:t>
      </w:r>
      <w:bookmarkEnd w:id="6"/>
      <w:r>
        <w:rPr>
          <w:i/>
        </w:rPr>
        <w:t xml:space="preserve">Freeze Public Notice, </w:t>
      </w:r>
      <w:r>
        <w:t>33 FCC at</w:t>
      </w:r>
      <w:r w:rsidRPr="003427EB">
        <w:t xml:space="preserve"> </w:t>
      </w:r>
      <w:r>
        <w:t>8735.</w:t>
      </w:r>
    </w:p>
  </w:footnote>
  <w:footnote w:id="16">
    <w:p w:rsidR="00D13A44" w:rsidP="00D13A44" w14:paraId="3C981828" w14:textId="77777777">
      <w:pPr>
        <w:pStyle w:val="FootnoteText"/>
      </w:pPr>
      <w:r>
        <w:rPr>
          <w:rStyle w:val="FootnoteReference"/>
        </w:rPr>
        <w:footnoteRef/>
      </w:r>
      <w:r>
        <w:t xml:space="preserve"> </w:t>
      </w:r>
      <w:r>
        <w:rPr>
          <w:i/>
        </w:rPr>
        <w:t>See Amendment of the Commission’s Rules with Regard to the 3650-3700 MHz Government Transfer Band</w:t>
      </w:r>
      <w:r>
        <w:t xml:space="preserve">, Memorandum Opinion and Order, 15 FCC </w:t>
      </w:r>
      <w:r>
        <w:t>Rcd</w:t>
      </w:r>
      <w:r>
        <w:t xml:space="preserve"> 9340, 9342, para. 4 (2000).</w:t>
      </w:r>
    </w:p>
  </w:footnote>
  <w:footnote w:id="17">
    <w:p w:rsidR="00AA02EB" w14:paraId="5DC546F7" w14:textId="77777777">
      <w:pPr>
        <w:pStyle w:val="FootnoteText"/>
      </w:pPr>
      <w:r>
        <w:rPr>
          <w:rStyle w:val="FootnoteReference"/>
        </w:rPr>
        <w:footnoteRef/>
      </w:r>
      <w:r>
        <w:t xml:space="preserve"> </w:t>
      </w:r>
      <w:r w:rsidR="00DB6385">
        <w:rPr>
          <w:i/>
        </w:rPr>
        <w:t xml:space="preserve">See </w:t>
      </w:r>
      <w:r>
        <w:rPr>
          <w:i/>
        </w:rPr>
        <w:t>Amendment of Part 90 of the Commission’s Rules to Provide for Flexible Use of the 896-901 MHz and 935-940 MHz Band Allotted to the Business and Industrial Land Transportation Pool; Improving Public Safety Communications in the 800 MHz and 900 MHz Industrial/Land Transportation and Business Pools</w:t>
      </w:r>
      <w:r w:rsidR="00DB6385">
        <w:t xml:space="preserve">, </w:t>
      </w:r>
      <w:r>
        <w:t xml:space="preserve">Order on Reconsideration, 28 FCC </w:t>
      </w:r>
      <w:r>
        <w:t>Rcd</w:t>
      </w:r>
      <w:r>
        <w:t xml:space="preserve"> 9464, 9467, para. 8 (2013).</w:t>
      </w:r>
    </w:p>
  </w:footnote>
  <w:footnote w:id="18">
    <w:p w:rsidR="008F5AC9" w:rsidP="008F5AC9" w14:paraId="16842293" w14:textId="4E15EBA4">
      <w:pPr>
        <w:pStyle w:val="FootnoteText"/>
      </w:pPr>
      <w:r>
        <w:rPr>
          <w:rStyle w:val="FootnoteReference"/>
        </w:rPr>
        <w:footnoteRef/>
      </w:r>
      <w:r>
        <w:t xml:space="preserve"> For example, </w:t>
      </w:r>
      <w:r w:rsidR="007603EA">
        <w:t xml:space="preserve">under the modification to the freeze, </w:t>
      </w:r>
      <w:r>
        <w:t xml:space="preserve">an incumbent </w:t>
      </w:r>
      <w:r w:rsidR="00430252">
        <w:t>that is licensed for</w:t>
      </w:r>
      <w:r>
        <w:t xml:space="preserve"> channel 120 (which is in the proposed broadband segment) at </w:t>
      </w:r>
      <w:r w:rsidR="00430252">
        <w:t xml:space="preserve">two locations will be permitted to replace it with </w:t>
      </w:r>
      <w:r>
        <w:t xml:space="preserve">channel 119 (which is below the proposed broadband segment) at </w:t>
      </w:r>
      <w:r w:rsidR="00430252">
        <w:t xml:space="preserve">those </w:t>
      </w:r>
      <w:r>
        <w:t xml:space="preserve">locations, but not to </w:t>
      </w:r>
      <w:r w:rsidR="00430252">
        <w:t>replace channel 120 with</w:t>
      </w:r>
      <w:r>
        <w:t xml:space="preserve"> channel 119 at </w:t>
      </w:r>
      <w:r w:rsidR="00430252">
        <w:t xml:space="preserve">one </w:t>
      </w:r>
      <w:r>
        <w:t xml:space="preserve">location and channel 118 at </w:t>
      </w:r>
      <w:r w:rsidR="00430252">
        <w:t xml:space="preserve">the other </w:t>
      </w:r>
      <w:r>
        <w:t xml:space="preserve">location.  Similarly, the incumbent </w:t>
      </w:r>
      <w:r w:rsidR="00430252">
        <w:t xml:space="preserve">will not be permitted </w:t>
      </w:r>
      <w:r>
        <w:t xml:space="preserve">to </w:t>
      </w:r>
      <w:r w:rsidR="00430252">
        <w:t xml:space="preserve">replace channel 120 at one location but </w:t>
      </w:r>
      <w:r>
        <w:t xml:space="preserve">retain </w:t>
      </w:r>
      <w:r w:rsidR="00430252">
        <w:t>it at the other location</w:t>
      </w:r>
      <w:r>
        <w:t xml:space="preserve">.  </w:t>
      </w:r>
    </w:p>
  </w:footnote>
  <w:footnote w:id="19">
    <w:p w:rsidR="005374A5" w14:paraId="74404BF2" w14:textId="77777777">
      <w:pPr>
        <w:pStyle w:val="FootnoteText"/>
      </w:pPr>
      <w:r>
        <w:rPr>
          <w:rStyle w:val="FootnoteReference"/>
        </w:rPr>
        <w:footnoteRef/>
      </w:r>
      <w:r>
        <w:t xml:space="preserve"> </w:t>
      </w:r>
      <w:r>
        <w:rPr>
          <w:i/>
        </w:rPr>
        <w:t>See</w:t>
      </w:r>
      <w:r>
        <w:t xml:space="preserve">, </w:t>
      </w:r>
      <w:r>
        <w:rPr>
          <w:i/>
        </w:rPr>
        <w:t>e.g.</w:t>
      </w:r>
      <w:r>
        <w:t xml:space="preserve">, </w:t>
      </w:r>
      <w:r>
        <w:rPr>
          <w:i/>
        </w:rPr>
        <w:t xml:space="preserve">Flint Hills Resources </w:t>
      </w:r>
      <w:r w:rsidR="00B671DC">
        <w:rPr>
          <w:i/>
        </w:rPr>
        <w:t>Corpus Christi</w:t>
      </w:r>
      <w:r>
        <w:rPr>
          <w:i/>
        </w:rPr>
        <w:t>, LLC</w:t>
      </w:r>
      <w:r>
        <w:t xml:space="preserve">, Order, </w:t>
      </w:r>
      <w:r w:rsidR="00B671DC">
        <w:t>DA 19-908</w:t>
      </w:r>
      <w:r>
        <w:t xml:space="preserve">, para. </w:t>
      </w:r>
      <w:r w:rsidR="00B671DC">
        <w:t>9</w:t>
      </w:r>
      <w:r>
        <w:t xml:space="preserve"> (WTB MD </w:t>
      </w:r>
      <w:r w:rsidR="00B671DC">
        <w:t xml:space="preserve">Sept. 12, </w:t>
      </w:r>
      <w:r>
        <w:t>2019).</w:t>
      </w:r>
    </w:p>
  </w:footnote>
  <w:footnote w:id="20">
    <w:p w:rsidR="00986DDE" w:rsidRPr="00A93B8D" w14:paraId="61AE6811" w14:textId="02FB11BD">
      <w:pPr>
        <w:pStyle w:val="FootnoteText"/>
      </w:pPr>
      <w:r>
        <w:rPr>
          <w:rStyle w:val="FootnoteReference"/>
        </w:rPr>
        <w:footnoteRef/>
      </w:r>
      <w:r>
        <w:t xml:space="preserve"> Licensees that cannot meet that deadline may request a longer </w:t>
      </w:r>
      <w:r w:rsidR="00A93B8D">
        <w:t>transition</w:t>
      </w:r>
      <w:r>
        <w:t xml:space="preserve"> period in the modification application</w:t>
      </w:r>
      <w:r w:rsidR="00A93B8D">
        <w:t>.  The applicant must justify the extended transition.  The justification must describe the proposed system</w:t>
      </w:r>
      <w:r>
        <w:t xml:space="preserve"> and</w:t>
      </w:r>
      <w:r w:rsidR="00A93B8D">
        <w:t xml:space="preserve"> state the amount of time necessary to put the replacement frequencies in operation</w:t>
      </w:r>
      <w:r>
        <w:t xml:space="preserve">.  </w:t>
      </w:r>
      <w:r w:rsidR="00A93B8D">
        <w:rPr>
          <w:i/>
        </w:rPr>
        <w:t>Cf.</w:t>
      </w:r>
      <w:r w:rsidR="00A93B8D">
        <w:t xml:space="preserve"> 47 CFR § 90.629(a).  </w:t>
      </w:r>
      <w:r>
        <w:t>In no case, however, will a licensee be permitted to hold both sets of frequencies for more than one year.</w:t>
      </w:r>
      <w:r w:rsidR="00A93B8D">
        <w:t xml:space="preserve">  </w:t>
      </w:r>
      <w:r w:rsidR="00A93B8D">
        <w:rPr>
          <w:i/>
        </w:rPr>
        <w:t>See</w:t>
      </w:r>
      <w:r w:rsidR="00A93B8D">
        <w:t xml:space="preserve"> 47 CFR §</w:t>
      </w:r>
      <w:r w:rsidR="00307FB5">
        <w:t> </w:t>
      </w:r>
      <w:r w:rsidR="00A93B8D">
        <w:t>90.155(a) (part 90 stations generally must be placed into operation within one year of the date of grant or the authorization cancels automatically).</w:t>
      </w:r>
    </w:p>
  </w:footnote>
  <w:footnote w:id="21">
    <w:p w:rsidR="00880529" w14:paraId="4EA9EBC6" w14:textId="129C90F4">
      <w:pPr>
        <w:pStyle w:val="FootnoteText"/>
      </w:pPr>
      <w:r>
        <w:rPr>
          <w:rStyle w:val="FootnoteReference"/>
        </w:rPr>
        <w:footnoteRef/>
      </w:r>
      <w:r>
        <w:t xml:space="preserve"> </w:t>
      </w:r>
      <w:r w:rsidRPr="009A4230">
        <w:rPr>
          <w:i/>
        </w:rPr>
        <w:t>See</w:t>
      </w:r>
      <w:r>
        <w:t xml:space="preserve"> </w:t>
      </w:r>
      <w:r w:rsidRPr="0046075D">
        <w:t>Request at 2</w:t>
      </w:r>
      <w:r w:rsidRPr="009A4230">
        <w:rPr>
          <w:i/>
        </w:rPr>
        <w:t>.</w:t>
      </w:r>
      <w:r>
        <w:rPr>
          <w:i/>
        </w:rPr>
        <w:t xml:space="preserve">  </w:t>
      </w:r>
    </w:p>
  </w:footnote>
  <w:footnote w:id="22">
    <w:p w:rsidR="00880529" w14:paraId="322A6A1A" w14:textId="683FF7B7">
      <w:pPr>
        <w:pStyle w:val="FootnoteText"/>
      </w:pPr>
      <w:r>
        <w:rPr>
          <w:rStyle w:val="FootnoteReference"/>
        </w:rPr>
        <w:footnoteRef/>
      </w:r>
      <w:r>
        <w:t xml:space="preserve"> </w:t>
      </w:r>
      <w:r>
        <w:rPr>
          <w:i/>
        </w:rPr>
        <w:t xml:space="preserve">See Freeze Public Notice, </w:t>
      </w:r>
      <w:r>
        <w:t xml:space="preserve">33 FCC </w:t>
      </w:r>
      <w:r>
        <w:t>Rcd</w:t>
      </w:r>
      <w:r>
        <w:t xml:space="preserve"> at</w:t>
      </w:r>
      <w:r w:rsidRPr="003427EB">
        <w:t xml:space="preserve"> </w:t>
      </w:r>
      <w:r>
        <w:t xml:space="preserve">8736.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9A6" w14:paraId="73AD3E63" w14:textId="0A1F3F65">
    <w:pPr>
      <w:tabs>
        <w:tab w:val="center" w:pos="4680"/>
        <w:tab w:val="right" w:pos="9360"/>
      </w:tabs>
      <w:suppressAutoHyphens/>
      <w:spacing w:line="227" w:lineRule="auto"/>
      <w:rPr>
        <w:spacing w:val="-2"/>
      </w:rPr>
    </w:pPr>
    <w:r>
      <w:rPr>
        <w:b/>
        <w:spacing w:val="-2"/>
      </w:rPr>
      <w:tab/>
      <w:t>Federal Communications Commission</w:t>
    </w:r>
    <w:r>
      <w:rPr>
        <w:spacing w:val="-2"/>
      </w:rPr>
      <w:tab/>
    </w:r>
    <w:r>
      <w:rPr>
        <w:b/>
        <w:spacing w:val="-2"/>
      </w:rPr>
      <w:t xml:space="preserve">DA </w:t>
    </w:r>
    <w:r w:rsidR="006D2895">
      <w:rPr>
        <w:b/>
        <w:spacing w:val="-2"/>
      </w:rPr>
      <w:t>19-1025</w:t>
    </w:r>
    <w:r>
      <w:rPr>
        <w:b/>
        <w:spacing w:val="-2"/>
      </w:rPr>
      <w:t xml:space="preserve"> </w:t>
    </w:r>
  </w:p>
  <w:p w:rsidR="004429A6" w14:paraId="583F5DD0"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txbx>
                      <w:txbxContent>
                        <w:p w:rsidR="004429A6"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4429A6" w14:paraId="46C312A4" w14:textId="77777777"/>
                </w:txbxContent>
              </v:textbox>
              <w10:wrap anchorx="margin"/>
            </v:rect>
          </w:pict>
        </mc:Fallback>
      </mc:AlternateContent>
    </w:r>
  </w:p>
  <w:p w:rsidR="004429A6" w14:paraId="11FEEC8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9A6" w14:paraId="028798D7" w14:textId="19C604FD">
    <w:pPr>
      <w:pStyle w:val="Header"/>
      <w:pBdr>
        <w:bottom w:val="single" w:sz="12" w:space="1" w:color="auto"/>
      </w:pBdr>
      <w:rPr>
        <w:b w:val="0"/>
      </w:rPr>
    </w:pPr>
    <w:r>
      <w:tab/>
      <w:t>Federal Communications Commission</w:t>
    </w:r>
    <w:r>
      <w:tab/>
      <w:t xml:space="preserve">DA </w:t>
    </w:r>
    <w:r w:rsidR="006D2895">
      <w:t>19-1025</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BD40946"/>
    <w:lvl w:ilvl="0">
      <w:start w:val="1"/>
      <w:numFmt w:val="decimal"/>
      <w:lvlText w:val="%1."/>
      <w:lvlJc w:val="left"/>
      <w:pPr>
        <w:tabs>
          <w:tab w:val="num" w:pos="1800"/>
        </w:tabs>
        <w:ind w:left="1800" w:hanging="360"/>
      </w:pPr>
    </w:lvl>
  </w:abstractNum>
  <w:abstractNum w:abstractNumId="1">
    <w:nsid w:val="FFFFFF7D"/>
    <w:multiLevelType w:val="singleLevel"/>
    <w:tmpl w:val="F376A32E"/>
    <w:lvl w:ilvl="0">
      <w:start w:val="1"/>
      <w:numFmt w:val="decimal"/>
      <w:lvlText w:val="%1."/>
      <w:lvlJc w:val="left"/>
      <w:pPr>
        <w:tabs>
          <w:tab w:val="num" w:pos="1440"/>
        </w:tabs>
        <w:ind w:left="1440" w:hanging="360"/>
      </w:pPr>
    </w:lvl>
  </w:abstractNum>
  <w:abstractNum w:abstractNumId="2">
    <w:nsid w:val="FFFFFF7E"/>
    <w:multiLevelType w:val="singleLevel"/>
    <w:tmpl w:val="196236F4"/>
    <w:lvl w:ilvl="0">
      <w:start w:val="1"/>
      <w:numFmt w:val="decimal"/>
      <w:lvlText w:val="%1."/>
      <w:lvlJc w:val="left"/>
      <w:pPr>
        <w:tabs>
          <w:tab w:val="num" w:pos="1080"/>
        </w:tabs>
        <w:ind w:left="1080" w:hanging="360"/>
      </w:pPr>
    </w:lvl>
  </w:abstractNum>
  <w:abstractNum w:abstractNumId="3">
    <w:nsid w:val="FFFFFF7F"/>
    <w:multiLevelType w:val="singleLevel"/>
    <w:tmpl w:val="3990A0E0"/>
    <w:lvl w:ilvl="0">
      <w:start w:val="1"/>
      <w:numFmt w:val="decimal"/>
      <w:lvlText w:val="%1."/>
      <w:lvlJc w:val="left"/>
      <w:pPr>
        <w:tabs>
          <w:tab w:val="num" w:pos="720"/>
        </w:tabs>
        <w:ind w:left="720" w:hanging="360"/>
      </w:pPr>
    </w:lvl>
  </w:abstractNum>
  <w:abstractNum w:abstractNumId="4">
    <w:nsid w:val="FFFFFF80"/>
    <w:multiLevelType w:val="singleLevel"/>
    <w:tmpl w:val="FDC87C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8C21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06AA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72A1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02EE60"/>
    <w:lvl w:ilvl="0">
      <w:start w:val="1"/>
      <w:numFmt w:val="decimal"/>
      <w:lvlText w:val="%1."/>
      <w:lvlJc w:val="left"/>
      <w:pPr>
        <w:tabs>
          <w:tab w:val="num" w:pos="360"/>
        </w:tabs>
        <w:ind w:left="360" w:hanging="360"/>
      </w:pPr>
    </w:lvl>
  </w:abstractNum>
  <w:abstractNum w:abstractNumId="9">
    <w:nsid w:val="FFFFFF89"/>
    <w:multiLevelType w:val="singleLevel"/>
    <w:tmpl w:val="9B662A7A"/>
    <w:lvl w:ilvl="0">
      <w:start w:val="1"/>
      <w:numFmt w:val="bullet"/>
      <w:lvlText w:val=""/>
      <w:lvlJc w:val="left"/>
      <w:pPr>
        <w:tabs>
          <w:tab w:val="num" w:pos="360"/>
        </w:tabs>
        <w:ind w:left="360" w:hanging="360"/>
      </w:pPr>
      <w:rPr>
        <w:rFonts w:ascii="Symbol" w:hAnsi="Symbol" w:hint="default"/>
      </w:rPr>
    </w:lvl>
  </w:abstractNum>
  <w:abstractNum w:abstractNumId="1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1">
    <w:nsid w:val="05135B2A"/>
    <w:multiLevelType w:val="hybridMultilevel"/>
    <w:tmpl w:val="6CAEB134"/>
    <w:lvl w:ilvl="0">
      <w:start w:val="3"/>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14">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15">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1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7">
    <w:nsid w:val="248246F3"/>
    <w:multiLevelType w:val="singleLevel"/>
    <w:tmpl w:val="B1F45678"/>
    <w:lvl w:ilvl="0">
      <w:start w:val="1"/>
      <w:numFmt w:val="decimal"/>
      <w:lvlText w:val="%1."/>
      <w:lvlJc w:val="left"/>
      <w:pPr>
        <w:tabs>
          <w:tab w:val="num" w:pos="1080"/>
        </w:tabs>
        <w:ind w:left="0" w:firstLine="720"/>
      </w:pPr>
    </w:lvl>
  </w:abstractNum>
  <w:abstractNum w:abstractNumId="18">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20">
    <w:nsid w:val="305E3024"/>
    <w:multiLevelType w:val="singleLevel"/>
    <w:tmpl w:val="EA9E5D9A"/>
    <w:lvl w:ilvl="0">
      <w:start w:val="2"/>
      <w:numFmt w:val="decimal"/>
      <w:lvlText w:val="%1."/>
      <w:lvlJc w:val="left"/>
      <w:pPr>
        <w:tabs>
          <w:tab w:val="num" w:pos="1080"/>
        </w:tabs>
        <w:ind w:left="0" w:firstLine="720"/>
      </w:pPr>
    </w:lvl>
  </w:abstractNum>
  <w:abstractNum w:abstractNumId="21">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22">
    <w:nsid w:val="3C1E1152"/>
    <w:multiLevelType w:val="hybridMultilevel"/>
    <w:tmpl w:val="E4ECC3F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D0F1B3D"/>
    <w:multiLevelType w:val="singleLevel"/>
    <w:tmpl w:val="4DCCE696"/>
    <w:lvl w:ilvl="0">
      <w:start w:val="1"/>
      <w:numFmt w:val="decimal"/>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rPr>
    </w:lvl>
  </w:abstractNum>
  <w:abstractNum w:abstractNumId="24">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5">
    <w:nsid w:val="43D27EFD"/>
    <w:multiLevelType w:val="singleLevel"/>
    <w:tmpl w:val="42701C86"/>
    <w:lvl w:ilvl="0">
      <w:start w:val="1"/>
      <w:numFmt w:val="decimal"/>
      <w:lvlText w:val="%1."/>
      <w:lvlJc w:val="left"/>
      <w:pPr>
        <w:tabs>
          <w:tab w:val="num" w:pos="1440"/>
        </w:tabs>
        <w:ind w:left="1440" w:hanging="720"/>
      </w:pPr>
    </w:lvl>
  </w:abstractNum>
  <w:abstractNum w:abstractNumId="26">
    <w:nsid w:val="472648BE"/>
    <w:multiLevelType w:val="hybridMultilevel"/>
    <w:tmpl w:val="9DBA6F76"/>
    <w:lvl w:ilvl="0">
      <w:start w:val="1"/>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BC50C7C"/>
    <w:multiLevelType w:val="singleLevel"/>
    <w:tmpl w:val="4DF4F8FE"/>
    <w:lvl w:ilvl="0">
      <w:start w:val="3"/>
      <w:numFmt w:val="upperRoman"/>
      <w:lvlText w:val="%1."/>
      <w:lvlJc w:val="left"/>
      <w:pPr>
        <w:tabs>
          <w:tab w:val="num" w:pos="720"/>
        </w:tabs>
        <w:ind w:left="720" w:hanging="720"/>
      </w:pPr>
      <w:rPr>
        <w:rFonts w:hint="default"/>
        <w:b/>
      </w:rPr>
    </w:lvl>
  </w:abstractNum>
  <w:abstractNum w:abstractNumId="28">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9">
    <w:nsid w:val="54C83FC4"/>
    <w:multiLevelType w:val="hybridMultilevel"/>
    <w:tmpl w:val="221A8E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FFF125B"/>
    <w:multiLevelType w:val="singleLevel"/>
    <w:tmpl w:val="B1F45678"/>
    <w:lvl w:ilvl="0">
      <w:start w:val="1"/>
      <w:numFmt w:val="decimal"/>
      <w:lvlText w:val="%1."/>
      <w:lvlJc w:val="left"/>
      <w:pPr>
        <w:tabs>
          <w:tab w:val="num" w:pos="1080"/>
        </w:tabs>
        <w:ind w:left="0" w:firstLine="720"/>
      </w:pPr>
    </w:lvl>
  </w:abstractNum>
  <w:abstractNum w:abstractNumId="31">
    <w:nsid w:val="61182925"/>
    <w:multiLevelType w:val="singleLevel"/>
    <w:tmpl w:val="A9EE9842"/>
    <w:lvl w:ilvl="0">
      <w:start w:val="1"/>
      <w:numFmt w:val="decimal"/>
      <w:lvlText w:val="%1."/>
      <w:lvlJc w:val="left"/>
      <w:pPr>
        <w:tabs>
          <w:tab w:val="num" w:pos="1080"/>
        </w:tabs>
        <w:ind w:left="0" w:firstLine="720"/>
      </w:pPr>
    </w:lvl>
  </w:abstractNum>
  <w:abstractNum w:abstractNumId="32">
    <w:nsid w:val="61676817"/>
    <w:multiLevelType w:val="hybridMultilevel"/>
    <w:tmpl w:val="1B30863C"/>
    <w:lvl w:ilvl="0">
      <w:start w:val="3"/>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cap="rnd">
          <w14:noFill/>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3043FD"/>
    <w:multiLevelType w:val="hybridMultilevel"/>
    <w:tmpl w:val="B74EE4D0"/>
    <w:lvl w:ilvl="0">
      <w:start w:val="3"/>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03621C9"/>
    <w:multiLevelType w:val="singleLevel"/>
    <w:tmpl w:val="373411A8"/>
    <w:lvl w:ilvl="0">
      <w:start w:val="1"/>
      <w:numFmt w:val="decimal"/>
      <w:lvlText w:val="%1."/>
      <w:lvlJc w:val="left"/>
      <w:pPr>
        <w:tabs>
          <w:tab w:val="num" w:pos="1080"/>
        </w:tabs>
        <w:ind w:left="0" w:firstLine="720"/>
      </w:pPr>
    </w:lvl>
  </w:abstractNum>
  <w:abstractNum w:abstractNumId="37">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38">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34"/>
  </w:num>
  <w:num w:numId="2">
    <w:abstractNumId w:val="17"/>
  </w:num>
  <w:num w:numId="3">
    <w:abstractNumId w:val="12"/>
  </w:num>
  <w:num w:numId="4">
    <w:abstractNumId w:val="30"/>
  </w:num>
  <w:num w:numId="5">
    <w:abstractNumId w:val="36"/>
  </w:num>
  <w:num w:numId="6">
    <w:abstractNumId w:val="20"/>
  </w:num>
  <w:num w:numId="7">
    <w:abstractNumId w:val="21"/>
  </w:num>
  <w:num w:numId="8">
    <w:abstractNumId w:val="25"/>
  </w:num>
  <w:num w:numId="9">
    <w:abstractNumId w:val="1"/>
  </w:num>
  <w:num w:numId="10">
    <w:abstractNumId w:val="0"/>
  </w:num>
  <w:num w:numId="11">
    <w:abstractNumId w:val="13"/>
  </w:num>
  <w:num w:numId="12">
    <w:abstractNumId w:val="19"/>
  </w:num>
  <w:num w:numId="13">
    <w:abstractNumId w:val="12"/>
  </w:num>
  <w:num w:numId="14">
    <w:abstractNumId w:val="28"/>
  </w:num>
  <w:num w:numId="15">
    <w:abstractNumId w:val="14"/>
  </w:num>
  <w:num w:numId="16">
    <w:abstractNumId w:val="24"/>
  </w:num>
  <w:num w:numId="17">
    <w:abstractNumId w:val="15"/>
  </w:num>
  <w:num w:numId="18">
    <w:abstractNumId w:val="37"/>
  </w:num>
  <w:num w:numId="19">
    <w:abstractNumId w:val="10"/>
  </w:num>
  <w:num w:numId="20">
    <w:abstractNumId w:val="33"/>
  </w:num>
  <w:num w:numId="21">
    <w:abstractNumId w:val="18"/>
  </w:num>
  <w:num w:numId="22">
    <w:abstractNumId w:val="10"/>
  </w:num>
  <w:num w:numId="23">
    <w:abstractNumId w:val="33"/>
  </w:num>
  <w:num w:numId="24">
    <w:abstractNumId w:val="33"/>
  </w:num>
  <w:num w:numId="25">
    <w:abstractNumId w:val="33"/>
  </w:num>
  <w:num w:numId="26">
    <w:abstractNumId w:val="38"/>
  </w:num>
  <w:num w:numId="27">
    <w:abstractNumId w:val="16"/>
  </w:num>
  <w:num w:numId="28">
    <w:abstractNumId w:val="18"/>
  </w:num>
  <w:num w:numId="29">
    <w:abstractNumId w:val="27"/>
  </w:num>
  <w:num w:numId="30">
    <w:abstractNumId w:val="35"/>
  </w:num>
  <w:num w:numId="31">
    <w:abstractNumId w:val="32"/>
  </w:num>
  <w:num w:numId="32">
    <w:abstractNumId w:val="11"/>
  </w:num>
  <w:num w:numId="33">
    <w:abstractNumId w:val="26"/>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29"/>
  </w:num>
  <w:num w:numId="43">
    <w:abstractNumId w:val="23"/>
  </w:num>
  <w:num w:numId="44">
    <w:abstractNumId w:val="31"/>
  </w:num>
  <w:num w:numId="45">
    <w:abstractNumId w:val="2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3B"/>
    <w:rsid w:val="00021281"/>
    <w:rsid w:val="00023503"/>
    <w:rsid w:val="00043B1D"/>
    <w:rsid w:val="00044F6A"/>
    <w:rsid w:val="000520A3"/>
    <w:rsid w:val="00066FC6"/>
    <w:rsid w:val="00067C18"/>
    <w:rsid w:val="000721BF"/>
    <w:rsid w:val="000757C2"/>
    <w:rsid w:val="00075A33"/>
    <w:rsid w:val="00077DC4"/>
    <w:rsid w:val="00090520"/>
    <w:rsid w:val="0009346B"/>
    <w:rsid w:val="00095D40"/>
    <w:rsid w:val="000966E2"/>
    <w:rsid w:val="000A2EEF"/>
    <w:rsid w:val="000A5C45"/>
    <w:rsid w:val="000C2CE7"/>
    <w:rsid w:val="000C5945"/>
    <w:rsid w:val="000F0336"/>
    <w:rsid w:val="000F32F9"/>
    <w:rsid w:val="00103842"/>
    <w:rsid w:val="00114E23"/>
    <w:rsid w:val="00123681"/>
    <w:rsid w:val="00125402"/>
    <w:rsid w:val="0013111F"/>
    <w:rsid w:val="00140D71"/>
    <w:rsid w:val="001427BD"/>
    <w:rsid w:val="00143600"/>
    <w:rsid w:val="00143C68"/>
    <w:rsid w:val="0014689E"/>
    <w:rsid w:val="00173544"/>
    <w:rsid w:val="001A086E"/>
    <w:rsid w:val="001A537A"/>
    <w:rsid w:val="001C2D42"/>
    <w:rsid w:val="001C4569"/>
    <w:rsid w:val="001D6941"/>
    <w:rsid w:val="001D72DA"/>
    <w:rsid w:val="001E0257"/>
    <w:rsid w:val="001F4226"/>
    <w:rsid w:val="00200A7E"/>
    <w:rsid w:val="00200CA3"/>
    <w:rsid w:val="00207229"/>
    <w:rsid w:val="00241DF2"/>
    <w:rsid w:val="00244BF8"/>
    <w:rsid w:val="002634B3"/>
    <w:rsid w:val="00266F04"/>
    <w:rsid w:val="0027131B"/>
    <w:rsid w:val="00280A7E"/>
    <w:rsid w:val="002B4FA2"/>
    <w:rsid w:val="002D50B8"/>
    <w:rsid w:val="00307FB5"/>
    <w:rsid w:val="00310098"/>
    <w:rsid w:val="0031122A"/>
    <w:rsid w:val="00337349"/>
    <w:rsid w:val="00340070"/>
    <w:rsid w:val="003427EB"/>
    <w:rsid w:val="003638C4"/>
    <w:rsid w:val="0037195C"/>
    <w:rsid w:val="00377FDF"/>
    <w:rsid w:val="003856C8"/>
    <w:rsid w:val="00386221"/>
    <w:rsid w:val="003A0AE2"/>
    <w:rsid w:val="003A3733"/>
    <w:rsid w:val="003A5A6F"/>
    <w:rsid w:val="003D5D5F"/>
    <w:rsid w:val="003E3B6A"/>
    <w:rsid w:val="003E5FC5"/>
    <w:rsid w:val="003F3E32"/>
    <w:rsid w:val="0040128C"/>
    <w:rsid w:val="00401B8D"/>
    <w:rsid w:val="004062E5"/>
    <w:rsid w:val="00406D3B"/>
    <w:rsid w:val="0041626E"/>
    <w:rsid w:val="00422B96"/>
    <w:rsid w:val="00430252"/>
    <w:rsid w:val="004429A6"/>
    <w:rsid w:val="0045623B"/>
    <w:rsid w:val="0046075D"/>
    <w:rsid w:val="00462E25"/>
    <w:rsid w:val="0046763E"/>
    <w:rsid w:val="00476E86"/>
    <w:rsid w:val="00482026"/>
    <w:rsid w:val="004A3976"/>
    <w:rsid w:val="004C5A68"/>
    <w:rsid w:val="004C6423"/>
    <w:rsid w:val="004D55AF"/>
    <w:rsid w:val="004E5033"/>
    <w:rsid w:val="004F0904"/>
    <w:rsid w:val="00505FA1"/>
    <w:rsid w:val="00506A04"/>
    <w:rsid w:val="005374A5"/>
    <w:rsid w:val="00554D81"/>
    <w:rsid w:val="00556CF3"/>
    <w:rsid w:val="00562291"/>
    <w:rsid w:val="0056285E"/>
    <w:rsid w:val="00583D8D"/>
    <w:rsid w:val="005A0296"/>
    <w:rsid w:val="005D24A1"/>
    <w:rsid w:val="005E5D0E"/>
    <w:rsid w:val="005F2983"/>
    <w:rsid w:val="00606DB7"/>
    <w:rsid w:val="006144C5"/>
    <w:rsid w:val="00625055"/>
    <w:rsid w:val="00625863"/>
    <w:rsid w:val="006369DB"/>
    <w:rsid w:val="00653E63"/>
    <w:rsid w:val="006561BD"/>
    <w:rsid w:val="006713FA"/>
    <w:rsid w:val="006715E7"/>
    <w:rsid w:val="006D0598"/>
    <w:rsid w:val="006D2895"/>
    <w:rsid w:val="006E7AD4"/>
    <w:rsid w:val="006F7A0E"/>
    <w:rsid w:val="00700796"/>
    <w:rsid w:val="007028C9"/>
    <w:rsid w:val="007117F1"/>
    <w:rsid w:val="0072028D"/>
    <w:rsid w:val="00746D93"/>
    <w:rsid w:val="007603EA"/>
    <w:rsid w:val="00767BD3"/>
    <w:rsid w:val="00770303"/>
    <w:rsid w:val="00772798"/>
    <w:rsid w:val="00775B49"/>
    <w:rsid w:val="007908A5"/>
    <w:rsid w:val="007B06B1"/>
    <w:rsid w:val="007B74FA"/>
    <w:rsid w:val="007D4815"/>
    <w:rsid w:val="007E0FAE"/>
    <w:rsid w:val="007E4668"/>
    <w:rsid w:val="007F6235"/>
    <w:rsid w:val="008020B9"/>
    <w:rsid w:val="008107AE"/>
    <w:rsid w:val="00811A19"/>
    <w:rsid w:val="00816FF4"/>
    <w:rsid w:val="00820EED"/>
    <w:rsid w:val="008326C5"/>
    <w:rsid w:val="008329A1"/>
    <w:rsid w:val="00836F19"/>
    <w:rsid w:val="00837FD8"/>
    <w:rsid w:val="008501A6"/>
    <w:rsid w:val="00854076"/>
    <w:rsid w:val="00876FA1"/>
    <w:rsid w:val="00880529"/>
    <w:rsid w:val="008C0279"/>
    <w:rsid w:val="008D529C"/>
    <w:rsid w:val="008F06A0"/>
    <w:rsid w:val="008F5AC9"/>
    <w:rsid w:val="00920F2C"/>
    <w:rsid w:val="009343A9"/>
    <w:rsid w:val="00936285"/>
    <w:rsid w:val="009510B6"/>
    <w:rsid w:val="00961D5F"/>
    <w:rsid w:val="00981B59"/>
    <w:rsid w:val="00986DDE"/>
    <w:rsid w:val="00993AC0"/>
    <w:rsid w:val="009A4230"/>
    <w:rsid w:val="009B3EC4"/>
    <w:rsid w:val="009C5953"/>
    <w:rsid w:val="009D0761"/>
    <w:rsid w:val="009D76AF"/>
    <w:rsid w:val="009E1836"/>
    <w:rsid w:val="009F1613"/>
    <w:rsid w:val="009F1B4E"/>
    <w:rsid w:val="009F7BFF"/>
    <w:rsid w:val="00A00113"/>
    <w:rsid w:val="00A17080"/>
    <w:rsid w:val="00A20AE9"/>
    <w:rsid w:val="00A37FBC"/>
    <w:rsid w:val="00A54514"/>
    <w:rsid w:val="00A549BC"/>
    <w:rsid w:val="00A57822"/>
    <w:rsid w:val="00A63BB0"/>
    <w:rsid w:val="00A813F2"/>
    <w:rsid w:val="00A83031"/>
    <w:rsid w:val="00A83CAA"/>
    <w:rsid w:val="00A83D1E"/>
    <w:rsid w:val="00A93B8D"/>
    <w:rsid w:val="00AA02EB"/>
    <w:rsid w:val="00AA4645"/>
    <w:rsid w:val="00AC35EF"/>
    <w:rsid w:val="00AC5581"/>
    <w:rsid w:val="00AD6997"/>
    <w:rsid w:val="00AE3D2B"/>
    <w:rsid w:val="00AE463B"/>
    <w:rsid w:val="00AF19FD"/>
    <w:rsid w:val="00B01A11"/>
    <w:rsid w:val="00B0385F"/>
    <w:rsid w:val="00B11FC4"/>
    <w:rsid w:val="00B23D07"/>
    <w:rsid w:val="00B426DD"/>
    <w:rsid w:val="00B46F25"/>
    <w:rsid w:val="00B671DC"/>
    <w:rsid w:val="00BA339F"/>
    <w:rsid w:val="00BA4711"/>
    <w:rsid w:val="00BB55E2"/>
    <w:rsid w:val="00BD0F5D"/>
    <w:rsid w:val="00C23752"/>
    <w:rsid w:val="00C30908"/>
    <w:rsid w:val="00C4169E"/>
    <w:rsid w:val="00C46F65"/>
    <w:rsid w:val="00C47D10"/>
    <w:rsid w:val="00C67F76"/>
    <w:rsid w:val="00C84C83"/>
    <w:rsid w:val="00C939CF"/>
    <w:rsid w:val="00C96F14"/>
    <w:rsid w:val="00CB2E49"/>
    <w:rsid w:val="00CB597A"/>
    <w:rsid w:val="00CD5F9E"/>
    <w:rsid w:val="00CE3252"/>
    <w:rsid w:val="00CF1DFF"/>
    <w:rsid w:val="00CF2582"/>
    <w:rsid w:val="00CF323B"/>
    <w:rsid w:val="00D10586"/>
    <w:rsid w:val="00D13A44"/>
    <w:rsid w:val="00D3142B"/>
    <w:rsid w:val="00D36886"/>
    <w:rsid w:val="00D64AD3"/>
    <w:rsid w:val="00D6662F"/>
    <w:rsid w:val="00D66A4B"/>
    <w:rsid w:val="00D66F5D"/>
    <w:rsid w:val="00D747A5"/>
    <w:rsid w:val="00DA6888"/>
    <w:rsid w:val="00DB3534"/>
    <w:rsid w:val="00DB6385"/>
    <w:rsid w:val="00E067F6"/>
    <w:rsid w:val="00E07E8A"/>
    <w:rsid w:val="00E36A08"/>
    <w:rsid w:val="00E46A7B"/>
    <w:rsid w:val="00E50750"/>
    <w:rsid w:val="00E51B44"/>
    <w:rsid w:val="00E5259D"/>
    <w:rsid w:val="00E55CCB"/>
    <w:rsid w:val="00E665DA"/>
    <w:rsid w:val="00E67838"/>
    <w:rsid w:val="00E77F10"/>
    <w:rsid w:val="00E8278F"/>
    <w:rsid w:val="00E9054E"/>
    <w:rsid w:val="00E93A7A"/>
    <w:rsid w:val="00E94FFD"/>
    <w:rsid w:val="00EF3E2B"/>
    <w:rsid w:val="00F1201B"/>
    <w:rsid w:val="00F17386"/>
    <w:rsid w:val="00F60C62"/>
    <w:rsid w:val="00F76E59"/>
    <w:rsid w:val="00F807DB"/>
    <w:rsid w:val="00F97A8A"/>
    <w:rsid w:val="00FA4784"/>
    <w:rsid w:val="00FC0B56"/>
    <w:rsid w:val="00FD3435"/>
    <w:rsid w:val="00FD5999"/>
    <w:rsid w:val="00FE1416"/>
    <w:rsid w:val="00FE2209"/>
    <w:rsid w:val="00FE2F67"/>
    <w:rsid w:val="00FF4A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2"/>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Title">
    <w:name w:val="Title"/>
    <w:basedOn w:val="Normal"/>
    <w:qFormat/>
    <w:pPr>
      <w:jc w:val="center"/>
      <w:outlineLvl w:val="0"/>
    </w:pPr>
    <w:rPr>
      <w:b/>
    </w:rPr>
  </w:style>
  <w:style w:type="paragraph" w:styleId="BalloonText">
    <w:name w:val="Balloon Text"/>
    <w:basedOn w:val="Normal"/>
    <w:semiHidden/>
    <w:rsid w:val="00DB020A"/>
    <w:rPr>
      <w:rFonts w:ascii="Tahoma" w:hAnsi="Tahoma" w:cs="Tahoma"/>
      <w:sz w:val="16"/>
      <w:szCs w:val="16"/>
    </w:rPr>
  </w:style>
  <w:style w:type="character" w:styleId="Hyperlink">
    <w:name w:val="Hyperlink"/>
    <w:rsid w:val="004969EC"/>
    <w:rPr>
      <w:color w:val="0000FF"/>
      <w:u w:val="single"/>
    </w:rPr>
  </w:style>
  <w:style w:type="character" w:customStyle="1" w:styleId="ParaNumChar">
    <w:name w:val="ParaNum Char"/>
    <w:link w:val="ParaNum"/>
    <w:rsid w:val="00CA0A6A"/>
    <w:rPr>
      <w:snapToGrid w:val="0"/>
      <w:kern w:val="28"/>
      <w:sz w:val="22"/>
      <w:lang w:val="en-US" w:eastAsia="en-US" w:bidi="ar-SA"/>
    </w:rPr>
  </w:style>
  <w:style w:type="character" w:styleId="FollowedHyperlink">
    <w:name w:val="FollowedHyperlink"/>
    <w:rsid w:val="003C168C"/>
    <w:rPr>
      <w:color w:val="800080"/>
      <w:u w:val="single"/>
    </w:rPr>
  </w:style>
  <w:style w:type="character" w:customStyle="1" w:styleId="documentbody1">
    <w:name w:val="documentbody1"/>
    <w:rsid w:val="00324C21"/>
    <w:rPr>
      <w:rFonts w:ascii="Verdana" w:hAnsi="Verdana" w:hint="default"/>
      <w:sz w:val="19"/>
      <w:szCs w:val="19"/>
      <w:shd w:val="clear" w:color="auto" w:fill="FFFFFF"/>
    </w:rPr>
  </w:style>
  <w:style w:type="character" w:customStyle="1" w:styleId="searchterm3">
    <w:name w:val="searchterm3"/>
    <w:rsid w:val="0084649F"/>
    <w:rPr>
      <w:rFonts w:ascii="Verdana" w:hAnsi="Verdana" w:hint="default"/>
      <w:b/>
      <w:bCs/>
      <w:sz w:val="19"/>
      <w:szCs w:val="19"/>
      <w:shd w:val="clear" w:color="auto" w:fill="FFFF00"/>
    </w:rPr>
  </w:style>
  <w:style w:type="paragraph" w:styleId="BodyText2">
    <w:name w:val="Body Text 2"/>
    <w:basedOn w:val="Normal"/>
    <w:rsid w:val="00567935"/>
    <w:pPr>
      <w:spacing w:after="120" w:line="480" w:lineRule="auto"/>
    </w:pPr>
  </w:style>
  <w:style w:type="paragraph" w:styleId="BodyText">
    <w:name w:val="Body Text"/>
    <w:basedOn w:val="Normal"/>
    <w:rsid w:val="00C30CDB"/>
    <w:pPr>
      <w:spacing w:after="120"/>
    </w:pPr>
  </w:style>
  <w:style w:type="character" w:customStyle="1" w:styleId="documentbody5">
    <w:name w:val="documentbody5"/>
    <w:rsid w:val="00562B81"/>
    <w:rPr>
      <w:rFonts w:ascii="Verdana" w:hAnsi="Verdana" w:hint="default"/>
      <w:sz w:val="19"/>
      <w:szCs w:val="19"/>
    </w:rPr>
  </w:style>
  <w:style w:type="character" w:styleId="CommentReference">
    <w:name w:val="annotation reference"/>
    <w:semiHidden/>
    <w:rsid w:val="00333530"/>
    <w:rPr>
      <w:sz w:val="16"/>
      <w:szCs w:val="16"/>
    </w:rPr>
  </w:style>
  <w:style w:type="paragraph" w:styleId="CommentText">
    <w:name w:val="annotation text"/>
    <w:basedOn w:val="Normal"/>
    <w:semiHidden/>
    <w:rsid w:val="00333530"/>
    <w:rPr>
      <w:sz w:val="20"/>
    </w:rPr>
  </w:style>
  <w:style w:type="paragraph" w:styleId="CommentSubject">
    <w:name w:val="annotation subject"/>
    <w:basedOn w:val="CommentText"/>
    <w:next w:val="CommentText"/>
    <w:semiHidden/>
    <w:rsid w:val="00333530"/>
    <w:rPr>
      <w:b/>
      <w:bCs/>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4C0860"/>
  </w:style>
  <w:style w:type="paragraph" w:styleId="ListParagraph">
    <w:name w:val="List Paragraph"/>
    <w:basedOn w:val="Normal"/>
    <w:uiPriority w:val="34"/>
    <w:qFormat/>
    <w:rsid w:val="00A57822"/>
    <w:pPr>
      <w:ind w:left="720"/>
      <w:contextualSpacing/>
    </w:pPr>
  </w:style>
  <w:style w:type="character" w:customStyle="1" w:styleId="FootnoteTextCharCharChar4CharChar">
    <w:name w:val="Footnote Text Char Char Char4 Char Char"/>
    <w:aliases w:val="Footnote Text Char1 Char,Footnote Text Char4 Char1 Char Char,Footnote Text Char4 Char1 Char Char Char Char Char,Footnote Text Char7 Char Char,f Char,fn Char1"/>
    <w:locked/>
    <w:rsid w:val="0014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