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0F6DCF">
        <w:rPr>
          <w:b/>
          <w:szCs w:val="22"/>
        </w:rPr>
        <w:t>1028</w:t>
      </w:r>
    </w:p>
    <w:p w:rsidR="002710BB" w:rsidRPr="00471580" w:rsidP="002710BB">
      <w:pPr>
        <w:spacing w:before="60"/>
        <w:jc w:val="right"/>
        <w:rPr>
          <w:b/>
          <w:szCs w:val="22"/>
        </w:rPr>
      </w:pPr>
      <w:r>
        <w:rPr>
          <w:b/>
          <w:szCs w:val="22"/>
        </w:rPr>
        <w:t>Octo</w:t>
      </w:r>
      <w:r w:rsidR="00BA1371">
        <w:rPr>
          <w:b/>
          <w:szCs w:val="22"/>
        </w:rPr>
        <w:t xml:space="preserve">ber </w:t>
      </w:r>
      <w:r w:rsidR="001F1EB5">
        <w:rPr>
          <w:b/>
          <w:szCs w:val="22"/>
        </w:rPr>
        <w:t>9</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1" w:name="_Hlk519509475"/>
      <w:bookmarkStart w:id="2" w:name="_Hlk502044717"/>
      <w:bookmarkStart w:id="3" w:name="_Hlk516578398"/>
      <w:r w:rsidRPr="00471580">
        <w:rPr>
          <w:b/>
          <w:bCs/>
          <w:szCs w:val="22"/>
        </w:rPr>
        <w:t xml:space="preserve">DOMESTIC SECTION 214 APPLICATION FILED FOR THE TRANSFER OF CONTROL </w:t>
      </w:r>
      <w:r w:rsidRPr="00471580" w:rsidR="00681F18">
        <w:rPr>
          <w:b/>
          <w:bCs/>
          <w:szCs w:val="22"/>
        </w:rPr>
        <w:t xml:space="preserve">OF </w:t>
      </w:r>
      <w:bookmarkEnd w:id="1"/>
      <w:bookmarkEnd w:id="2"/>
      <w:bookmarkEnd w:id="3"/>
      <w:r w:rsidRPr="004904F9" w:rsidR="00320871">
        <w:rPr>
          <w:b/>
          <w:bCs/>
          <w:szCs w:val="22"/>
        </w:rPr>
        <w:t>HART TELEPHONE COMPANY AND HART COMMUNICATIONS, INC</w:t>
      </w:r>
      <w:r w:rsidR="00320871">
        <w:rPr>
          <w:b/>
          <w:bCs/>
          <w:szCs w:val="22"/>
        </w:rPr>
        <w:t>.</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DA34B5">
        <w:rPr>
          <w:b/>
          <w:szCs w:val="22"/>
        </w:rPr>
        <w:t>276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A84170">
        <w:rPr>
          <w:b/>
          <w:szCs w:val="22"/>
        </w:rPr>
        <w:t xml:space="preserve">October </w:t>
      </w:r>
      <w:r w:rsidR="001F1EB5">
        <w:rPr>
          <w:b/>
          <w:szCs w:val="22"/>
        </w:rPr>
        <w:t>23</w:t>
      </w:r>
      <w:r w:rsidRPr="00471580">
        <w:rPr>
          <w:b/>
          <w:szCs w:val="22"/>
        </w:rPr>
        <w:t>, 201</w:t>
      </w:r>
      <w:r w:rsidRPr="00471580" w:rsidR="00CE3E5D">
        <w:rPr>
          <w:b/>
          <w:szCs w:val="22"/>
        </w:rPr>
        <w:t>9</w:t>
      </w:r>
      <w:bookmarkStart w:id="4" w:name="_GoBack"/>
      <w:bookmarkEnd w:id="4"/>
    </w:p>
    <w:p w:rsidR="00590D65" w:rsidRPr="00471580" w:rsidP="002710BB">
      <w:pPr>
        <w:pStyle w:val="NoSpacing"/>
        <w:rPr>
          <w:b/>
          <w:szCs w:val="22"/>
        </w:rPr>
      </w:pPr>
      <w:r w:rsidRPr="00471580">
        <w:rPr>
          <w:b/>
          <w:szCs w:val="22"/>
        </w:rPr>
        <w:t xml:space="preserve">Reply Comments Due:  </w:t>
      </w:r>
      <w:r w:rsidR="00AA35A4">
        <w:rPr>
          <w:b/>
          <w:szCs w:val="22"/>
        </w:rPr>
        <w:t>October</w:t>
      </w:r>
      <w:r w:rsidR="00997232">
        <w:rPr>
          <w:b/>
          <w:szCs w:val="22"/>
        </w:rPr>
        <w:t xml:space="preserve"> </w:t>
      </w:r>
      <w:r w:rsidR="001F1EB5">
        <w:rPr>
          <w:b/>
          <w:szCs w:val="22"/>
        </w:rPr>
        <w:t>30</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A70196" w:rsidRPr="009B7036" w:rsidP="009B7036">
      <w:pPr>
        <w:autoSpaceDE w:val="0"/>
        <w:autoSpaceDN w:val="0"/>
        <w:adjustRightInd w:val="0"/>
        <w:ind w:firstLine="720"/>
        <w:rPr>
          <w:color w:val="231F20"/>
          <w:szCs w:val="22"/>
        </w:rPr>
      </w:pPr>
      <w:r w:rsidRPr="00340B27">
        <w:rPr>
          <w:szCs w:val="22"/>
        </w:rPr>
        <w:t>By this Public Notice, the Wireline Competition Bureau seeks comment from interested parties on an application filed by</w:t>
      </w:r>
      <w:r w:rsidR="00BA1371">
        <w:rPr>
          <w:szCs w:val="22"/>
        </w:rPr>
        <w:t xml:space="preserve"> </w:t>
      </w:r>
      <w:r w:rsidRPr="00320871" w:rsidR="00320871">
        <w:rPr>
          <w:szCs w:val="22"/>
        </w:rPr>
        <w:t>The Estate of Jack Lee Barton (the Estate), through its Co-Executors, James R. Daniel,</w:t>
      </w:r>
      <w:r w:rsidR="00320871">
        <w:rPr>
          <w:szCs w:val="22"/>
        </w:rPr>
        <w:t xml:space="preserve"> </w:t>
      </w:r>
      <w:r w:rsidRPr="00320871" w:rsidR="00320871">
        <w:rPr>
          <w:szCs w:val="22"/>
        </w:rPr>
        <w:t>Jr. and Catherine L. Barton</w:t>
      </w:r>
      <w:r w:rsidR="00BB75C2">
        <w:rPr>
          <w:szCs w:val="22"/>
        </w:rPr>
        <w:t>,</w:t>
      </w:r>
      <w:r w:rsidRPr="00320871" w:rsidR="00320871">
        <w:rPr>
          <w:szCs w:val="22"/>
        </w:rPr>
        <w:t xml:space="preserve"> and the Non-Exempt Marital Income</w:t>
      </w:r>
      <w:r w:rsidR="00320871">
        <w:rPr>
          <w:szCs w:val="22"/>
        </w:rPr>
        <w:t xml:space="preserve"> </w:t>
      </w:r>
      <w:r w:rsidRPr="00320871" w:rsidR="00320871">
        <w:rPr>
          <w:szCs w:val="22"/>
        </w:rPr>
        <w:t xml:space="preserve">Trust U/W Jack Lee Barton </w:t>
      </w:r>
      <w:r w:rsidR="001F1EB5">
        <w:rPr>
          <w:color w:val="020100"/>
          <w:szCs w:val="22"/>
        </w:rPr>
        <w:t xml:space="preserve">(Nonexempt Trust) </w:t>
      </w:r>
      <w:r w:rsidRPr="00320871" w:rsidR="00320871">
        <w:rPr>
          <w:szCs w:val="22"/>
        </w:rPr>
        <w:t>and Lintel, Inc. (Lintel)</w:t>
      </w:r>
      <w:r w:rsidRPr="00340B27" w:rsidR="00BA1371">
        <w:rPr>
          <w:color w:val="231F20"/>
          <w:szCs w:val="22"/>
        </w:rPr>
        <w:t xml:space="preserve"> </w:t>
      </w:r>
      <w:r w:rsidRPr="00340B27">
        <w:rPr>
          <w:color w:val="231F20"/>
          <w:szCs w:val="22"/>
        </w:rPr>
        <w:t xml:space="preserve">(collectively, Applicants), </w:t>
      </w:r>
      <w:r w:rsidRPr="00340B27" w:rsidR="00681F18">
        <w:rPr>
          <w:szCs w:val="22"/>
        </w:rPr>
        <w:t>pursuant to section 214 of the Communications Act of 1934, as amended, and sections 63.03-04 of the Commission’s rules, requesting consent</w:t>
      </w:r>
      <w:r w:rsidRPr="00340B27" w:rsidR="001F5143">
        <w:rPr>
          <w:szCs w:val="22"/>
        </w:rPr>
        <w:t xml:space="preserve"> to</w:t>
      </w:r>
      <w:r w:rsidRPr="00340B27" w:rsidR="00681F18">
        <w:rPr>
          <w:szCs w:val="22"/>
        </w:rPr>
        <w:t xml:space="preserve"> </w:t>
      </w:r>
      <w:r w:rsidRPr="00340B27">
        <w:rPr>
          <w:color w:val="231F20"/>
          <w:szCs w:val="22"/>
        </w:rPr>
        <w:t>transfer control of</w:t>
      </w:r>
      <w:r w:rsidRPr="00340B27" w:rsidR="00C146C6">
        <w:rPr>
          <w:color w:val="231F20"/>
          <w:szCs w:val="22"/>
        </w:rPr>
        <w:t xml:space="preserve"> </w:t>
      </w:r>
      <w:r w:rsidRPr="009B7036" w:rsidR="009B7036">
        <w:rPr>
          <w:color w:val="231F20"/>
          <w:szCs w:val="22"/>
        </w:rPr>
        <w:t>Hart Telephone Company (HTC) and Hart</w:t>
      </w:r>
      <w:r w:rsidR="009B7036">
        <w:rPr>
          <w:color w:val="231F20"/>
          <w:szCs w:val="22"/>
        </w:rPr>
        <w:t xml:space="preserve"> </w:t>
      </w:r>
      <w:r w:rsidRPr="009B7036" w:rsidR="009B7036">
        <w:rPr>
          <w:color w:val="231F20"/>
          <w:szCs w:val="22"/>
        </w:rPr>
        <w:t>Communications, Inc.</w:t>
      </w:r>
      <w:r w:rsidR="009B7036">
        <w:rPr>
          <w:color w:val="231F20"/>
          <w:szCs w:val="22"/>
        </w:rPr>
        <w:t xml:space="preserve"> </w:t>
      </w:r>
      <w:r w:rsidRPr="009B7036" w:rsidR="009B7036">
        <w:rPr>
          <w:color w:val="231F20"/>
          <w:szCs w:val="22"/>
        </w:rPr>
        <w:t>(HCI)</w:t>
      </w:r>
      <w:r w:rsidRPr="00340B27" w:rsidR="00C146C6">
        <w:rPr>
          <w:color w:val="231F20"/>
          <w:szCs w:val="22"/>
        </w:rPr>
        <w:t>.</w:t>
      </w:r>
      <w:bookmarkStart w:id="5" w:name="_Hlk19805232"/>
      <w:r>
        <w:rPr>
          <w:rStyle w:val="FootnoteReference"/>
          <w:color w:val="231F20"/>
          <w:szCs w:val="22"/>
        </w:rPr>
        <w:footnoteReference w:id="3"/>
      </w:r>
      <w:bookmarkEnd w:id="5"/>
      <w:r w:rsidRPr="00340B27" w:rsidR="00A90D4B">
        <w:rPr>
          <w:color w:val="231F20"/>
          <w:szCs w:val="22"/>
        </w:rPr>
        <w:t xml:space="preserve"> </w:t>
      </w:r>
    </w:p>
    <w:p w:rsidR="00C63F2D" w:rsidP="00312D0D">
      <w:pPr>
        <w:autoSpaceDE w:val="0"/>
        <w:autoSpaceDN w:val="0"/>
        <w:adjustRightInd w:val="0"/>
        <w:rPr>
          <w:szCs w:val="22"/>
        </w:rPr>
      </w:pPr>
    </w:p>
    <w:p w:rsidR="00ED0882" w:rsidP="005825C6">
      <w:pPr>
        <w:autoSpaceDE w:val="0"/>
        <w:autoSpaceDN w:val="0"/>
        <w:adjustRightInd w:val="0"/>
        <w:ind w:firstLine="720"/>
        <w:rPr>
          <w:szCs w:val="22"/>
        </w:rPr>
      </w:pPr>
      <w:r w:rsidRPr="00ED0882">
        <w:rPr>
          <w:szCs w:val="22"/>
        </w:rPr>
        <w:t>Lintel</w:t>
      </w:r>
      <w:r w:rsidR="00357556">
        <w:rPr>
          <w:szCs w:val="22"/>
        </w:rPr>
        <w:t>,</w:t>
      </w:r>
      <w:r w:rsidRPr="00357556" w:rsidR="00357556">
        <w:rPr>
          <w:szCs w:val="22"/>
        </w:rPr>
        <w:t xml:space="preserve"> a </w:t>
      </w:r>
      <w:r w:rsidRPr="002F5AE5" w:rsidR="00357556">
        <w:rPr>
          <w:szCs w:val="22"/>
        </w:rPr>
        <w:t>Georgia</w:t>
      </w:r>
      <w:r w:rsidRPr="00357556" w:rsidR="00357556">
        <w:rPr>
          <w:szCs w:val="22"/>
        </w:rPr>
        <w:t xml:space="preserve"> </w:t>
      </w:r>
      <w:r w:rsidR="001B08C0">
        <w:rPr>
          <w:szCs w:val="22"/>
        </w:rPr>
        <w:t xml:space="preserve">holding </w:t>
      </w:r>
      <w:r w:rsidRPr="00357556" w:rsidR="00357556">
        <w:rPr>
          <w:szCs w:val="22"/>
        </w:rPr>
        <w:t>corporation</w:t>
      </w:r>
      <w:r w:rsidR="00357556">
        <w:rPr>
          <w:szCs w:val="22"/>
        </w:rPr>
        <w:t>,</w:t>
      </w:r>
      <w:r w:rsidRPr="00ED0882">
        <w:rPr>
          <w:szCs w:val="22"/>
        </w:rPr>
        <w:t xml:space="preserve"> </w:t>
      </w:r>
      <w:r w:rsidR="000C5B92">
        <w:rPr>
          <w:szCs w:val="22"/>
        </w:rPr>
        <w:t xml:space="preserve">does not provide telecommunications services, but </w:t>
      </w:r>
      <w:r w:rsidR="00C303ED">
        <w:rPr>
          <w:szCs w:val="22"/>
        </w:rPr>
        <w:t xml:space="preserve">wholly owns </w:t>
      </w:r>
      <w:r w:rsidR="00787509">
        <w:rPr>
          <w:szCs w:val="22"/>
        </w:rPr>
        <w:t>HTC and HCI.</w:t>
      </w:r>
      <w:r>
        <w:rPr>
          <w:rStyle w:val="FootnoteReference"/>
          <w:szCs w:val="22"/>
        </w:rPr>
        <w:footnoteReference w:id="4"/>
      </w:r>
      <w:r w:rsidR="00787509">
        <w:rPr>
          <w:szCs w:val="22"/>
        </w:rPr>
        <w:t xml:space="preserve">  </w:t>
      </w:r>
      <w:r w:rsidRPr="002F5AE5" w:rsidR="00787509">
        <w:rPr>
          <w:szCs w:val="22"/>
        </w:rPr>
        <w:t>HTC</w:t>
      </w:r>
      <w:r w:rsidR="00787509">
        <w:rPr>
          <w:szCs w:val="22"/>
        </w:rPr>
        <w:t xml:space="preserve">, a </w:t>
      </w:r>
      <w:r w:rsidRPr="002F5AE5" w:rsidR="00787509">
        <w:rPr>
          <w:szCs w:val="22"/>
        </w:rPr>
        <w:t>Georgia</w:t>
      </w:r>
      <w:r w:rsidR="00787509">
        <w:rPr>
          <w:szCs w:val="22"/>
        </w:rPr>
        <w:t xml:space="preserve"> corporation, is a rural incumbent local exchange carrier (LEC) </w:t>
      </w:r>
      <w:r w:rsidRPr="002F5AE5" w:rsidR="00787509">
        <w:rPr>
          <w:szCs w:val="22"/>
        </w:rPr>
        <w:t>provid</w:t>
      </w:r>
      <w:r w:rsidR="00787509">
        <w:rPr>
          <w:szCs w:val="22"/>
        </w:rPr>
        <w:t>ing</w:t>
      </w:r>
      <w:r w:rsidRPr="002F5AE5" w:rsidR="00787509">
        <w:rPr>
          <w:szCs w:val="22"/>
        </w:rPr>
        <w:t xml:space="preserve"> service to approximately 4,500 access lines in</w:t>
      </w:r>
      <w:r w:rsidR="00787509">
        <w:rPr>
          <w:szCs w:val="22"/>
        </w:rPr>
        <w:t xml:space="preserve"> northeastern Georgia</w:t>
      </w:r>
      <w:r w:rsidRPr="002F5AE5" w:rsidR="00787509">
        <w:rPr>
          <w:szCs w:val="22"/>
        </w:rPr>
        <w:t>.</w:t>
      </w:r>
      <w:r w:rsidR="00787509">
        <w:rPr>
          <w:szCs w:val="22"/>
        </w:rPr>
        <w:t xml:space="preserve">  </w:t>
      </w:r>
      <w:r w:rsidRPr="00ED0882">
        <w:rPr>
          <w:szCs w:val="22"/>
        </w:rPr>
        <w:t>HCI</w:t>
      </w:r>
      <w:r w:rsidR="00787509">
        <w:rPr>
          <w:szCs w:val="22"/>
        </w:rPr>
        <w:t xml:space="preserve">, a Georgia corporation, </w:t>
      </w:r>
      <w:r w:rsidRPr="00ED0882">
        <w:rPr>
          <w:szCs w:val="22"/>
        </w:rPr>
        <w:t>is a reseller of domestic long</w:t>
      </w:r>
      <w:r w:rsidR="005D7868">
        <w:rPr>
          <w:szCs w:val="22"/>
        </w:rPr>
        <w:t>-</w:t>
      </w:r>
      <w:r w:rsidRPr="00ED0882">
        <w:rPr>
          <w:szCs w:val="22"/>
        </w:rPr>
        <w:t>distance services</w:t>
      </w:r>
      <w:r>
        <w:rPr>
          <w:szCs w:val="22"/>
        </w:rPr>
        <w:t xml:space="preserve"> </w:t>
      </w:r>
      <w:r w:rsidRPr="00ED0882">
        <w:rPr>
          <w:szCs w:val="22"/>
        </w:rPr>
        <w:t>operating in and around the service area of HTC</w:t>
      </w:r>
      <w:r w:rsidR="00572626">
        <w:rPr>
          <w:szCs w:val="22"/>
        </w:rPr>
        <w:t xml:space="preserve">. </w:t>
      </w:r>
    </w:p>
    <w:p w:rsidR="00ED0882" w:rsidP="00ED0882">
      <w:pPr>
        <w:autoSpaceDE w:val="0"/>
        <w:autoSpaceDN w:val="0"/>
        <w:adjustRightInd w:val="0"/>
        <w:ind w:firstLine="720"/>
        <w:rPr>
          <w:szCs w:val="22"/>
        </w:rPr>
      </w:pPr>
    </w:p>
    <w:p w:rsidR="00A53808" w:rsidRPr="00125014" w:rsidP="007426F7">
      <w:pPr>
        <w:autoSpaceDE w:val="0"/>
        <w:autoSpaceDN w:val="0"/>
        <w:adjustRightInd w:val="0"/>
        <w:ind w:firstLine="720"/>
        <w:rPr>
          <w:color w:val="020100"/>
          <w:szCs w:val="22"/>
        </w:rPr>
      </w:pPr>
      <w:r w:rsidRPr="00340B27">
        <w:rPr>
          <w:color w:val="020100"/>
          <w:szCs w:val="22"/>
        </w:rPr>
        <w:t xml:space="preserve">Pursuant to the terms of </w:t>
      </w:r>
      <w:r w:rsidR="00500769">
        <w:rPr>
          <w:color w:val="020100"/>
          <w:szCs w:val="22"/>
        </w:rPr>
        <w:t>the proposed transaction</w:t>
      </w:r>
      <w:r w:rsidR="003A5F17">
        <w:rPr>
          <w:color w:val="020100"/>
          <w:szCs w:val="22"/>
        </w:rPr>
        <w:t xml:space="preserve">, </w:t>
      </w:r>
      <w:r w:rsidR="00226803">
        <w:rPr>
          <w:color w:val="020100"/>
          <w:szCs w:val="22"/>
        </w:rPr>
        <w:t>t</w:t>
      </w:r>
      <w:r w:rsidRPr="00226803" w:rsidR="00226803">
        <w:rPr>
          <w:color w:val="020100"/>
          <w:szCs w:val="22"/>
        </w:rPr>
        <w:t xml:space="preserve">he </w:t>
      </w:r>
      <w:r w:rsidR="00C6001D">
        <w:rPr>
          <w:color w:val="020100"/>
          <w:szCs w:val="22"/>
        </w:rPr>
        <w:t xml:space="preserve">Co-Executors of the Estate </w:t>
      </w:r>
      <w:r w:rsidR="00AF210E">
        <w:rPr>
          <w:color w:val="020100"/>
          <w:szCs w:val="22"/>
        </w:rPr>
        <w:t xml:space="preserve">will transfer the Lintel stock currently held by the Estate to </w:t>
      </w:r>
      <w:r w:rsidR="00764E5F">
        <w:rPr>
          <w:color w:val="020100"/>
          <w:szCs w:val="22"/>
        </w:rPr>
        <w:t>five</w:t>
      </w:r>
      <w:r w:rsidR="00AF210E">
        <w:rPr>
          <w:color w:val="020100"/>
          <w:szCs w:val="22"/>
        </w:rPr>
        <w:t xml:space="preserve"> testamentary trusts created under the provisions of Jack Lee Barton’s Last Will and Testament.  The trusts are</w:t>
      </w:r>
      <w:r w:rsidR="001B08C0">
        <w:rPr>
          <w:color w:val="020100"/>
          <w:szCs w:val="22"/>
        </w:rPr>
        <w:t xml:space="preserve"> </w:t>
      </w:r>
      <w:r w:rsidR="00AF210E">
        <w:rPr>
          <w:color w:val="020100"/>
          <w:szCs w:val="22"/>
        </w:rPr>
        <w:t>organized under Georgia law, all beneficiaries are U.S. citizens</w:t>
      </w:r>
      <w:r w:rsidR="001B08C0">
        <w:rPr>
          <w:color w:val="020100"/>
          <w:szCs w:val="22"/>
        </w:rPr>
        <w:t>, and, according to Applicants, the trusts do not have affiliates that provide telecommunications services</w:t>
      </w:r>
      <w:r w:rsidR="00AF210E">
        <w:rPr>
          <w:color w:val="020100"/>
          <w:szCs w:val="22"/>
        </w:rPr>
        <w:t xml:space="preserve">.  Post-transaction, the </w:t>
      </w:r>
      <w:bookmarkStart w:id="6" w:name="_Hlk21513972"/>
      <w:r w:rsidR="00AF210E">
        <w:rPr>
          <w:color w:val="020100"/>
          <w:szCs w:val="22"/>
        </w:rPr>
        <w:t xml:space="preserve">Nonexempt Trust </w:t>
      </w:r>
      <w:bookmarkEnd w:id="6"/>
      <w:r w:rsidR="00AF210E">
        <w:rPr>
          <w:color w:val="020100"/>
          <w:szCs w:val="22"/>
        </w:rPr>
        <w:t xml:space="preserve">will own </w:t>
      </w:r>
      <w:r w:rsidR="00AF210E">
        <w:rPr>
          <w:color w:val="020100"/>
          <w:szCs w:val="22"/>
        </w:rPr>
        <w:t>approximately 79% of Lintel</w:t>
      </w:r>
      <w:r w:rsidR="00764E5F">
        <w:rPr>
          <w:color w:val="020100"/>
          <w:szCs w:val="22"/>
        </w:rPr>
        <w:t xml:space="preserve"> and will be the </w:t>
      </w:r>
      <w:r w:rsidRPr="00125014" w:rsidR="00764E5F">
        <w:rPr>
          <w:color w:val="020100"/>
          <w:szCs w:val="22"/>
        </w:rPr>
        <w:t>only trust to own a 10% or greater interest in Lintel.</w:t>
      </w:r>
      <w:r w:rsidRPr="00125014" w:rsidR="00764E5F">
        <w:rPr>
          <w:rStyle w:val="FootnoteReference"/>
          <w:color w:val="020100"/>
          <w:szCs w:val="22"/>
        </w:rPr>
        <w:t xml:space="preserve"> </w:t>
      </w:r>
      <w:r>
        <w:rPr>
          <w:rStyle w:val="FootnoteReference"/>
          <w:color w:val="020100"/>
          <w:szCs w:val="22"/>
        </w:rPr>
        <w:footnoteReference w:id="5"/>
      </w:r>
      <w:r w:rsidRPr="00125014" w:rsidR="00764E5F">
        <w:rPr>
          <w:color w:val="020100"/>
          <w:szCs w:val="22"/>
        </w:rPr>
        <w:t xml:space="preserve"> </w:t>
      </w:r>
      <w:r w:rsidRPr="00125014" w:rsidR="00226803">
        <w:rPr>
          <w:color w:val="020100"/>
          <w:szCs w:val="22"/>
        </w:rPr>
        <w:t xml:space="preserve"> </w:t>
      </w:r>
      <w:r w:rsidRPr="00125014" w:rsidR="00B337F5">
        <w:rPr>
          <w:color w:val="020100"/>
          <w:szCs w:val="22"/>
        </w:rPr>
        <w:t>The sole beneficiary of the Nonexempt Trust is the spouse of Mr. Jack Lee Barton, Kim L. Barton.</w:t>
      </w:r>
      <w:r w:rsidRPr="00125014" w:rsidR="00226803">
        <w:rPr>
          <w:color w:val="020100"/>
          <w:szCs w:val="22"/>
        </w:rPr>
        <w:t xml:space="preserve">  </w:t>
      </w:r>
      <w:r w:rsidRPr="00125014" w:rsidR="00B337F5">
        <w:rPr>
          <w:color w:val="020100"/>
          <w:szCs w:val="22"/>
        </w:rPr>
        <w:t xml:space="preserve">Voting rights for the Nonexempt Trust will be exercised by James R. Daniel, Jr., </w:t>
      </w:r>
      <w:r w:rsidRPr="00125014" w:rsidR="009F5BF1">
        <w:rPr>
          <w:color w:val="020100"/>
          <w:szCs w:val="22"/>
        </w:rPr>
        <w:t xml:space="preserve">a U.S. citizen, </w:t>
      </w:r>
      <w:r w:rsidRPr="00125014" w:rsidR="00B337F5">
        <w:rPr>
          <w:color w:val="020100"/>
          <w:szCs w:val="22"/>
        </w:rPr>
        <w:t>while he is serving as a Co-Trustee of the Nonexempt Trust.</w:t>
      </w:r>
      <w:r w:rsidRPr="00125014" w:rsidR="00226803">
        <w:rPr>
          <w:color w:val="020100"/>
          <w:szCs w:val="22"/>
        </w:rPr>
        <w:t xml:space="preserve">  </w:t>
      </w:r>
      <w:bookmarkStart w:id="7" w:name="_Hlk21508454"/>
      <w:r w:rsidRPr="00125014" w:rsidR="004E59DD">
        <w:rPr>
          <w:color w:val="020100"/>
          <w:szCs w:val="22"/>
        </w:rPr>
        <w:t>Applicants assert that t</w:t>
      </w:r>
      <w:r w:rsidRPr="00125014" w:rsidR="004E59DD">
        <w:rPr>
          <w:szCs w:val="22"/>
        </w:rPr>
        <w:t>he proposed transaction is entitled to streamlined treatment under the Commission’s rules and that a grant of the application would serve the public interest, convenience, and necessity</w:t>
      </w:r>
      <w:bookmarkEnd w:id="7"/>
      <w:r w:rsidRPr="00125014" w:rsidR="004E59DD">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63.03(b)(1)(ii) of the Commission’s rules.</w:t>
      </w:r>
      <w:r>
        <w:rPr>
          <w:szCs w:val="22"/>
          <w:vertAlign w:val="superscript"/>
        </w:rPr>
        <w:footnoteReference w:id="6"/>
      </w:r>
      <w:r w:rsidRPr="00125014" w:rsidR="004E59DD">
        <w:rPr>
          <w:szCs w:val="22"/>
        </w:rPr>
        <w:t xml:space="preserve">  </w:t>
      </w:r>
      <w:r w:rsidRPr="00125014" w:rsidR="004E59DD">
        <w:rPr>
          <w:b/>
          <w:bCs/>
          <w:szCs w:val="22"/>
        </w:rPr>
        <w:t xml:space="preserve"> </w:t>
      </w:r>
    </w:p>
    <w:p w:rsidR="005E7625" w:rsidRPr="004D082B" w:rsidP="0057071C">
      <w:pPr>
        <w:autoSpaceDE w:val="0"/>
        <w:autoSpaceDN w:val="0"/>
        <w:adjustRightInd w:val="0"/>
        <w:ind w:firstLine="720"/>
        <w:rPr>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FE01A9" w:rsidP="00882366">
      <w:pPr>
        <w:autoSpaceDE w:val="0"/>
        <w:autoSpaceDN w:val="0"/>
        <w:adjustRightInd w:val="0"/>
        <w:ind w:left="720"/>
        <w:rPr>
          <w:szCs w:val="22"/>
        </w:rPr>
      </w:pPr>
      <w:r w:rsidRPr="00DA34B5">
        <w:rPr>
          <w:bCs/>
          <w:szCs w:val="22"/>
        </w:rPr>
        <w:t xml:space="preserve">Hart Telephone Company </w:t>
      </w:r>
      <w:r>
        <w:rPr>
          <w:bCs/>
          <w:szCs w:val="22"/>
        </w:rPr>
        <w:t>a</w:t>
      </w:r>
      <w:r w:rsidRPr="00DA34B5">
        <w:rPr>
          <w:bCs/>
          <w:szCs w:val="22"/>
        </w:rPr>
        <w:t>nd Hart Communications, Inc</w:t>
      </w:r>
      <w:r w:rsidR="00882366">
        <w:rPr>
          <w:szCs w:val="22"/>
        </w:rPr>
        <w:t xml:space="preserve">., </w:t>
      </w:r>
    </w:p>
    <w:p w:rsidR="002710BB" w:rsidRPr="004E0968" w:rsidP="0088236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D14F62">
        <w:rPr>
          <w:szCs w:val="22"/>
        </w:rPr>
        <w:t>2</w:t>
      </w:r>
      <w:r w:rsidR="00DA34B5">
        <w:rPr>
          <w:szCs w:val="22"/>
        </w:rPr>
        <w:t>76</w:t>
      </w:r>
      <w:r w:rsidR="008554AB">
        <w:rPr>
          <w:szCs w:val="22"/>
        </w:rPr>
        <w:t xml:space="preserve"> </w:t>
      </w:r>
      <w:r>
        <w:rPr>
          <w:szCs w:val="22"/>
        </w:rPr>
        <w:t xml:space="preserve">(filed </w:t>
      </w:r>
      <w:r w:rsidR="00DA34B5">
        <w:rPr>
          <w:szCs w:val="22"/>
        </w:rPr>
        <w:t>Sept</w:t>
      </w:r>
      <w:r w:rsidR="004A3BE0">
        <w:rPr>
          <w:szCs w:val="22"/>
        </w:rPr>
        <w:t>.</w:t>
      </w:r>
      <w:r w:rsidR="005A6058">
        <w:rPr>
          <w:szCs w:val="22"/>
        </w:rPr>
        <w:t xml:space="preserve"> </w:t>
      </w:r>
      <w:r w:rsidR="00DA34B5">
        <w:rPr>
          <w:szCs w:val="22"/>
        </w:rPr>
        <w:t>18</w:t>
      </w:r>
      <w:r w:rsidRPr="00A6163F">
        <w:rPr>
          <w:szCs w:val="22"/>
        </w:rPr>
        <w:t>, 201</w:t>
      </w:r>
      <w:r w:rsidR="00794A8B">
        <w:rPr>
          <w:szCs w:val="22"/>
        </w:rPr>
        <w:t>9</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October </w:t>
      </w:r>
      <w:r w:rsidR="001F1EB5">
        <w:rPr>
          <w:b/>
          <w:szCs w:val="22"/>
        </w:rPr>
        <w:t>23</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Pr>
          <w:b/>
          <w:szCs w:val="22"/>
        </w:rPr>
        <w:t xml:space="preserve">October </w:t>
      </w:r>
      <w:r w:rsidR="004A3AD6">
        <w:rPr>
          <w:b/>
          <w:szCs w:val="22"/>
        </w:rPr>
        <w:t>30</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235A00">
          <w:rPr>
            <w:rStyle w:val="Hyperlink"/>
            <w:szCs w:val="22"/>
          </w:rPr>
          <w:t>tracey.wilson@fcc.gov</w:t>
        </w:r>
      </w:hyperlink>
      <w:r w:rsidRPr="007F43F2">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2" w:history="1">
        <w:r w:rsidRPr="008F0AA7">
          <w:rPr>
            <w:rStyle w:val="Hyperlink"/>
            <w:szCs w:val="22"/>
          </w:rPr>
          <w:t>dennis.johnson@fcc.gov</w:t>
        </w:r>
      </w:hyperlink>
      <w:r>
        <w:rPr>
          <w:szCs w:val="22"/>
        </w:rPr>
        <w:t>;</w:t>
      </w:r>
      <w:r w:rsidRPr="00165A52">
        <w:rPr>
          <w:szCs w:val="22"/>
        </w:rPr>
        <w:t xml:space="preserve"> </w:t>
      </w:r>
      <w:bookmarkStart w:id="9"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D93E7D" w:rsidRPr="002D0D37" w:rsidP="00D93E7D">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and</w:t>
      </w:r>
    </w:p>
    <w:bookmarkEnd w:id="9"/>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Tracey Wilson at (202) 418-1394 or </w:t>
      </w:r>
      <w:r w:rsidR="00F66A61">
        <w:rPr>
          <w:szCs w:val="22"/>
        </w:rPr>
        <w:t>Dennis Johnson</w:t>
      </w:r>
      <w:r>
        <w:rPr>
          <w:szCs w:val="22"/>
        </w:rPr>
        <w:t xml:space="preserve"> at (202) 418-1191</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BA2">
      <w:r>
        <w:separator/>
      </w:r>
    </w:p>
  </w:footnote>
  <w:footnote w:type="continuationSeparator" w:id="1">
    <w:p w:rsidR="005E4BA2">
      <w:r>
        <w:continuationSeparator/>
      </w:r>
    </w:p>
  </w:footnote>
  <w:footnote w:type="continuationNotice" w:id="2">
    <w:p w:rsidR="005E4BA2"/>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D92FB5">
        <w:rPr>
          <w:sz w:val="20"/>
        </w:rPr>
        <w:t xml:space="preserve"> </w:t>
      </w:r>
      <w:r w:rsidR="005A6058">
        <w:rPr>
          <w:sz w:val="20"/>
        </w:rPr>
        <w:t xml:space="preserve">Applicants are also filing </w:t>
      </w:r>
      <w:r w:rsidR="002306F8">
        <w:rPr>
          <w:sz w:val="20"/>
        </w:rPr>
        <w:t xml:space="preserve">an </w:t>
      </w:r>
      <w:r w:rsidR="005A6058">
        <w:rPr>
          <w:sz w:val="20"/>
        </w:rPr>
        <w:t>application for the transfer of control of international services.</w:t>
      </w:r>
      <w:r w:rsidR="009B7036">
        <w:rPr>
          <w:sz w:val="20"/>
        </w:rPr>
        <w:t xml:space="preserve">  </w:t>
      </w:r>
      <w:r w:rsidR="005A6058">
        <w:rPr>
          <w:sz w:val="20"/>
        </w:rPr>
        <w:t>Any action on this domestic section 214 application is without prejudice to Commission action on other related, pending applications.</w:t>
      </w:r>
      <w:r w:rsidR="00764E5F">
        <w:rPr>
          <w:sz w:val="20"/>
        </w:rPr>
        <w:t xml:space="preserve">  Applicants filed supplements to their domestic section 214 application on September 30 and October 4, 2019.</w:t>
      </w:r>
      <w:r w:rsidR="005A6058">
        <w:rPr>
          <w:sz w:val="20"/>
        </w:rPr>
        <w:t xml:space="preserve">  </w:t>
      </w:r>
    </w:p>
  </w:footnote>
  <w:footnote w:id="4">
    <w:p w:rsidR="00572626">
      <w:pPr>
        <w:pStyle w:val="FootnoteText"/>
      </w:pPr>
      <w:r>
        <w:rPr>
          <w:rStyle w:val="FootnoteReference"/>
        </w:rPr>
        <w:footnoteRef/>
      </w:r>
      <w:r>
        <w:t xml:space="preserve"> </w:t>
      </w:r>
      <w:r w:rsidRPr="00764E5F">
        <w:rPr>
          <w:sz w:val="20"/>
        </w:rPr>
        <w:t>Mr. Jack Lee Barton</w:t>
      </w:r>
      <w:r w:rsidRPr="00764E5F" w:rsidR="00AF210E">
        <w:rPr>
          <w:sz w:val="20"/>
        </w:rPr>
        <w:t>’s Estate currently holds approximately 95% of</w:t>
      </w:r>
      <w:r w:rsidRPr="00764E5F">
        <w:rPr>
          <w:sz w:val="20"/>
        </w:rPr>
        <w:t xml:space="preserve"> the stock of Lintel</w:t>
      </w:r>
      <w:r w:rsidR="00AF210E">
        <w:t xml:space="preserve">.  </w:t>
      </w:r>
    </w:p>
  </w:footnote>
  <w:footnote w:id="5">
    <w:p w:rsidR="00764E5F" w:rsidP="00764E5F">
      <w:pPr>
        <w:pStyle w:val="FootnoteText"/>
      </w:pPr>
      <w:r>
        <w:rPr>
          <w:rStyle w:val="FootnoteReference"/>
        </w:rPr>
        <w:footnoteRef/>
      </w:r>
      <w:r>
        <w:t xml:space="preserve"> </w:t>
      </w:r>
      <w:r w:rsidRPr="00B337F5">
        <w:rPr>
          <w:sz w:val="20"/>
        </w:rPr>
        <w:t xml:space="preserve">The actual percentage of Lintel stock that will be transferred to the Nonexempt Trust will await the final valuation of Lintel as required under applicable law. </w:t>
      </w:r>
      <w:r>
        <w:rPr>
          <w:sz w:val="20"/>
        </w:rPr>
        <w:t xml:space="preserve"> </w:t>
      </w:r>
      <w:r w:rsidRPr="00B337F5">
        <w:rPr>
          <w:sz w:val="20"/>
        </w:rPr>
        <w:t>Applicants submit, however, that no other greater than 10% owner of Lintel would be established based on that valuation.</w:t>
      </w:r>
    </w:p>
  </w:footnote>
  <w:footnote w:id="6">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Pr>
          <w:color w:val="020100"/>
          <w:sz w:val="20"/>
        </w:rPr>
        <w:t>1</w:t>
      </w:r>
      <w:r w:rsidRPr="00CE2462">
        <w:rPr>
          <w:color w:val="020100"/>
          <w:sz w:val="20"/>
        </w:rPr>
        <w:t>)(</w:t>
      </w:r>
      <w:r>
        <w:rPr>
          <w:color w:val="020100"/>
          <w:sz w:val="20"/>
        </w:rPr>
        <w:t>ii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5FB5"/>
    <w:rsid w:val="000275C0"/>
    <w:rsid w:val="00027CDF"/>
    <w:rsid w:val="00031517"/>
    <w:rsid w:val="00036507"/>
    <w:rsid w:val="00036643"/>
    <w:rsid w:val="00037B27"/>
    <w:rsid w:val="00040A35"/>
    <w:rsid w:val="000411D2"/>
    <w:rsid w:val="00050129"/>
    <w:rsid w:val="00051153"/>
    <w:rsid w:val="00054BC3"/>
    <w:rsid w:val="00056FBA"/>
    <w:rsid w:val="00057B28"/>
    <w:rsid w:val="000622EA"/>
    <w:rsid w:val="00073655"/>
    <w:rsid w:val="00080A7B"/>
    <w:rsid w:val="00082438"/>
    <w:rsid w:val="00096A5D"/>
    <w:rsid w:val="00097A36"/>
    <w:rsid w:val="00097A4D"/>
    <w:rsid w:val="000A0AF8"/>
    <w:rsid w:val="000A1D9D"/>
    <w:rsid w:val="000A3AF2"/>
    <w:rsid w:val="000A7CB5"/>
    <w:rsid w:val="000B0DE3"/>
    <w:rsid w:val="000C10EC"/>
    <w:rsid w:val="000C1734"/>
    <w:rsid w:val="000C268D"/>
    <w:rsid w:val="000C29BF"/>
    <w:rsid w:val="000C3DC0"/>
    <w:rsid w:val="000C5A5D"/>
    <w:rsid w:val="000C5B92"/>
    <w:rsid w:val="000E361F"/>
    <w:rsid w:val="000E5D0E"/>
    <w:rsid w:val="000E759F"/>
    <w:rsid w:val="000F1019"/>
    <w:rsid w:val="000F6C1D"/>
    <w:rsid w:val="000F6DCF"/>
    <w:rsid w:val="00102CB4"/>
    <w:rsid w:val="00103C5C"/>
    <w:rsid w:val="00104590"/>
    <w:rsid w:val="00115112"/>
    <w:rsid w:val="00125014"/>
    <w:rsid w:val="00125DCA"/>
    <w:rsid w:val="00130651"/>
    <w:rsid w:val="0013082F"/>
    <w:rsid w:val="0013110F"/>
    <w:rsid w:val="0014015C"/>
    <w:rsid w:val="001419AD"/>
    <w:rsid w:val="00141F68"/>
    <w:rsid w:val="00145A03"/>
    <w:rsid w:val="00157F59"/>
    <w:rsid w:val="00161D32"/>
    <w:rsid w:val="00165A52"/>
    <w:rsid w:val="00172F2A"/>
    <w:rsid w:val="001746B2"/>
    <w:rsid w:val="0017556F"/>
    <w:rsid w:val="00177E40"/>
    <w:rsid w:val="00183BC5"/>
    <w:rsid w:val="001912DA"/>
    <w:rsid w:val="001928C8"/>
    <w:rsid w:val="0019360E"/>
    <w:rsid w:val="00197FA0"/>
    <w:rsid w:val="001A198C"/>
    <w:rsid w:val="001B08C0"/>
    <w:rsid w:val="001B2CEB"/>
    <w:rsid w:val="001B5E2E"/>
    <w:rsid w:val="001D440A"/>
    <w:rsid w:val="001D5BAB"/>
    <w:rsid w:val="001E4A3D"/>
    <w:rsid w:val="001E4A71"/>
    <w:rsid w:val="001E50F1"/>
    <w:rsid w:val="001F09B5"/>
    <w:rsid w:val="001F1EB5"/>
    <w:rsid w:val="001F5143"/>
    <w:rsid w:val="001F5484"/>
    <w:rsid w:val="001F643B"/>
    <w:rsid w:val="002009DB"/>
    <w:rsid w:val="00200A46"/>
    <w:rsid w:val="00201ECC"/>
    <w:rsid w:val="0020784E"/>
    <w:rsid w:val="00207BF5"/>
    <w:rsid w:val="00212587"/>
    <w:rsid w:val="002149CF"/>
    <w:rsid w:val="00215440"/>
    <w:rsid w:val="00224457"/>
    <w:rsid w:val="00226803"/>
    <w:rsid w:val="002306F8"/>
    <w:rsid w:val="00230B59"/>
    <w:rsid w:val="00231551"/>
    <w:rsid w:val="00235A00"/>
    <w:rsid w:val="00236297"/>
    <w:rsid w:val="00242548"/>
    <w:rsid w:val="00246345"/>
    <w:rsid w:val="00253611"/>
    <w:rsid w:val="0025377B"/>
    <w:rsid w:val="00254085"/>
    <w:rsid w:val="0025577D"/>
    <w:rsid w:val="002703A5"/>
    <w:rsid w:val="002710BB"/>
    <w:rsid w:val="0027368D"/>
    <w:rsid w:val="00277EC1"/>
    <w:rsid w:val="00281C4B"/>
    <w:rsid w:val="00283E1B"/>
    <w:rsid w:val="00284202"/>
    <w:rsid w:val="0028593D"/>
    <w:rsid w:val="002A0F17"/>
    <w:rsid w:val="002A1A50"/>
    <w:rsid w:val="002A1C63"/>
    <w:rsid w:val="002A1F0F"/>
    <w:rsid w:val="002A4414"/>
    <w:rsid w:val="002A7343"/>
    <w:rsid w:val="002D0D37"/>
    <w:rsid w:val="002D1263"/>
    <w:rsid w:val="002D34EA"/>
    <w:rsid w:val="002D3ED6"/>
    <w:rsid w:val="002D4CFF"/>
    <w:rsid w:val="002E0D7D"/>
    <w:rsid w:val="002F5A0D"/>
    <w:rsid w:val="002F5AE5"/>
    <w:rsid w:val="002F5DD8"/>
    <w:rsid w:val="0030659D"/>
    <w:rsid w:val="00312D0D"/>
    <w:rsid w:val="00316C41"/>
    <w:rsid w:val="00316CA1"/>
    <w:rsid w:val="00320871"/>
    <w:rsid w:val="00323A96"/>
    <w:rsid w:val="00326DAB"/>
    <w:rsid w:val="00330DD0"/>
    <w:rsid w:val="003348A2"/>
    <w:rsid w:val="00335653"/>
    <w:rsid w:val="00340B27"/>
    <w:rsid w:val="003452E3"/>
    <w:rsid w:val="00345DD9"/>
    <w:rsid w:val="00347136"/>
    <w:rsid w:val="00354BAE"/>
    <w:rsid w:val="00356C93"/>
    <w:rsid w:val="00357556"/>
    <w:rsid w:val="00362735"/>
    <w:rsid w:val="00363BC1"/>
    <w:rsid w:val="003713FE"/>
    <w:rsid w:val="00375720"/>
    <w:rsid w:val="003805A7"/>
    <w:rsid w:val="00381027"/>
    <w:rsid w:val="003826DE"/>
    <w:rsid w:val="00384887"/>
    <w:rsid w:val="00387CB5"/>
    <w:rsid w:val="00392917"/>
    <w:rsid w:val="00395229"/>
    <w:rsid w:val="003A2159"/>
    <w:rsid w:val="003A46D8"/>
    <w:rsid w:val="003A5F17"/>
    <w:rsid w:val="003B4233"/>
    <w:rsid w:val="003B6314"/>
    <w:rsid w:val="003D2CC0"/>
    <w:rsid w:val="003D3C17"/>
    <w:rsid w:val="003D423B"/>
    <w:rsid w:val="003D6225"/>
    <w:rsid w:val="003E1DCE"/>
    <w:rsid w:val="003E7B36"/>
    <w:rsid w:val="003E7CC1"/>
    <w:rsid w:val="003F0102"/>
    <w:rsid w:val="003F092A"/>
    <w:rsid w:val="003F3DD5"/>
    <w:rsid w:val="003F5DCE"/>
    <w:rsid w:val="00405233"/>
    <w:rsid w:val="004336CC"/>
    <w:rsid w:val="00436121"/>
    <w:rsid w:val="004423CD"/>
    <w:rsid w:val="00443169"/>
    <w:rsid w:val="00452C04"/>
    <w:rsid w:val="004573CA"/>
    <w:rsid w:val="00457C69"/>
    <w:rsid w:val="00461B7F"/>
    <w:rsid w:val="004672EF"/>
    <w:rsid w:val="0046789B"/>
    <w:rsid w:val="00471580"/>
    <w:rsid w:val="00472C50"/>
    <w:rsid w:val="0047327C"/>
    <w:rsid w:val="00473B72"/>
    <w:rsid w:val="00475701"/>
    <w:rsid w:val="004767C7"/>
    <w:rsid w:val="00476C55"/>
    <w:rsid w:val="00477645"/>
    <w:rsid w:val="0048025D"/>
    <w:rsid w:val="00487B30"/>
    <w:rsid w:val="004904F9"/>
    <w:rsid w:val="00490BF1"/>
    <w:rsid w:val="00493B38"/>
    <w:rsid w:val="0049526E"/>
    <w:rsid w:val="00495966"/>
    <w:rsid w:val="004A348A"/>
    <w:rsid w:val="004A3AD6"/>
    <w:rsid w:val="004A3BE0"/>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2976"/>
    <w:rsid w:val="004D31A3"/>
    <w:rsid w:val="004D36B9"/>
    <w:rsid w:val="004D5804"/>
    <w:rsid w:val="004E0968"/>
    <w:rsid w:val="004E1CCD"/>
    <w:rsid w:val="004E4528"/>
    <w:rsid w:val="004E59DD"/>
    <w:rsid w:val="004F365D"/>
    <w:rsid w:val="004F7F50"/>
    <w:rsid w:val="00500769"/>
    <w:rsid w:val="00502046"/>
    <w:rsid w:val="005100C2"/>
    <w:rsid w:val="005129CA"/>
    <w:rsid w:val="005136DE"/>
    <w:rsid w:val="00513908"/>
    <w:rsid w:val="00520052"/>
    <w:rsid w:val="00522012"/>
    <w:rsid w:val="00526151"/>
    <w:rsid w:val="0053086F"/>
    <w:rsid w:val="005310EC"/>
    <w:rsid w:val="00535182"/>
    <w:rsid w:val="0053650B"/>
    <w:rsid w:val="00541B00"/>
    <w:rsid w:val="00544141"/>
    <w:rsid w:val="00546673"/>
    <w:rsid w:val="00556328"/>
    <w:rsid w:val="00560400"/>
    <w:rsid w:val="0056463D"/>
    <w:rsid w:val="0057071C"/>
    <w:rsid w:val="00570827"/>
    <w:rsid w:val="00572626"/>
    <w:rsid w:val="00572EC5"/>
    <w:rsid w:val="005746C3"/>
    <w:rsid w:val="005766C0"/>
    <w:rsid w:val="00580490"/>
    <w:rsid w:val="005825C6"/>
    <w:rsid w:val="00583816"/>
    <w:rsid w:val="00590D65"/>
    <w:rsid w:val="0059110A"/>
    <w:rsid w:val="005917A5"/>
    <w:rsid w:val="00593AB4"/>
    <w:rsid w:val="0059432E"/>
    <w:rsid w:val="00596619"/>
    <w:rsid w:val="005A09F7"/>
    <w:rsid w:val="005A3743"/>
    <w:rsid w:val="005A47ED"/>
    <w:rsid w:val="005A6058"/>
    <w:rsid w:val="005B4DEE"/>
    <w:rsid w:val="005B6656"/>
    <w:rsid w:val="005C73E0"/>
    <w:rsid w:val="005D1B77"/>
    <w:rsid w:val="005D1F95"/>
    <w:rsid w:val="005D4873"/>
    <w:rsid w:val="005D7414"/>
    <w:rsid w:val="005D7703"/>
    <w:rsid w:val="005D7868"/>
    <w:rsid w:val="005E2578"/>
    <w:rsid w:val="005E4BA2"/>
    <w:rsid w:val="005E7625"/>
    <w:rsid w:val="005F01FA"/>
    <w:rsid w:val="005F0F09"/>
    <w:rsid w:val="005F7B41"/>
    <w:rsid w:val="006013F1"/>
    <w:rsid w:val="0060549D"/>
    <w:rsid w:val="0060609E"/>
    <w:rsid w:val="0060699E"/>
    <w:rsid w:val="006128B1"/>
    <w:rsid w:val="00622499"/>
    <w:rsid w:val="00630CA6"/>
    <w:rsid w:val="006324B2"/>
    <w:rsid w:val="006350EA"/>
    <w:rsid w:val="00652D35"/>
    <w:rsid w:val="00653F40"/>
    <w:rsid w:val="00655921"/>
    <w:rsid w:val="00660C44"/>
    <w:rsid w:val="00663E39"/>
    <w:rsid w:val="00672102"/>
    <w:rsid w:val="006746B7"/>
    <w:rsid w:val="00681F18"/>
    <w:rsid w:val="00684D9E"/>
    <w:rsid w:val="00685356"/>
    <w:rsid w:val="00694039"/>
    <w:rsid w:val="006950EB"/>
    <w:rsid w:val="00695882"/>
    <w:rsid w:val="00695ED6"/>
    <w:rsid w:val="006A1CCC"/>
    <w:rsid w:val="006B29E2"/>
    <w:rsid w:val="006B4201"/>
    <w:rsid w:val="006B7F06"/>
    <w:rsid w:val="006C050F"/>
    <w:rsid w:val="006C265D"/>
    <w:rsid w:val="006D5004"/>
    <w:rsid w:val="006E619A"/>
    <w:rsid w:val="006F1A16"/>
    <w:rsid w:val="006F3A11"/>
    <w:rsid w:val="006F3BD7"/>
    <w:rsid w:val="006F54C1"/>
    <w:rsid w:val="006F5D0A"/>
    <w:rsid w:val="006F6107"/>
    <w:rsid w:val="00702A0D"/>
    <w:rsid w:val="00720946"/>
    <w:rsid w:val="00731FA9"/>
    <w:rsid w:val="00732C04"/>
    <w:rsid w:val="007406C3"/>
    <w:rsid w:val="007426F7"/>
    <w:rsid w:val="00743073"/>
    <w:rsid w:val="00747341"/>
    <w:rsid w:val="007504A1"/>
    <w:rsid w:val="0075336E"/>
    <w:rsid w:val="007558D7"/>
    <w:rsid w:val="00761017"/>
    <w:rsid w:val="007644F1"/>
    <w:rsid w:val="00764E5F"/>
    <w:rsid w:val="00767EC4"/>
    <w:rsid w:val="007718AB"/>
    <w:rsid w:val="0077609C"/>
    <w:rsid w:val="00782554"/>
    <w:rsid w:val="0078382A"/>
    <w:rsid w:val="0078725E"/>
    <w:rsid w:val="00787509"/>
    <w:rsid w:val="00791C6D"/>
    <w:rsid w:val="00792642"/>
    <w:rsid w:val="00794A8B"/>
    <w:rsid w:val="00795E89"/>
    <w:rsid w:val="007965C2"/>
    <w:rsid w:val="00797C32"/>
    <w:rsid w:val="007A4581"/>
    <w:rsid w:val="007A6B8F"/>
    <w:rsid w:val="007B1B03"/>
    <w:rsid w:val="007B279A"/>
    <w:rsid w:val="007B4471"/>
    <w:rsid w:val="007C36A5"/>
    <w:rsid w:val="007C50D7"/>
    <w:rsid w:val="007C581D"/>
    <w:rsid w:val="007D352B"/>
    <w:rsid w:val="007D48BC"/>
    <w:rsid w:val="007E4568"/>
    <w:rsid w:val="007F43F2"/>
    <w:rsid w:val="008012E2"/>
    <w:rsid w:val="00802693"/>
    <w:rsid w:val="00802B98"/>
    <w:rsid w:val="008050F8"/>
    <w:rsid w:val="008221A3"/>
    <w:rsid w:val="00830116"/>
    <w:rsid w:val="00831C83"/>
    <w:rsid w:val="0085012B"/>
    <w:rsid w:val="008554AB"/>
    <w:rsid w:val="00862E04"/>
    <w:rsid w:val="0086589F"/>
    <w:rsid w:val="00866CA6"/>
    <w:rsid w:val="008763F5"/>
    <w:rsid w:val="008764D8"/>
    <w:rsid w:val="00877231"/>
    <w:rsid w:val="0088011A"/>
    <w:rsid w:val="00882366"/>
    <w:rsid w:val="00895FE2"/>
    <w:rsid w:val="008A1E75"/>
    <w:rsid w:val="008A3F30"/>
    <w:rsid w:val="008B10FA"/>
    <w:rsid w:val="008C49B6"/>
    <w:rsid w:val="008C4FF9"/>
    <w:rsid w:val="008D0A8D"/>
    <w:rsid w:val="008D39F6"/>
    <w:rsid w:val="008D7345"/>
    <w:rsid w:val="008E012F"/>
    <w:rsid w:val="008E4710"/>
    <w:rsid w:val="008F000C"/>
    <w:rsid w:val="008F0AA7"/>
    <w:rsid w:val="008F0F01"/>
    <w:rsid w:val="0090118F"/>
    <w:rsid w:val="00904094"/>
    <w:rsid w:val="0090640B"/>
    <w:rsid w:val="00917CD9"/>
    <w:rsid w:val="009226BA"/>
    <w:rsid w:val="00936752"/>
    <w:rsid w:val="00943818"/>
    <w:rsid w:val="00950931"/>
    <w:rsid w:val="00951E8A"/>
    <w:rsid w:val="0095530B"/>
    <w:rsid w:val="00955AC8"/>
    <w:rsid w:val="0095716B"/>
    <w:rsid w:val="00957758"/>
    <w:rsid w:val="00960AE0"/>
    <w:rsid w:val="00971F59"/>
    <w:rsid w:val="00982B20"/>
    <w:rsid w:val="00991DB0"/>
    <w:rsid w:val="00995BC1"/>
    <w:rsid w:val="00997232"/>
    <w:rsid w:val="009A24F4"/>
    <w:rsid w:val="009A4D61"/>
    <w:rsid w:val="009B0256"/>
    <w:rsid w:val="009B7036"/>
    <w:rsid w:val="009C4368"/>
    <w:rsid w:val="009C6AFA"/>
    <w:rsid w:val="009D4559"/>
    <w:rsid w:val="009D4F78"/>
    <w:rsid w:val="009E04AE"/>
    <w:rsid w:val="009E089B"/>
    <w:rsid w:val="009E1526"/>
    <w:rsid w:val="009E360F"/>
    <w:rsid w:val="009E4572"/>
    <w:rsid w:val="009F127B"/>
    <w:rsid w:val="009F5BF1"/>
    <w:rsid w:val="00A0107B"/>
    <w:rsid w:val="00A02F23"/>
    <w:rsid w:val="00A05155"/>
    <w:rsid w:val="00A24356"/>
    <w:rsid w:val="00A26B04"/>
    <w:rsid w:val="00A27475"/>
    <w:rsid w:val="00A53808"/>
    <w:rsid w:val="00A6163F"/>
    <w:rsid w:val="00A65835"/>
    <w:rsid w:val="00A6784F"/>
    <w:rsid w:val="00A70196"/>
    <w:rsid w:val="00A71955"/>
    <w:rsid w:val="00A7217C"/>
    <w:rsid w:val="00A77513"/>
    <w:rsid w:val="00A84170"/>
    <w:rsid w:val="00A84203"/>
    <w:rsid w:val="00A84A51"/>
    <w:rsid w:val="00A87DB7"/>
    <w:rsid w:val="00A90D4B"/>
    <w:rsid w:val="00AA0FB8"/>
    <w:rsid w:val="00AA35A4"/>
    <w:rsid w:val="00AA655C"/>
    <w:rsid w:val="00AA7D57"/>
    <w:rsid w:val="00AB6418"/>
    <w:rsid w:val="00AC28AC"/>
    <w:rsid w:val="00AE29FC"/>
    <w:rsid w:val="00AE3172"/>
    <w:rsid w:val="00AE4342"/>
    <w:rsid w:val="00AE5747"/>
    <w:rsid w:val="00AE5EB9"/>
    <w:rsid w:val="00AF210E"/>
    <w:rsid w:val="00AF2A4A"/>
    <w:rsid w:val="00B007D6"/>
    <w:rsid w:val="00B07D18"/>
    <w:rsid w:val="00B12BA0"/>
    <w:rsid w:val="00B13204"/>
    <w:rsid w:val="00B13303"/>
    <w:rsid w:val="00B13C3F"/>
    <w:rsid w:val="00B14927"/>
    <w:rsid w:val="00B14990"/>
    <w:rsid w:val="00B15470"/>
    <w:rsid w:val="00B210C2"/>
    <w:rsid w:val="00B21EC8"/>
    <w:rsid w:val="00B24061"/>
    <w:rsid w:val="00B25BBF"/>
    <w:rsid w:val="00B337F5"/>
    <w:rsid w:val="00B36F96"/>
    <w:rsid w:val="00B4425B"/>
    <w:rsid w:val="00B44D3E"/>
    <w:rsid w:val="00B4517F"/>
    <w:rsid w:val="00B467CA"/>
    <w:rsid w:val="00B50071"/>
    <w:rsid w:val="00B575BF"/>
    <w:rsid w:val="00B60DB5"/>
    <w:rsid w:val="00B62879"/>
    <w:rsid w:val="00B65A6B"/>
    <w:rsid w:val="00B702A7"/>
    <w:rsid w:val="00B730A5"/>
    <w:rsid w:val="00B74787"/>
    <w:rsid w:val="00B75B3E"/>
    <w:rsid w:val="00B77B57"/>
    <w:rsid w:val="00B81917"/>
    <w:rsid w:val="00B8723A"/>
    <w:rsid w:val="00B921C8"/>
    <w:rsid w:val="00B94578"/>
    <w:rsid w:val="00BA0AB1"/>
    <w:rsid w:val="00BA1371"/>
    <w:rsid w:val="00BA4F2C"/>
    <w:rsid w:val="00BB0D12"/>
    <w:rsid w:val="00BB2151"/>
    <w:rsid w:val="00BB5387"/>
    <w:rsid w:val="00BB5C18"/>
    <w:rsid w:val="00BB75C2"/>
    <w:rsid w:val="00BC23C3"/>
    <w:rsid w:val="00BC5A76"/>
    <w:rsid w:val="00BD4AA5"/>
    <w:rsid w:val="00BE66B7"/>
    <w:rsid w:val="00BF38EB"/>
    <w:rsid w:val="00BF5C4F"/>
    <w:rsid w:val="00C0080A"/>
    <w:rsid w:val="00C04314"/>
    <w:rsid w:val="00C0619C"/>
    <w:rsid w:val="00C06CF8"/>
    <w:rsid w:val="00C11A2B"/>
    <w:rsid w:val="00C13818"/>
    <w:rsid w:val="00C143A1"/>
    <w:rsid w:val="00C146C6"/>
    <w:rsid w:val="00C16D2C"/>
    <w:rsid w:val="00C20A8D"/>
    <w:rsid w:val="00C25C13"/>
    <w:rsid w:val="00C303ED"/>
    <w:rsid w:val="00C30C53"/>
    <w:rsid w:val="00C32A79"/>
    <w:rsid w:val="00C339AF"/>
    <w:rsid w:val="00C350D5"/>
    <w:rsid w:val="00C44B2F"/>
    <w:rsid w:val="00C56180"/>
    <w:rsid w:val="00C6001D"/>
    <w:rsid w:val="00C63F2D"/>
    <w:rsid w:val="00C669FE"/>
    <w:rsid w:val="00C70279"/>
    <w:rsid w:val="00C85F98"/>
    <w:rsid w:val="00C920D5"/>
    <w:rsid w:val="00C96682"/>
    <w:rsid w:val="00CA0D2C"/>
    <w:rsid w:val="00CA1262"/>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51A78"/>
    <w:rsid w:val="00D53B28"/>
    <w:rsid w:val="00D5488D"/>
    <w:rsid w:val="00D639F9"/>
    <w:rsid w:val="00D847CB"/>
    <w:rsid w:val="00D871F1"/>
    <w:rsid w:val="00D90A8A"/>
    <w:rsid w:val="00D92FB5"/>
    <w:rsid w:val="00D93E7D"/>
    <w:rsid w:val="00D94AD0"/>
    <w:rsid w:val="00DA34B5"/>
    <w:rsid w:val="00DB158A"/>
    <w:rsid w:val="00DB458A"/>
    <w:rsid w:val="00DC0231"/>
    <w:rsid w:val="00DD1807"/>
    <w:rsid w:val="00DD2109"/>
    <w:rsid w:val="00DD237E"/>
    <w:rsid w:val="00DE0A13"/>
    <w:rsid w:val="00DE2829"/>
    <w:rsid w:val="00DF08F1"/>
    <w:rsid w:val="00DF240A"/>
    <w:rsid w:val="00E055EC"/>
    <w:rsid w:val="00E113DC"/>
    <w:rsid w:val="00E17818"/>
    <w:rsid w:val="00E20623"/>
    <w:rsid w:val="00E25AB9"/>
    <w:rsid w:val="00E25DB2"/>
    <w:rsid w:val="00E261C6"/>
    <w:rsid w:val="00E40AFA"/>
    <w:rsid w:val="00E40C40"/>
    <w:rsid w:val="00E42CE8"/>
    <w:rsid w:val="00E51868"/>
    <w:rsid w:val="00E53381"/>
    <w:rsid w:val="00E53BC4"/>
    <w:rsid w:val="00E70C97"/>
    <w:rsid w:val="00E745AD"/>
    <w:rsid w:val="00E83D4A"/>
    <w:rsid w:val="00E85877"/>
    <w:rsid w:val="00E968C6"/>
    <w:rsid w:val="00E9761F"/>
    <w:rsid w:val="00EA3499"/>
    <w:rsid w:val="00EA4259"/>
    <w:rsid w:val="00EC0E5B"/>
    <w:rsid w:val="00EC715D"/>
    <w:rsid w:val="00ED0882"/>
    <w:rsid w:val="00EE708C"/>
    <w:rsid w:val="00EF2B53"/>
    <w:rsid w:val="00EF5E79"/>
    <w:rsid w:val="00EF720D"/>
    <w:rsid w:val="00F14BE4"/>
    <w:rsid w:val="00F1649D"/>
    <w:rsid w:val="00F2058C"/>
    <w:rsid w:val="00F20D8E"/>
    <w:rsid w:val="00F22DCE"/>
    <w:rsid w:val="00F24C03"/>
    <w:rsid w:val="00F27619"/>
    <w:rsid w:val="00F31957"/>
    <w:rsid w:val="00F36C00"/>
    <w:rsid w:val="00F47A36"/>
    <w:rsid w:val="00F51098"/>
    <w:rsid w:val="00F55FA7"/>
    <w:rsid w:val="00F57C5C"/>
    <w:rsid w:val="00F607F4"/>
    <w:rsid w:val="00F66A61"/>
    <w:rsid w:val="00F67A48"/>
    <w:rsid w:val="00F75932"/>
    <w:rsid w:val="00F9014D"/>
    <w:rsid w:val="00FA1B0D"/>
    <w:rsid w:val="00FA5C02"/>
    <w:rsid w:val="00FA5DDC"/>
    <w:rsid w:val="00FA5EA9"/>
    <w:rsid w:val="00FA6093"/>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rsid w:val="005E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