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0582">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300582" w:rsidRPr="00C50B80">
      <w:pPr>
        <w:jc w:val="right"/>
        <w:rPr>
          <w:b/>
          <w:szCs w:val="22"/>
        </w:rPr>
      </w:pPr>
      <w:r>
        <w:rPr>
          <w:b/>
          <w:szCs w:val="22"/>
        </w:rPr>
        <w:t>DA 1</w:t>
      </w:r>
      <w:r w:rsidR="00C86003">
        <w:rPr>
          <w:b/>
          <w:szCs w:val="22"/>
        </w:rPr>
        <w:t>9-</w:t>
      </w:r>
      <w:r w:rsidR="00F673BF">
        <w:rPr>
          <w:b/>
          <w:szCs w:val="22"/>
        </w:rPr>
        <w:t>1032</w:t>
      </w:r>
    </w:p>
    <w:p w:rsidR="00300582">
      <w:pPr>
        <w:spacing w:before="60"/>
        <w:jc w:val="right"/>
        <w:rPr>
          <w:sz w:val="24"/>
        </w:rPr>
      </w:pPr>
      <w:r>
        <w:rPr>
          <w:b/>
          <w:szCs w:val="22"/>
        </w:rPr>
        <w:t xml:space="preserve">Released: </w:t>
      </w:r>
      <w:r w:rsidR="00C86003">
        <w:rPr>
          <w:b/>
          <w:szCs w:val="22"/>
        </w:rPr>
        <w:t xml:space="preserve">October </w:t>
      </w:r>
      <w:r w:rsidR="005323AB">
        <w:rPr>
          <w:b/>
          <w:szCs w:val="22"/>
        </w:rPr>
        <w:t>10</w:t>
      </w:r>
      <w:r>
        <w:rPr>
          <w:b/>
          <w:szCs w:val="22"/>
        </w:rPr>
        <w:t>, 201</w:t>
      </w:r>
      <w:r w:rsidR="00C86003">
        <w:rPr>
          <w:b/>
          <w:szCs w:val="22"/>
        </w:rPr>
        <w:t>9</w:t>
      </w:r>
    </w:p>
    <w:p w:rsidR="00300582">
      <w:pPr>
        <w:jc w:val="right"/>
        <w:rPr>
          <w:sz w:val="24"/>
        </w:rPr>
      </w:pPr>
    </w:p>
    <w:p w:rsidR="00300582" w:rsidRPr="00375887" w:rsidP="00644027">
      <w:pPr>
        <w:suppressAutoHyphens/>
        <w:jc w:val="center"/>
        <w:rPr>
          <w:b/>
          <w:bCs/>
          <w:szCs w:val="22"/>
        </w:rPr>
      </w:pPr>
      <w:r>
        <w:rPr>
          <w:b/>
          <w:szCs w:val="22"/>
        </w:rPr>
        <w:t xml:space="preserve">DOMESTIC SECTION 214 </w:t>
      </w:r>
      <w:r>
        <w:rPr>
          <w:b/>
          <w:szCs w:val="22"/>
        </w:rPr>
        <w:t>APPLICATION</w:t>
      </w:r>
      <w:r>
        <w:rPr>
          <w:b/>
          <w:szCs w:val="22"/>
        </w:rPr>
        <w:t>S</w:t>
      </w:r>
      <w:r w:rsidRPr="00792582">
        <w:rPr>
          <w:b/>
          <w:szCs w:val="22"/>
        </w:rPr>
        <w:t xml:space="preserve"> GRANTED FOR THE </w:t>
      </w:r>
      <w:r>
        <w:rPr>
          <w:b/>
          <w:szCs w:val="22"/>
        </w:rPr>
        <w:t xml:space="preserve">ACQUISITION OF CERTAIN ASSETS BY COMBINED PUBLIC COMMUNICATIONS, LLC </w:t>
      </w:r>
    </w:p>
    <w:p w:rsidR="00300582" w:rsidRPr="00792582" w:rsidP="00300582">
      <w:pPr>
        <w:suppressAutoHyphens/>
        <w:rPr>
          <w:b/>
          <w:color w:val="000000"/>
          <w:szCs w:val="22"/>
        </w:rPr>
      </w:pPr>
    </w:p>
    <w:p w:rsidR="00300582" w:rsidRPr="004E4DA2" w:rsidP="00300582">
      <w:pPr>
        <w:suppressAutoHyphens/>
        <w:spacing w:after="240"/>
        <w:jc w:val="center"/>
        <w:rPr>
          <w:rFonts w:ascii="Arial" w:hAnsi="Arial" w:cs="Arial"/>
          <w:b/>
          <w:szCs w:val="22"/>
        </w:rPr>
      </w:pPr>
      <w:r>
        <w:rPr>
          <w:b/>
          <w:color w:val="000000"/>
          <w:szCs w:val="22"/>
        </w:rPr>
        <w:t>WC Docket No</w:t>
      </w:r>
      <w:r w:rsidR="00644027">
        <w:rPr>
          <w:b/>
          <w:color w:val="000000"/>
          <w:szCs w:val="22"/>
        </w:rPr>
        <w:t>s</w:t>
      </w:r>
      <w:r>
        <w:rPr>
          <w:b/>
          <w:color w:val="000000"/>
          <w:szCs w:val="22"/>
        </w:rPr>
        <w:t xml:space="preserve">. </w:t>
      </w:r>
      <w:bookmarkStart w:id="1" w:name="_GoBack"/>
      <w:r w:rsidR="00644027">
        <w:rPr>
          <w:b/>
          <w:color w:val="000000"/>
          <w:szCs w:val="22"/>
        </w:rPr>
        <w:t>18-309, 19-182, 19-221</w:t>
      </w:r>
      <w:bookmarkEnd w:id="1"/>
    </w:p>
    <w:p w:rsidR="00221558" w:rsidRPr="00C71804" w:rsidP="00221558">
      <w:pPr>
        <w:autoSpaceDE w:val="0"/>
        <w:autoSpaceDN w:val="0"/>
        <w:adjustRightInd w:val="0"/>
        <w:ind w:firstLine="720"/>
        <w:rPr>
          <w:szCs w:val="22"/>
        </w:rPr>
      </w:pPr>
      <w:r>
        <w:rPr>
          <w:szCs w:val="22"/>
        </w:rPr>
        <w:t xml:space="preserve">By this Public Notice, the Wireline Competition Bureau (Bureau) grants the </w:t>
      </w:r>
      <w:r w:rsidRPr="00950931">
        <w:rPr>
          <w:szCs w:val="22"/>
        </w:rPr>
        <w:t>application</w:t>
      </w:r>
      <w:r w:rsidR="00921A4A">
        <w:rPr>
          <w:szCs w:val="22"/>
        </w:rPr>
        <w:t>s</w:t>
      </w:r>
      <w:r>
        <w:rPr>
          <w:rStyle w:val="FootnoteReference"/>
          <w:szCs w:val="22"/>
        </w:rPr>
        <w:footnoteReference w:id="3"/>
      </w:r>
      <w:r w:rsidRPr="00950931">
        <w:rPr>
          <w:szCs w:val="22"/>
        </w:rPr>
        <w:t xml:space="preserve"> filed by</w:t>
      </w:r>
      <w:r>
        <w:rPr>
          <w:szCs w:val="22"/>
        </w:rPr>
        <w:t xml:space="preserve"> </w:t>
      </w:r>
      <w:bookmarkStart w:id="2" w:name="_Hlk526955767"/>
      <w:r>
        <w:rPr>
          <w:szCs w:val="22"/>
        </w:rPr>
        <w:t xml:space="preserve">Combined Public Communications, LLC </w:t>
      </w:r>
      <w:bookmarkEnd w:id="2"/>
      <w:r>
        <w:rPr>
          <w:szCs w:val="22"/>
        </w:rPr>
        <w:t>(Combined Public)</w:t>
      </w:r>
      <w:r w:rsidR="00921A4A">
        <w:rPr>
          <w:szCs w:val="22"/>
        </w:rPr>
        <w:t xml:space="preserve"> </w:t>
      </w:r>
      <w:r w:rsidR="00195C12">
        <w:rPr>
          <w:szCs w:val="22"/>
        </w:rPr>
        <w:t xml:space="preserve">to acquire </w:t>
      </w:r>
      <w:r w:rsidR="00F80F29">
        <w:rPr>
          <w:szCs w:val="22"/>
        </w:rPr>
        <w:t xml:space="preserve">certain inmate </w:t>
      </w:r>
      <w:r w:rsidR="00D109A4">
        <w:rPr>
          <w:szCs w:val="22"/>
        </w:rPr>
        <w:t xml:space="preserve">calling </w:t>
      </w:r>
      <w:r w:rsidR="00F80F29">
        <w:rPr>
          <w:szCs w:val="22"/>
        </w:rPr>
        <w:t xml:space="preserve">services </w:t>
      </w:r>
      <w:r w:rsidR="00D109A4">
        <w:rPr>
          <w:szCs w:val="22"/>
        </w:rPr>
        <w:t xml:space="preserve">customers and </w:t>
      </w:r>
      <w:r w:rsidR="00F80F29">
        <w:rPr>
          <w:szCs w:val="22"/>
        </w:rPr>
        <w:t>assets from Protocall, LLC (Protocall), Bealls Communications Group, Inc. (Bealls), and Infinity Networks, Inc.</w:t>
      </w:r>
      <w:r w:rsidRPr="00C71804">
        <w:rPr>
          <w:szCs w:val="22"/>
        </w:rPr>
        <w:t xml:space="preserve"> </w:t>
      </w:r>
      <w:r w:rsidR="00F80F29">
        <w:rPr>
          <w:szCs w:val="22"/>
        </w:rPr>
        <w:t xml:space="preserve">(Infinity) </w:t>
      </w:r>
      <w:r>
        <w:rPr>
          <w:szCs w:val="22"/>
        </w:rPr>
        <w:t>(</w:t>
      </w:r>
      <w:r w:rsidR="00F80F29">
        <w:rPr>
          <w:szCs w:val="22"/>
        </w:rPr>
        <w:t xml:space="preserve">Combined Public, together </w:t>
      </w:r>
      <w:r w:rsidR="00547514">
        <w:rPr>
          <w:szCs w:val="22"/>
        </w:rPr>
        <w:t xml:space="preserve">with </w:t>
      </w:r>
      <w:r w:rsidR="00F80F29">
        <w:rPr>
          <w:szCs w:val="22"/>
        </w:rPr>
        <w:t>Protocall, Bealls, and Infinity, Applicants</w:t>
      </w:r>
      <w:r>
        <w:rPr>
          <w:rFonts w:ascii="TimesNewRomanPSMT" w:hAnsi="TimesNewRomanPSMT" w:cs="TimesNewRomanPSMT"/>
          <w:szCs w:val="22"/>
        </w:rPr>
        <w:t xml:space="preserve">), </w:t>
      </w:r>
      <w:r>
        <w:rPr>
          <w:szCs w:val="22"/>
        </w:rPr>
        <w:t>pursuant to section 214 of the Communications Act of 1934, as amended, and sections 63.03-04 of the Commission’s rules</w:t>
      </w:r>
      <w:r w:rsidR="00F80F29">
        <w:rPr>
          <w:szCs w:val="22"/>
        </w:rPr>
        <w:t>.</w:t>
      </w:r>
      <w:r>
        <w:rPr>
          <w:szCs w:val="22"/>
          <w:vertAlign w:val="superscript"/>
        </w:rPr>
        <w:footnoteReference w:id="4"/>
      </w:r>
      <w:r>
        <w:rPr>
          <w:rFonts w:ascii="TimesNewRomanPSMT" w:hAnsi="TimesNewRomanPSMT" w:cs="TimesNewRomanPSMT"/>
          <w:szCs w:val="22"/>
        </w:rPr>
        <w:t xml:space="preserve">  Applicants consummated the</w:t>
      </w:r>
      <w:r w:rsidR="00F80F29">
        <w:rPr>
          <w:rFonts w:ascii="TimesNewRomanPSMT" w:hAnsi="TimesNewRomanPSMT" w:cs="TimesNewRomanPSMT"/>
          <w:szCs w:val="22"/>
        </w:rPr>
        <w:t>se</w:t>
      </w:r>
      <w:r>
        <w:rPr>
          <w:rFonts w:ascii="TimesNewRomanPSMT" w:hAnsi="TimesNewRomanPSMT" w:cs="TimesNewRomanPSMT"/>
          <w:szCs w:val="22"/>
        </w:rPr>
        <w:t xml:space="preserve"> transaction</w:t>
      </w:r>
      <w:r w:rsidR="00F80F29">
        <w:rPr>
          <w:rFonts w:ascii="TimesNewRomanPSMT" w:hAnsi="TimesNewRomanPSMT" w:cs="TimesNewRomanPSMT"/>
          <w:szCs w:val="22"/>
        </w:rPr>
        <w:t>s</w:t>
      </w:r>
      <w:r w:rsidR="00AF2358">
        <w:rPr>
          <w:rFonts w:ascii="TimesNewRomanPSMT" w:hAnsi="TimesNewRomanPSMT" w:cs="TimesNewRomanPSMT"/>
          <w:szCs w:val="22"/>
        </w:rPr>
        <w:t xml:space="preserve"> </w:t>
      </w:r>
      <w:r>
        <w:rPr>
          <w:rFonts w:ascii="TimesNewRomanPSMT" w:hAnsi="TimesNewRomanPSMT" w:cs="TimesNewRomanPSMT"/>
          <w:szCs w:val="22"/>
        </w:rPr>
        <w:t>without prior Commission approval.</w:t>
      </w:r>
      <w:r>
        <w:rPr>
          <w:rStyle w:val="FootnoteReference"/>
          <w:rFonts w:ascii="TimesNewRomanPSMT" w:hAnsi="TimesNewRomanPSMT" w:cs="TimesNewRomanPSMT"/>
          <w:szCs w:val="22"/>
        </w:rPr>
        <w:footnoteReference w:id="5"/>
      </w:r>
      <w:r w:rsidRPr="00F80DBA" w:rsidR="00F80DBA">
        <w:t xml:space="preserve"> </w:t>
      </w:r>
      <w:r w:rsidR="00F80DBA">
        <w:t xml:space="preserve"> </w:t>
      </w:r>
    </w:p>
    <w:p w:rsidR="00F80DBA" w:rsidP="00300582">
      <w:pPr>
        <w:ind w:firstLine="720"/>
        <w:rPr>
          <w:szCs w:val="22"/>
        </w:rPr>
      </w:pPr>
    </w:p>
    <w:p w:rsidR="00300582" w:rsidRPr="00FC062E" w:rsidP="00300582">
      <w:pPr>
        <w:ind w:firstLine="720"/>
        <w:rPr>
          <w:szCs w:val="22"/>
        </w:rPr>
      </w:pPr>
      <w:r>
        <w:rPr>
          <w:rFonts w:ascii="TimesNewRomanPSMT" w:hAnsi="TimesNewRomanPSMT" w:cs="TimesNewRomanPSMT"/>
          <w:szCs w:val="22"/>
        </w:rPr>
        <w:t>Combined Public, a Delaware</w:t>
      </w:r>
      <w:r w:rsidRPr="002E3989">
        <w:rPr>
          <w:rFonts w:ascii="TimesNewRomanPSMT" w:hAnsi="TimesNewRomanPSMT" w:cs="TimesNewRomanPSMT"/>
          <w:szCs w:val="22"/>
        </w:rPr>
        <w:t xml:space="preserve"> </w:t>
      </w:r>
      <w:bookmarkStart w:id="4" w:name="_Hlk526950691"/>
      <w:r w:rsidRPr="002E3989">
        <w:rPr>
          <w:rFonts w:ascii="TimesNewRomanPSMT" w:hAnsi="TimesNewRomanPSMT" w:cs="TimesNewRomanPSMT"/>
          <w:szCs w:val="22"/>
        </w:rPr>
        <w:t>limited liab</w:t>
      </w:r>
      <w:r>
        <w:rPr>
          <w:rFonts w:ascii="TimesNewRomanPSMT" w:hAnsi="TimesNewRomanPSMT" w:cs="TimesNewRomanPSMT"/>
          <w:szCs w:val="22"/>
        </w:rPr>
        <w:t>ility company</w:t>
      </w:r>
      <w:bookmarkEnd w:id="4"/>
      <w:r>
        <w:rPr>
          <w:rFonts w:ascii="TimesNewRomanPSMT" w:hAnsi="TimesNewRomanPSMT" w:cs="TimesNewRomanPSMT"/>
          <w:szCs w:val="22"/>
        </w:rPr>
        <w:t xml:space="preserve">, provides inmate </w:t>
      </w:r>
      <w:r w:rsidR="00547514">
        <w:rPr>
          <w:rFonts w:ascii="TimesNewRomanPSMT" w:hAnsi="TimesNewRomanPSMT" w:cs="TimesNewRomanPSMT"/>
          <w:szCs w:val="22"/>
        </w:rPr>
        <w:t>calling</w:t>
      </w:r>
      <w:r>
        <w:rPr>
          <w:rFonts w:ascii="TimesNewRomanPSMT" w:hAnsi="TimesNewRomanPSMT" w:cs="TimesNewRomanPSMT"/>
          <w:szCs w:val="22"/>
        </w:rPr>
        <w:t xml:space="preserve"> services in multiple states.  </w:t>
      </w:r>
      <w:r w:rsidR="00C86003">
        <w:rPr>
          <w:rFonts w:ascii="TimesNewRomanPSMT" w:hAnsi="TimesNewRomanPSMT" w:cs="TimesNewRomanPSMT"/>
          <w:szCs w:val="22"/>
        </w:rPr>
        <w:t>Pursuant to the terms of the consummated transactions, Combined Public acquired customers and assets of Protocall, Bealls, and Infinity in several states in 2017 and 2018 and continues to serve those customers.</w:t>
      </w:r>
      <w:r>
        <w:rPr>
          <w:rStyle w:val="FootnoteReference"/>
          <w:rFonts w:ascii="TimesNewRomanPSMT" w:hAnsi="TimesNewRomanPSMT" w:cs="TimesNewRomanPSMT"/>
          <w:szCs w:val="22"/>
        </w:rPr>
        <w:footnoteReference w:id="6"/>
      </w:r>
      <w:r w:rsidR="00C86003">
        <w:rPr>
          <w:rFonts w:ascii="TimesNewRomanPSMT" w:hAnsi="TimesNewRomanPSMT" w:cs="TimesNewRomanPSMT"/>
          <w:szCs w:val="22"/>
        </w:rPr>
        <w:t xml:space="preserve">  </w:t>
      </w:r>
      <w:r>
        <w:rPr>
          <w:rFonts w:ascii="TimesNewRomanPSMT" w:hAnsi="TimesNewRomanPSMT" w:cs="TimesNewRomanPSMT"/>
          <w:szCs w:val="22"/>
        </w:rPr>
        <w:t xml:space="preserve">  </w:t>
      </w:r>
      <w:r>
        <w:t xml:space="preserve">  </w:t>
      </w:r>
    </w:p>
    <w:p w:rsidR="00AF2358" w:rsidP="00AF2358">
      <w:pPr>
        <w:rPr>
          <w:szCs w:val="22"/>
        </w:rPr>
      </w:pPr>
    </w:p>
    <w:p w:rsidR="00300582" w:rsidRPr="006A19BD" w:rsidP="00AF2358">
      <w:pPr>
        <w:ind w:firstLine="720"/>
        <w:rPr>
          <w:color w:val="000000"/>
          <w:szCs w:val="22"/>
        </w:rPr>
      </w:pPr>
      <w:r>
        <w:rPr>
          <w:szCs w:val="22"/>
        </w:rPr>
        <w:t>T</w:t>
      </w:r>
      <w:r w:rsidRPr="006A19BD">
        <w:rPr>
          <w:color w:val="000000"/>
          <w:szCs w:val="22"/>
        </w:rPr>
        <w:t xml:space="preserve">he Bureau finds, upon consideration of the record, that the proposed </w:t>
      </w:r>
      <w:r>
        <w:rPr>
          <w:color w:val="000000"/>
          <w:szCs w:val="22"/>
        </w:rPr>
        <w:t>transactions</w:t>
      </w:r>
      <w:r w:rsidRPr="006A19BD">
        <w:rPr>
          <w:color w:val="000000"/>
          <w:szCs w:val="22"/>
        </w:rPr>
        <w:t xml:space="preserve"> will serve the public interest, convenience, and necessity and, therefore, grants the </w:t>
      </w:r>
      <w:r>
        <w:rPr>
          <w:color w:val="000000"/>
          <w:szCs w:val="22"/>
        </w:rPr>
        <w:t>Applications</w:t>
      </w:r>
      <w:r w:rsidRPr="006A19BD">
        <w:rPr>
          <w:color w:val="000000"/>
          <w:szCs w:val="22"/>
        </w:rPr>
        <w:t>.</w:t>
      </w:r>
      <w:r>
        <w:rPr>
          <w:rStyle w:val="FootnoteReference"/>
          <w:color w:val="000000"/>
          <w:szCs w:val="22"/>
        </w:rPr>
        <w:footnoteReference w:id="7"/>
      </w:r>
      <w:r>
        <w:rPr>
          <w:color w:val="000000"/>
          <w:szCs w:val="22"/>
        </w:rPr>
        <w:t xml:space="preserve">  </w:t>
      </w:r>
      <w:r w:rsidRPr="006A19BD">
        <w:rPr>
          <w:color w:val="000000"/>
          <w:szCs w:val="22"/>
        </w:rPr>
        <w:t>Pursuant to section 1.103 of the Commission's rules, </w:t>
      </w:r>
      <w:hyperlink r:id="rId11" w:history="1">
        <w:r w:rsidRPr="006A19BD">
          <w:rPr>
            <w:color w:val="000000"/>
            <w:szCs w:val="22"/>
          </w:rPr>
          <w:t>47 CFR § 1.103</w:t>
        </w:r>
      </w:hyperlink>
      <w:r w:rsidRPr="006A19BD">
        <w:rPr>
          <w:color w:val="000000"/>
          <w:szCs w:val="22"/>
        </w:rPr>
        <w:t>, the consent granted herein is effective upon the release of the Public Notice.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8"/>
      </w:r>
      <w:r w:rsidRPr="006A19BD">
        <w:rPr>
          <w:color w:val="000000"/>
          <w:szCs w:val="22"/>
          <w:vertAlign w:val="superscript"/>
        </w:rPr>
        <w:t xml:space="preserve"> </w:t>
      </w:r>
      <w:r w:rsidRPr="006A19BD">
        <w:rPr>
          <w:color w:val="000000"/>
          <w:szCs w:val="22"/>
        </w:rPr>
        <w:t xml:space="preserve">  </w:t>
      </w:r>
    </w:p>
    <w:p w:rsidR="00300582" w:rsidRPr="005F2494" w:rsidP="00300582">
      <w:pPr>
        <w:ind w:firstLine="720"/>
        <w:rPr>
          <w:color w:val="000000"/>
          <w:szCs w:val="22"/>
        </w:rPr>
      </w:pPr>
      <w:r w:rsidRPr="005F2494">
        <w:rPr>
          <w:color w:val="000000"/>
          <w:szCs w:val="22"/>
        </w:rPr>
        <w:t xml:space="preserve"> </w:t>
      </w:r>
    </w:p>
    <w:p w:rsidR="00300582" w:rsidP="00300582">
      <w:pPr>
        <w:ind w:firstLine="720"/>
        <w:rPr>
          <w:color w:val="000000"/>
          <w:szCs w:val="22"/>
        </w:rPr>
      </w:pPr>
      <w:bookmarkStart w:id="5" w:name="FN[FN12]"/>
      <w:bookmarkStart w:id="6" w:name="sp_999_2"/>
      <w:bookmarkStart w:id="7" w:name="SDU_2"/>
      <w:bookmarkEnd w:id="5"/>
      <w:bookmarkEnd w:id="6"/>
      <w:bookmarkEnd w:id="7"/>
      <w:r w:rsidRPr="001D3B79">
        <w:rPr>
          <w:color w:val="000000"/>
          <w:szCs w:val="22"/>
        </w:rPr>
        <w:t>For further information, please contact</w:t>
      </w:r>
      <w:r>
        <w:rPr>
          <w:color w:val="000000"/>
          <w:szCs w:val="22"/>
        </w:rPr>
        <w:t xml:space="preserve"> </w:t>
      </w:r>
      <w:r w:rsidR="00AF2358">
        <w:rPr>
          <w:color w:val="000000"/>
          <w:szCs w:val="22"/>
        </w:rPr>
        <w:t>Dennis Johnson</w:t>
      </w:r>
      <w:r w:rsidRPr="001D3B79">
        <w:rPr>
          <w:color w:val="000000"/>
          <w:szCs w:val="22"/>
        </w:rPr>
        <w:t>, Wireline C</w:t>
      </w:r>
      <w:r>
        <w:rPr>
          <w:color w:val="000000"/>
          <w:szCs w:val="22"/>
        </w:rPr>
        <w:t>ompetition Bureau, Competition Policy Division, (202) 418-</w:t>
      </w:r>
      <w:r w:rsidR="00AF2358">
        <w:rPr>
          <w:color w:val="000000"/>
          <w:szCs w:val="22"/>
        </w:rPr>
        <w:t>0809</w:t>
      </w:r>
      <w:r w:rsidRPr="001D3B79">
        <w:rPr>
          <w:color w:val="000000"/>
          <w:szCs w:val="22"/>
        </w:rPr>
        <w:t>.</w:t>
      </w:r>
    </w:p>
    <w:p w:rsidR="00300582" w:rsidP="00300582">
      <w:pPr>
        <w:ind w:firstLine="720"/>
        <w:rPr>
          <w:color w:val="000000"/>
          <w:szCs w:val="22"/>
        </w:rPr>
      </w:pPr>
    </w:p>
    <w:p w:rsidR="00300582" w:rsidRPr="00E30687" w:rsidP="00300582">
      <w:pPr>
        <w:ind w:left="3960" w:firstLine="360"/>
        <w:rPr>
          <w:b/>
          <w:color w:val="000000"/>
          <w:szCs w:val="22"/>
        </w:rPr>
      </w:pPr>
      <w:r w:rsidRPr="00E30687">
        <w:rPr>
          <w:b/>
          <w:color w:val="000000"/>
          <w:szCs w:val="22"/>
        </w:rPr>
        <w:t>- FCC -</w:t>
      </w:r>
    </w:p>
    <w:p w:rsidR="00300582" w:rsidP="00300582">
      <w:pPr>
        <w:ind w:firstLine="720"/>
        <w:rPr>
          <w:color w:val="000000"/>
          <w:szCs w:val="22"/>
        </w:rPr>
      </w:pPr>
    </w:p>
    <w:p w:rsidR="00300582" w:rsidRPr="00C50B80" w:rsidP="00300582">
      <w:pPr>
        <w:rPr>
          <w:rFonts w:eastAsia="ヒラギノ角ゴ Pro W3"/>
          <w:color w:val="000000"/>
          <w:szCs w:val="22"/>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jc w:val="center"/>
    </w:pPr>
    <w:r>
      <w:fldChar w:fldCharType="begin"/>
    </w:r>
    <w:r>
      <w:instrText xml:space="preserve"> PAGE   \* MERGEFORMAT </w:instrText>
    </w:r>
    <w:r>
      <w:fldChar w:fldCharType="separate"/>
    </w:r>
    <w:r>
      <w:rPr>
        <w:noProof/>
      </w:rPr>
      <w:t>3</w:t>
    </w:r>
    <w:r>
      <w:rPr>
        <w:noProof/>
      </w:rPr>
      <w:fldChar w:fldCharType="end"/>
    </w:r>
  </w:p>
  <w:p w:rsidR="0030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6C4">
      <w:r>
        <w:separator/>
      </w:r>
    </w:p>
  </w:footnote>
  <w:footnote w:type="continuationSeparator" w:id="1">
    <w:p w:rsidR="00AB76C4" w:rsidRPr="008B08B3">
      <w:pPr>
        <w:rPr>
          <w:sz w:val="20"/>
        </w:rPr>
      </w:pPr>
      <w:r w:rsidRPr="008B08B3">
        <w:rPr>
          <w:sz w:val="20"/>
        </w:rPr>
        <w:t xml:space="preserve">(Continued from previous page) </w:t>
      </w:r>
      <w:r w:rsidRPr="008B08B3">
        <w:rPr>
          <w:sz w:val="20"/>
        </w:rPr>
        <w:separator/>
      </w:r>
    </w:p>
  </w:footnote>
  <w:footnote w:type="continuationNotice" w:id="2">
    <w:p w:rsidR="00AB76C4" w:rsidRPr="008B08B3" w:rsidP="00300582">
      <w:pPr>
        <w:jc w:val="right"/>
        <w:rPr>
          <w:sz w:val="20"/>
        </w:rPr>
      </w:pPr>
      <w:r>
        <w:rPr>
          <w:sz w:val="20"/>
        </w:rPr>
        <w:t>(continued…)</w:t>
      </w:r>
    </w:p>
  </w:footnote>
  <w:footnote w:id="3">
    <w:p w:rsidR="00F80F29" w:rsidRPr="00842042" w:rsidP="00644027">
      <w:pPr>
        <w:pStyle w:val="FootnoteText"/>
        <w:rPr>
          <w:sz w:val="20"/>
        </w:rPr>
      </w:pPr>
      <w:r w:rsidRPr="00842042">
        <w:rPr>
          <w:rStyle w:val="FootnoteReference"/>
          <w:sz w:val="20"/>
        </w:rPr>
        <w:footnoteRef/>
      </w:r>
      <w:r w:rsidRPr="00842042">
        <w:rPr>
          <w:sz w:val="20"/>
        </w:rPr>
        <w:t xml:space="preserve"> </w:t>
      </w:r>
      <w:r w:rsidRPr="00644027">
        <w:rPr>
          <w:sz w:val="20"/>
        </w:rPr>
        <w:t>Domestic Section 214 Application for the Transfer of Assets Filed by Protocall, LLC and Combined Public Communications, LLC, WC Docket No. 18-309 (filed Oct. 10, 2018)</w:t>
      </w:r>
      <w:r w:rsidR="00C86003">
        <w:rPr>
          <w:sz w:val="20"/>
        </w:rPr>
        <w:t xml:space="preserve"> (Protocall Application)</w:t>
      </w:r>
      <w:r w:rsidRPr="00644027" w:rsidR="00644027">
        <w:rPr>
          <w:sz w:val="20"/>
        </w:rPr>
        <w:t>; Domestic Section 214 Application for the Transfer of Assets Filed by Bealls Communications Group, LLC and  Combined Public Communications, LLC, WC Docket No. 19-182 (filed June 25, 2019)</w:t>
      </w:r>
      <w:r w:rsidR="00C86003">
        <w:rPr>
          <w:sz w:val="20"/>
        </w:rPr>
        <w:t xml:space="preserve"> (Bealls Application)</w:t>
      </w:r>
      <w:r w:rsidRPr="00644027" w:rsidR="00644027">
        <w:rPr>
          <w:sz w:val="20"/>
        </w:rPr>
        <w:t xml:space="preserve">; Domestic Section 214 Application for the Transfer of Assets Filed by Infinity Networks, Inc. and Combined Public Communications, LLC, WC Docket No. 19-221 (filed Aug. 1, 2019) </w:t>
      </w:r>
      <w:r w:rsidR="00C86003">
        <w:rPr>
          <w:sz w:val="20"/>
        </w:rPr>
        <w:t xml:space="preserve">(Infinity Application) </w:t>
      </w:r>
      <w:r w:rsidRPr="00644027" w:rsidR="00644027">
        <w:rPr>
          <w:sz w:val="20"/>
        </w:rPr>
        <w:t>(collectively, Applications)</w:t>
      </w:r>
      <w:r w:rsidRPr="00644027">
        <w:rPr>
          <w:sz w:val="20"/>
        </w:rPr>
        <w:t>.</w:t>
      </w:r>
      <w:r w:rsidRPr="00644027">
        <w:rPr>
          <w:sz w:val="20"/>
        </w:rPr>
        <w:t xml:space="preserve"> The Bureau received no comments in opposition to a grant of the Applications.</w:t>
      </w:r>
    </w:p>
  </w:footnote>
  <w:footnote w:id="4">
    <w:p w:rsidR="00221558" w:rsidRPr="00842042" w:rsidP="00221558">
      <w:pPr>
        <w:pStyle w:val="FootnoteText"/>
        <w:rPr>
          <w:sz w:val="20"/>
        </w:rPr>
      </w:pPr>
      <w:r w:rsidRPr="00842042">
        <w:rPr>
          <w:rStyle w:val="FootnoteReference"/>
          <w:sz w:val="20"/>
        </w:rPr>
        <w:footnoteRef/>
      </w:r>
      <w:r w:rsidRPr="00842042">
        <w:rPr>
          <w:sz w:val="20"/>
        </w:rPr>
        <w:t xml:space="preserve"> 47 U.S.C. § 214; 47 CFR §§ 63.03-04.    </w:t>
      </w:r>
    </w:p>
  </w:footnote>
  <w:footnote w:id="5">
    <w:p w:rsidR="00221558" w:rsidRPr="00842042" w:rsidP="00221558">
      <w:pPr>
        <w:pStyle w:val="FootnoteText"/>
        <w:rPr>
          <w:sz w:val="20"/>
        </w:rPr>
      </w:pPr>
      <w:r w:rsidRPr="00842042">
        <w:rPr>
          <w:rStyle w:val="FootnoteReference"/>
          <w:sz w:val="20"/>
        </w:rPr>
        <w:footnoteRef/>
      </w:r>
      <w:r w:rsidRPr="00842042">
        <w:rPr>
          <w:sz w:val="20"/>
        </w:rPr>
        <w:t xml:space="preserve"> </w:t>
      </w:r>
      <w:r w:rsidR="00644027">
        <w:rPr>
          <w:sz w:val="20"/>
        </w:rPr>
        <w:t>T</w:t>
      </w:r>
      <w:r w:rsidRPr="00842042">
        <w:rPr>
          <w:sz w:val="20"/>
        </w:rPr>
        <w:t>he Bureau granted Applicants’ request</w:t>
      </w:r>
      <w:r w:rsidR="00644027">
        <w:rPr>
          <w:sz w:val="20"/>
        </w:rPr>
        <w:t>s</w:t>
      </w:r>
      <w:r w:rsidRPr="00842042">
        <w:rPr>
          <w:sz w:val="20"/>
        </w:rPr>
        <w:t xml:space="preserve"> for special temporary authority to authorize Combined Public to continue providing service pending approval of the </w:t>
      </w:r>
      <w:r>
        <w:rPr>
          <w:sz w:val="20"/>
        </w:rPr>
        <w:t>Application</w:t>
      </w:r>
      <w:r w:rsidR="00D55C7B">
        <w:rPr>
          <w:sz w:val="20"/>
        </w:rPr>
        <w:t>s</w:t>
      </w:r>
      <w:r w:rsidRPr="00842042">
        <w:rPr>
          <w:sz w:val="20"/>
        </w:rPr>
        <w:t xml:space="preserve">.  </w:t>
      </w:r>
      <w:bookmarkStart w:id="3" w:name="_Hlk530475462"/>
      <w:r w:rsidR="00D55C7B">
        <w:rPr>
          <w:i/>
          <w:sz w:val="20"/>
        </w:rPr>
        <w:t xml:space="preserve">See </w:t>
      </w:r>
      <w:r w:rsidRPr="00842042" w:rsidR="00D55C7B">
        <w:rPr>
          <w:sz w:val="20"/>
        </w:rPr>
        <w:t xml:space="preserve">Letter from Lance </w:t>
      </w:r>
      <w:r w:rsidR="00AF2358">
        <w:rPr>
          <w:sz w:val="20"/>
        </w:rPr>
        <w:t xml:space="preserve">J.M. </w:t>
      </w:r>
      <w:r w:rsidRPr="00842042" w:rsidR="00D55C7B">
        <w:rPr>
          <w:sz w:val="20"/>
        </w:rPr>
        <w:t xml:space="preserve">Steinhart, Attorney for </w:t>
      </w:r>
      <w:r w:rsidR="00D55C7B">
        <w:rPr>
          <w:sz w:val="20"/>
        </w:rPr>
        <w:t xml:space="preserve">Applicants, </w:t>
      </w:r>
      <w:r w:rsidRPr="00842042" w:rsidR="00D55C7B">
        <w:rPr>
          <w:sz w:val="20"/>
        </w:rPr>
        <w:t xml:space="preserve">to Marlene H. Dortch, </w:t>
      </w:r>
      <w:r w:rsidR="00D55C7B">
        <w:rPr>
          <w:sz w:val="20"/>
        </w:rPr>
        <w:t xml:space="preserve">FCC </w:t>
      </w:r>
      <w:r w:rsidRPr="00842042" w:rsidR="00D55C7B">
        <w:rPr>
          <w:sz w:val="20"/>
        </w:rPr>
        <w:t>Secretary</w:t>
      </w:r>
      <w:r w:rsidR="00D55C7B">
        <w:rPr>
          <w:sz w:val="20"/>
        </w:rPr>
        <w:t xml:space="preserve"> at 1</w:t>
      </w:r>
      <w:r w:rsidR="004900F8">
        <w:rPr>
          <w:sz w:val="20"/>
        </w:rPr>
        <w:t xml:space="preserve"> (</w:t>
      </w:r>
      <w:r w:rsidR="000C5183">
        <w:rPr>
          <w:sz w:val="20"/>
        </w:rPr>
        <w:t>grant stamped on Nov. 27, 2018 and subsequently extended)</w:t>
      </w:r>
      <w:r w:rsidR="00D55C7B">
        <w:rPr>
          <w:sz w:val="20"/>
        </w:rPr>
        <w:t xml:space="preserve"> (on file in WC Docket No. 18-309)</w:t>
      </w:r>
      <w:r w:rsidR="00AF2358">
        <w:rPr>
          <w:sz w:val="20"/>
        </w:rPr>
        <w:t xml:space="preserve">; </w:t>
      </w:r>
      <w:r w:rsidRPr="00842042" w:rsidR="00AF2358">
        <w:rPr>
          <w:sz w:val="20"/>
        </w:rPr>
        <w:t xml:space="preserve">Letter from Lance </w:t>
      </w:r>
      <w:r w:rsidR="00AF2358">
        <w:rPr>
          <w:sz w:val="20"/>
        </w:rPr>
        <w:t xml:space="preserve">J.M. </w:t>
      </w:r>
      <w:r w:rsidRPr="00842042" w:rsidR="00AF2358">
        <w:rPr>
          <w:sz w:val="20"/>
        </w:rPr>
        <w:t xml:space="preserve">Steinhart, Attorney for </w:t>
      </w:r>
      <w:r w:rsidR="00AF2358">
        <w:rPr>
          <w:sz w:val="20"/>
        </w:rPr>
        <w:t>Applicants,</w:t>
      </w:r>
      <w:r w:rsidRPr="00842042" w:rsidR="00AF2358">
        <w:rPr>
          <w:sz w:val="20"/>
        </w:rPr>
        <w:t xml:space="preserve"> to Marlene H. Dortch, </w:t>
      </w:r>
      <w:r w:rsidR="00AF2358">
        <w:rPr>
          <w:sz w:val="20"/>
        </w:rPr>
        <w:t xml:space="preserve">FCC </w:t>
      </w:r>
      <w:r w:rsidRPr="00842042" w:rsidR="00AF2358">
        <w:rPr>
          <w:sz w:val="20"/>
        </w:rPr>
        <w:t>Secretary</w:t>
      </w:r>
      <w:r w:rsidR="00AF2358">
        <w:rPr>
          <w:sz w:val="20"/>
        </w:rPr>
        <w:t xml:space="preserve"> at 1 </w:t>
      </w:r>
      <w:r w:rsidR="000C5183">
        <w:rPr>
          <w:sz w:val="20"/>
        </w:rPr>
        <w:t xml:space="preserve">(grant stamped on June 26, 2019 and subsequently extended) </w:t>
      </w:r>
      <w:r w:rsidR="00AF2358">
        <w:rPr>
          <w:sz w:val="20"/>
        </w:rPr>
        <w:t xml:space="preserve">(on file in WC Docket No. 19-182); </w:t>
      </w:r>
      <w:r w:rsidRPr="00842042" w:rsidR="00AF2358">
        <w:rPr>
          <w:sz w:val="20"/>
        </w:rPr>
        <w:t xml:space="preserve">Letter from Lance </w:t>
      </w:r>
      <w:r w:rsidR="00C70D87">
        <w:rPr>
          <w:sz w:val="20"/>
        </w:rPr>
        <w:t xml:space="preserve">J.M. </w:t>
      </w:r>
      <w:r w:rsidRPr="00842042" w:rsidR="00AF2358">
        <w:rPr>
          <w:sz w:val="20"/>
        </w:rPr>
        <w:t xml:space="preserve">Steinhart, Attorney for </w:t>
      </w:r>
      <w:r w:rsidR="00AF2358">
        <w:rPr>
          <w:sz w:val="20"/>
        </w:rPr>
        <w:t>Applicants,</w:t>
      </w:r>
      <w:r w:rsidRPr="00842042" w:rsidR="00AF2358">
        <w:rPr>
          <w:sz w:val="20"/>
        </w:rPr>
        <w:t xml:space="preserve"> to Marlene H. Dortch, </w:t>
      </w:r>
      <w:r w:rsidR="00AF2358">
        <w:rPr>
          <w:sz w:val="20"/>
        </w:rPr>
        <w:t xml:space="preserve">FCC </w:t>
      </w:r>
      <w:r w:rsidRPr="00842042" w:rsidR="00AF2358">
        <w:rPr>
          <w:sz w:val="20"/>
        </w:rPr>
        <w:t>Secretary</w:t>
      </w:r>
      <w:r w:rsidR="00AF2358">
        <w:rPr>
          <w:sz w:val="20"/>
        </w:rPr>
        <w:t xml:space="preserve"> at 1</w:t>
      </w:r>
      <w:r w:rsidR="000C5183">
        <w:rPr>
          <w:sz w:val="20"/>
        </w:rPr>
        <w:t xml:space="preserve"> (grant stamped on Aug. 12, 2019)</w:t>
      </w:r>
      <w:r w:rsidR="00AF2358">
        <w:rPr>
          <w:sz w:val="20"/>
        </w:rPr>
        <w:t xml:space="preserve"> (on file in WC Docket No. 19-221).  </w:t>
      </w:r>
      <w:bookmarkEnd w:id="3"/>
    </w:p>
  </w:footnote>
  <w:footnote w:id="6">
    <w:p w:rsidR="00C86003" w:rsidRPr="00C86003">
      <w:pPr>
        <w:pStyle w:val="FootnoteText"/>
        <w:rPr>
          <w:sz w:val="20"/>
        </w:rPr>
      </w:pPr>
      <w:r>
        <w:rPr>
          <w:rStyle w:val="FootnoteReference"/>
        </w:rPr>
        <w:footnoteRef/>
      </w:r>
      <w:r>
        <w:t xml:space="preserve"> </w:t>
      </w:r>
      <w:r w:rsidRPr="00C86003">
        <w:rPr>
          <w:sz w:val="20"/>
        </w:rPr>
        <w:t>Protocall Application at 1-4; Bealls Application at 1-4; Infinity Application at 1-3.</w:t>
      </w:r>
    </w:p>
  </w:footnote>
  <w:footnote w:id="7">
    <w:p w:rsidR="00300582" w:rsidRPr="00F16F39">
      <w:pPr>
        <w:pStyle w:val="FootnoteText"/>
        <w:rPr>
          <w:sz w:val="20"/>
        </w:rPr>
      </w:pPr>
      <w:r>
        <w:rPr>
          <w:rStyle w:val="FootnoteReference"/>
        </w:rPr>
        <w:footnoteRef/>
      </w:r>
      <w:r>
        <w:t xml:space="preserve"> </w:t>
      </w:r>
      <w:r w:rsidRPr="00F16F39">
        <w:rPr>
          <w:i/>
          <w:sz w:val="20"/>
        </w:rPr>
        <w:t>Implementation of Further Streamlining Measures for Domestic Section 214 Authorizations</w:t>
      </w:r>
      <w:r w:rsidRPr="00F16F39">
        <w:rPr>
          <w:sz w:val="20"/>
        </w:rPr>
        <w:t xml:space="preserve">, CC Docket No. 01-150, Report and Order, 17 FCC Rcd 5517, 5529, para. 22, 5533, para. 30 (2002).  </w:t>
      </w:r>
      <w:r w:rsidR="000D720A">
        <w:rPr>
          <w:sz w:val="20"/>
        </w:rPr>
        <w:t>Combined Public</w:t>
      </w:r>
      <w:r w:rsidRPr="00F16F39">
        <w:rPr>
          <w:sz w:val="20"/>
        </w:rPr>
        <w:t xml:space="preserve"> has acknowledged and agreed to comply with “all requirements set forth in </w:t>
      </w:r>
      <w:r w:rsidR="00C70D87">
        <w:rPr>
          <w:sz w:val="20"/>
        </w:rPr>
        <w:t xml:space="preserve">its Consent Decree that the Federal Communications Commission adopted on October 4, 2019 in File No. EB-IHD-18-00027478.”  </w:t>
      </w:r>
      <w:r w:rsidRPr="00842042" w:rsidR="00C70D87">
        <w:rPr>
          <w:sz w:val="20"/>
        </w:rPr>
        <w:t xml:space="preserve">Letter from Lance </w:t>
      </w:r>
      <w:r w:rsidR="00C70D87">
        <w:rPr>
          <w:sz w:val="20"/>
        </w:rPr>
        <w:t xml:space="preserve">J.M. </w:t>
      </w:r>
      <w:r w:rsidRPr="00842042" w:rsidR="00C70D87">
        <w:rPr>
          <w:sz w:val="20"/>
        </w:rPr>
        <w:t xml:space="preserve">Steinhart, Attorney for </w:t>
      </w:r>
      <w:r w:rsidR="00C70D87">
        <w:rPr>
          <w:sz w:val="20"/>
        </w:rPr>
        <w:t xml:space="preserve">Applicants, </w:t>
      </w:r>
      <w:r w:rsidRPr="00842042" w:rsidR="00C70D87">
        <w:rPr>
          <w:sz w:val="20"/>
        </w:rPr>
        <w:t xml:space="preserve">to Marlene H. Dortch, </w:t>
      </w:r>
      <w:r w:rsidR="00C70D87">
        <w:rPr>
          <w:sz w:val="20"/>
        </w:rPr>
        <w:t xml:space="preserve">FCC </w:t>
      </w:r>
      <w:r w:rsidRPr="00842042" w:rsidR="00C70D87">
        <w:rPr>
          <w:sz w:val="20"/>
        </w:rPr>
        <w:t>Secretary</w:t>
      </w:r>
      <w:r w:rsidR="00C70D87">
        <w:rPr>
          <w:sz w:val="20"/>
        </w:rPr>
        <w:t xml:space="preserve"> at 1 (Oct. 10, 2019) (on file in WC Docket No. 18-309); </w:t>
      </w:r>
      <w:r w:rsidRPr="00842042" w:rsidR="00C70D87">
        <w:rPr>
          <w:sz w:val="20"/>
        </w:rPr>
        <w:t xml:space="preserve">Letter from Lance </w:t>
      </w:r>
      <w:r w:rsidR="00C70D87">
        <w:rPr>
          <w:sz w:val="20"/>
        </w:rPr>
        <w:t xml:space="preserve">J.M. </w:t>
      </w:r>
      <w:r w:rsidRPr="00842042" w:rsidR="00C70D87">
        <w:rPr>
          <w:sz w:val="20"/>
        </w:rPr>
        <w:t xml:space="preserve">Steinhart, Attorney for </w:t>
      </w:r>
      <w:r w:rsidR="00C70D87">
        <w:rPr>
          <w:sz w:val="20"/>
        </w:rPr>
        <w:t>Applicants,</w:t>
      </w:r>
      <w:r w:rsidRPr="00842042" w:rsidR="00C70D87">
        <w:rPr>
          <w:sz w:val="20"/>
        </w:rPr>
        <w:t xml:space="preserve"> to Marlene H. Dortch, </w:t>
      </w:r>
      <w:r w:rsidR="00C70D87">
        <w:rPr>
          <w:sz w:val="20"/>
        </w:rPr>
        <w:t xml:space="preserve">FCC </w:t>
      </w:r>
      <w:r w:rsidRPr="00842042" w:rsidR="00C70D87">
        <w:rPr>
          <w:sz w:val="20"/>
        </w:rPr>
        <w:t>Secretary</w:t>
      </w:r>
      <w:r w:rsidR="00C70D87">
        <w:rPr>
          <w:sz w:val="20"/>
        </w:rPr>
        <w:t xml:space="preserve"> at 1 (Oct. 10, 2019) (on file in WC Docket No. 19-182); </w:t>
      </w:r>
      <w:r w:rsidRPr="00842042" w:rsidR="00C70D87">
        <w:rPr>
          <w:sz w:val="20"/>
        </w:rPr>
        <w:t xml:space="preserve">Letter from Lance </w:t>
      </w:r>
      <w:r w:rsidR="00C70D87">
        <w:rPr>
          <w:sz w:val="20"/>
        </w:rPr>
        <w:t xml:space="preserve">J.M. </w:t>
      </w:r>
      <w:r w:rsidRPr="00842042" w:rsidR="00C70D87">
        <w:rPr>
          <w:sz w:val="20"/>
        </w:rPr>
        <w:t xml:space="preserve">Steinhart, Attorney for </w:t>
      </w:r>
      <w:r w:rsidR="00C70D87">
        <w:rPr>
          <w:sz w:val="20"/>
        </w:rPr>
        <w:t>Applicants,</w:t>
      </w:r>
      <w:r w:rsidRPr="00842042" w:rsidR="00C70D87">
        <w:rPr>
          <w:sz w:val="20"/>
        </w:rPr>
        <w:t xml:space="preserve"> to Marlene H. Dortch, </w:t>
      </w:r>
      <w:r w:rsidR="00C70D87">
        <w:rPr>
          <w:sz w:val="20"/>
        </w:rPr>
        <w:t xml:space="preserve">FCC </w:t>
      </w:r>
      <w:r w:rsidRPr="00842042" w:rsidR="00C70D87">
        <w:rPr>
          <w:sz w:val="20"/>
        </w:rPr>
        <w:t>Secretary</w:t>
      </w:r>
      <w:r w:rsidR="00C70D87">
        <w:rPr>
          <w:sz w:val="20"/>
        </w:rPr>
        <w:t xml:space="preserve"> at 1 (Oct. 10, 2019) (on file in WC Docket No. 19-221).  </w:t>
      </w:r>
      <w:r w:rsidR="00C70D87">
        <w:rPr>
          <w:i/>
          <w:sz w:val="20"/>
        </w:rPr>
        <w:t>See Combined Public Communications, LLC</w:t>
      </w:r>
      <w:r w:rsidR="00C70D87">
        <w:rPr>
          <w:sz w:val="20"/>
        </w:rPr>
        <w:t>, File No. EB-IHD-18-00027478, Order and Consent Decree, DA 19-290</w:t>
      </w:r>
      <w:r w:rsidR="00C70D87">
        <w:rPr>
          <w:i/>
          <w:sz w:val="20"/>
        </w:rPr>
        <w:t xml:space="preserve"> </w:t>
      </w:r>
      <w:r w:rsidR="00C70D87">
        <w:rPr>
          <w:sz w:val="20"/>
        </w:rPr>
        <w:t>(</w:t>
      </w:r>
      <w:r w:rsidR="00547514">
        <w:rPr>
          <w:sz w:val="20"/>
        </w:rPr>
        <w:t>EB</w:t>
      </w:r>
      <w:r w:rsidR="00C70D87">
        <w:rPr>
          <w:sz w:val="20"/>
        </w:rPr>
        <w:t xml:space="preserve"> 2019) (adopting a Consent Decree to resolve </w:t>
      </w:r>
      <w:r w:rsidRPr="00F16F39">
        <w:rPr>
          <w:sz w:val="20"/>
        </w:rPr>
        <w:t xml:space="preserve">the </w:t>
      </w:r>
      <w:r w:rsidR="00547514">
        <w:rPr>
          <w:sz w:val="20"/>
        </w:rPr>
        <w:t>Enforcement Bureau’s</w:t>
      </w:r>
      <w:r w:rsidRPr="00F16F39">
        <w:rPr>
          <w:sz w:val="20"/>
        </w:rPr>
        <w:t xml:space="preserve"> investigation into whether </w:t>
      </w:r>
      <w:r w:rsidR="00C70D87">
        <w:rPr>
          <w:sz w:val="20"/>
        </w:rPr>
        <w:t xml:space="preserve">Combined Public failed to properly file certain annual reports and certifications detailing the provision of inmate calling services, and into whether Combined Public violated the Commission’s </w:t>
      </w:r>
      <w:r w:rsidR="00547514">
        <w:rPr>
          <w:sz w:val="20"/>
        </w:rPr>
        <w:t xml:space="preserve">section 214 </w:t>
      </w:r>
      <w:r w:rsidR="00C70D87">
        <w:rPr>
          <w:sz w:val="20"/>
        </w:rPr>
        <w:t xml:space="preserve">transfer of control rules). </w:t>
      </w:r>
    </w:p>
  </w:footnote>
  <w:footnote w:id="8">
    <w:p w:rsidR="00300582" w:rsidRPr="006A19BD">
      <w:pPr>
        <w:pStyle w:val="FootnoteText"/>
        <w:rPr>
          <w:sz w:val="20"/>
        </w:rPr>
      </w:pPr>
      <w:r>
        <w:rPr>
          <w:rStyle w:val="FootnoteReference"/>
        </w:rPr>
        <w:footnoteRef/>
      </w:r>
      <w:r>
        <w:t xml:space="preserve"> </w:t>
      </w:r>
      <w:r w:rsidRPr="006A19BD">
        <w:rPr>
          <w:sz w:val="20"/>
        </w:rPr>
        <w:t>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position:absolute;visibility:visible;z-index:251661312" o:allowincell="f">
          <v:imagedata r:id="rId1" o:title="fcc_logo"/>
          <w10:wrap type="topAndBottom"/>
        </v:shape>
      </w:pict>
    </w:r>
    <w:r>
      <w:rPr>
        <w:rFonts w:ascii="News Gothic MT" w:hAnsi="News Gothic MT"/>
        <w:b/>
        <w:kern w:val="28"/>
        <w:sz w:val="96"/>
      </w:rPr>
      <w:t xml:space="preserve">  PUBLIC NOTICE</w:t>
    </w:r>
  </w:p>
  <w:p w:rsidR="00300582">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position:absolute;visibility:visible;z-index:251658240" o:allowincell="f" stroked="f">
          <v:textbox>
            <w:txbxContent>
              <w:p w:rsidR="00300582">
                <w:pPr>
                  <w:rPr>
                    <w:rFonts w:ascii="Arial" w:hAnsi="Arial"/>
                    <w:b/>
                  </w:rPr>
                </w:pPr>
                <w:r>
                  <w:rPr>
                    <w:rFonts w:ascii="Arial" w:hAnsi="Arial"/>
                    <w:b/>
                  </w:rPr>
                  <w:t>Federal Communications Commission</w:t>
                </w:r>
              </w:p>
              <w:p w:rsidR="00300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0582">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position:absolute;visibility:visible;z-index:251660288" o:allowincell="f" stroked="f">
          <v:textbox inset=",0,,0">
            <w:txbxContent>
              <w:p w:rsidR="00300582">
                <w:pPr>
                  <w:spacing w:before="40"/>
                  <w:jc w:val="right"/>
                  <w:rPr>
                    <w:rFonts w:ascii="Arial" w:hAnsi="Arial"/>
                    <w:b/>
                    <w:sz w:val="16"/>
                  </w:rPr>
                </w:pPr>
                <w:r>
                  <w:rPr>
                    <w:rFonts w:ascii="Arial" w:hAnsi="Arial"/>
                    <w:b/>
                    <w:sz w:val="16"/>
                  </w:rPr>
                  <w:t>News Media Information 202 / 418-0500</w:t>
                </w:r>
              </w:p>
              <w:p w:rsidR="00300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0582">
                <w:pPr>
                  <w:jc w:val="right"/>
                  <w:rPr>
                    <w:rFonts w:ascii="Arial" w:hAnsi="Arial"/>
                    <w:b/>
                    <w:sz w:val="16"/>
                  </w:rPr>
                </w:pPr>
                <w:r>
                  <w:rPr>
                    <w:rFonts w:ascii="Arial" w:hAnsi="Arial"/>
                    <w:b/>
                    <w:sz w:val="16"/>
                  </w:rPr>
                  <w:t>TTY: 1-888-835-5322</w:t>
                </w:r>
              </w:p>
              <w:p w:rsidR="00300582">
                <w:pPr>
                  <w:jc w:val="right"/>
                </w:pPr>
              </w:p>
            </w:txbxContent>
          </v:textbox>
        </v:shape>
      </w:pict>
    </w:r>
  </w:p>
  <w:p w:rsidR="00300582">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5331B"/>
    <w:multiLevelType w:val="hybridMultilevel"/>
    <w:tmpl w:val="BE08B4FE"/>
    <w:lvl w:ilvl="0">
      <w:start w:val="1"/>
      <w:numFmt w:val="decimal"/>
      <w:lvlText w:val="%1."/>
      <w:lvlJc w:val="lef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
    <w:nsid w:val="096A45F9"/>
    <w:multiLevelType w:val="hybridMultilevel"/>
    <w:tmpl w:val="32B48FFC"/>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7566593"/>
    <w:multiLevelType w:val="hybridMultilevel"/>
    <w:tmpl w:val="B9BAA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D44120"/>
    <w:multiLevelType w:val="hybridMultilevel"/>
    <w:tmpl w:val="BE929A28"/>
    <w:lvl w:ilvl="0">
      <w:start w:val="1"/>
      <w:numFmt w:val="decimal"/>
      <w:lvlText w:val="%1."/>
      <w:lvlJc w:val="left"/>
      <w:pPr>
        <w:ind w:left="171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7685427"/>
    <w:multiLevelType w:val="hybridMultilevel"/>
    <w:tmpl w:val="F9CA86B0"/>
    <w:lvl w:ilvl="0">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start w:val="13"/>
      <w:numFmt w:val="decimal"/>
      <w:lvlText w:val="%2."/>
      <w:lvlJc w:val="left"/>
      <w:pPr>
        <w:tabs>
          <w:tab w:val="num" w:pos="720"/>
        </w:tabs>
        <w:ind w:left="720" w:hanging="360"/>
      </w:pPr>
      <w:rPr>
        <w:rFonts w:cs="Times New Roman" w:hint="default"/>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5761DC"/>
    <w:multiLevelType w:val="hybridMultilevel"/>
    <w:tmpl w:val="64D24C8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60F0118"/>
    <w:multiLevelType w:val="hybridMultilevel"/>
    <w:tmpl w:val="7EB0ADD2"/>
    <w:lvl w:ilvl="0">
      <w:start w:val="1"/>
      <w:numFmt w:val="lowerLetter"/>
      <w:lvlText w:val="%1)"/>
      <w:lvlJc w:val="left"/>
      <w:pPr>
        <w:tabs>
          <w:tab w:val="num" w:pos="1440"/>
        </w:tabs>
        <w:ind w:left="1440" w:hanging="360"/>
      </w:pPr>
      <w:rPr>
        <w:b w:val="0"/>
        <w:i w:val="0"/>
      </w:rPr>
    </w:lvl>
    <w:lvl w:ilvl="1">
      <w:start w:val="1"/>
      <w:numFmt w:val="lowerRoman"/>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B597F9D"/>
    <w:multiLevelType w:val="hybridMultilevel"/>
    <w:tmpl w:val="EA183FBE"/>
    <w:lvl w:ilvl="0">
      <w:start w:val="1"/>
      <w:numFmt w:val="lowerLetter"/>
      <w:lvlText w:val="(%1)"/>
      <w:lvlJc w:val="left"/>
      <w:pPr>
        <w:ind w:left="1980" w:hanging="360"/>
      </w:pPr>
      <w:rPr>
        <w:rFonts w:hint="default"/>
        <w:i w:val="0"/>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4">
    <w:nsid w:val="79370CEA"/>
    <w:multiLevelType w:val="hybridMultilevel"/>
    <w:tmpl w:val="5338FD5A"/>
    <w:lvl w:ilvl="0">
      <w:start w:val="1"/>
      <w:numFmt w:val="lowerRoman"/>
      <w:lvlText w:val="%1."/>
      <w:lvlJc w:val="righ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5">
    <w:nsid w:val="7D8120BC"/>
    <w:multiLevelType w:val="hybridMultilevel"/>
    <w:tmpl w:val="90D00BFA"/>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4"/>
  </w:num>
  <w:num w:numId="15">
    <w:abstractNumId w:val="5"/>
  </w:num>
  <w:num w:numId="16">
    <w:abstractNumId w:val="15"/>
  </w:num>
  <w:num w:numId="17">
    <w:abstractNumId w:val="13"/>
  </w:num>
  <w:num w:numId="18">
    <w:abstractNumId w:val="14"/>
  </w:num>
  <w:num w:numId="19">
    <w:abstractNumId w:val="0"/>
  </w:num>
  <w:num w:numId="20">
    <w:abstractNumId w:val="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80"/>
    <w:rsid w:val="000C5183"/>
    <w:rsid w:val="000D720A"/>
    <w:rsid w:val="00195C12"/>
    <w:rsid w:val="001D3B79"/>
    <w:rsid w:val="00221558"/>
    <w:rsid w:val="002E3989"/>
    <w:rsid w:val="00300582"/>
    <w:rsid w:val="00375887"/>
    <w:rsid w:val="00447486"/>
    <w:rsid w:val="004900F8"/>
    <w:rsid w:val="004E4DA2"/>
    <w:rsid w:val="005323AB"/>
    <w:rsid w:val="00547514"/>
    <w:rsid w:val="00576A91"/>
    <w:rsid w:val="005F2494"/>
    <w:rsid w:val="00644027"/>
    <w:rsid w:val="006A19BD"/>
    <w:rsid w:val="00792582"/>
    <w:rsid w:val="00842042"/>
    <w:rsid w:val="00921A4A"/>
    <w:rsid w:val="009367B8"/>
    <w:rsid w:val="00950931"/>
    <w:rsid w:val="00AB76C4"/>
    <w:rsid w:val="00AF2358"/>
    <w:rsid w:val="00C50B80"/>
    <w:rsid w:val="00C70D87"/>
    <w:rsid w:val="00C71804"/>
    <w:rsid w:val="00C86003"/>
    <w:rsid w:val="00D109A4"/>
    <w:rsid w:val="00D55C7B"/>
    <w:rsid w:val="00E30687"/>
    <w:rsid w:val="00F16F39"/>
    <w:rsid w:val="00F673BF"/>
    <w:rsid w:val="00F80DBA"/>
    <w:rsid w:val="00F80F29"/>
    <w:rsid w:val="00FC06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C50B80"/>
    <w:rPr>
      <w:sz w:val="22"/>
    </w:rPr>
  </w:style>
  <w:style w:type="character" w:customStyle="1" w:styleId="FootnoteCharacters">
    <w:name w:val="Footnote Characters"/>
    <w:rsid w:val="00C50B80"/>
    <w:rPr>
      <w:vertAlign w:val="superscript"/>
    </w:rPr>
  </w:style>
  <w:style w:type="character" w:customStyle="1" w:styleId="FooterChar">
    <w:name w:val="Footer Char"/>
    <w:link w:val="Footer"/>
    <w:uiPriority w:val="99"/>
    <w:rsid w:val="00C50B80"/>
    <w:rPr>
      <w:sz w:val="22"/>
    </w:rPr>
  </w:style>
  <w:style w:type="paragraph" w:styleId="ListParagraph">
    <w:name w:val="List Paragraph"/>
    <w:basedOn w:val="Normal"/>
    <w:uiPriority w:val="34"/>
    <w:qFormat/>
    <w:rsid w:val="00E30687"/>
    <w:pPr>
      <w:ind w:left="720"/>
      <w:contextualSpacing/>
    </w:pPr>
  </w:style>
  <w:style w:type="paragraph" w:styleId="BalloonText">
    <w:name w:val="Balloon Text"/>
    <w:basedOn w:val="Normal"/>
    <w:link w:val="BalloonTextChar"/>
    <w:uiPriority w:val="99"/>
    <w:semiHidden/>
    <w:unhideWhenUsed/>
    <w:rsid w:val="00C26DCE"/>
    <w:rPr>
      <w:rFonts w:ascii="Segoe UI" w:hAnsi="Segoe UI" w:cs="Segoe UI"/>
      <w:sz w:val="18"/>
      <w:szCs w:val="18"/>
    </w:rPr>
  </w:style>
  <w:style w:type="character" w:customStyle="1" w:styleId="BalloonTextChar">
    <w:name w:val="Balloon Text Char"/>
    <w:link w:val="BalloonText"/>
    <w:uiPriority w:val="99"/>
    <w:semiHidden/>
    <w:rsid w:val="00C26DCE"/>
    <w:rPr>
      <w:rFonts w:ascii="Segoe UI" w:hAnsi="Segoe UI" w:cs="Segoe UI"/>
      <w:sz w:val="18"/>
      <w:szCs w:val="18"/>
    </w:rPr>
  </w:style>
  <w:style w:type="character" w:styleId="CommentReference">
    <w:name w:val="annotation reference"/>
    <w:uiPriority w:val="99"/>
    <w:semiHidden/>
    <w:unhideWhenUsed/>
    <w:rsid w:val="0012508C"/>
    <w:rPr>
      <w:sz w:val="16"/>
      <w:szCs w:val="16"/>
    </w:rPr>
  </w:style>
  <w:style w:type="paragraph" w:styleId="CommentText">
    <w:name w:val="annotation text"/>
    <w:basedOn w:val="Normal"/>
    <w:link w:val="CommentTextChar"/>
    <w:uiPriority w:val="99"/>
    <w:semiHidden/>
    <w:unhideWhenUsed/>
    <w:rsid w:val="0012508C"/>
    <w:rPr>
      <w:sz w:val="20"/>
    </w:rPr>
  </w:style>
  <w:style w:type="character" w:customStyle="1" w:styleId="CommentTextChar">
    <w:name w:val="Comment Text Char"/>
    <w:basedOn w:val="DefaultParagraphFont"/>
    <w:link w:val="CommentText"/>
    <w:uiPriority w:val="99"/>
    <w:semiHidden/>
    <w:rsid w:val="0012508C"/>
  </w:style>
  <w:style w:type="paragraph" w:styleId="CommentSubject">
    <w:name w:val="annotation subject"/>
    <w:basedOn w:val="CommentText"/>
    <w:next w:val="CommentText"/>
    <w:link w:val="CommentSubjectChar"/>
    <w:uiPriority w:val="99"/>
    <w:semiHidden/>
    <w:unhideWhenUsed/>
    <w:rsid w:val="0012508C"/>
    <w:rPr>
      <w:b/>
      <w:bCs/>
    </w:rPr>
  </w:style>
  <w:style w:type="character" w:customStyle="1" w:styleId="CommentSubjectChar">
    <w:name w:val="Comment Subject Char"/>
    <w:link w:val="CommentSubject"/>
    <w:uiPriority w:val="99"/>
    <w:semiHidden/>
    <w:rsid w:val="0012508C"/>
    <w:rPr>
      <w:b/>
      <w:bCs/>
    </w:rPr>
  </w:style>
  <w:style w:type="character" w:customStyle="1" w:styleId="copinpointicon">
    <w:name w:val="co_pinpointicon"/>
    <w:rsid w:val="00F16F39"/>
  </w:style>
  <w:style w:type="character" w:customStyle="1" w:styleId="cosearchterm">
    <w:name w:val="co_searchterm"/>
    <w:rsid w:val="00F1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1.next.westlaw.com/Link/Document/FullText?findType=L&amp;pubNum=1000547&amp;cite=47CFRS1.103&amp;originatingDoc=I2a5de1caa71b11e69822eed485bc7ca1&amp;refType=LQ&amp;originationContext=document&amp;transitionType=DocumentItem&amp;contextData=(sc.Search)"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