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04C42">
      <w:pPr>
        <w:jc w:val="right"/>
        <w:rPr>
          <w:rFonts w:ascii="Times" w:hAnsi="Times"/>
          <w:b/>
        </w:rPr>
      </w:pPr>
      <w:bookmarkStart w:id="0" w:name="_GoBack"/>
      <w:bookmarkEnd w:id="0"/>
    </w:p>
    <w:p w:rsidR="00B96447">
      <w:pPr>
        <w:jc w:val="right"/>
        <w:rPr>
          <w:rFonts w:ascii="Times" w:hAnsi="Times"/>
          <w:b/>
          <w:snapToGrid/>
          <w:kern w:val="0"/>
        </w:rPr>
      </w:pPr>
      <w:r>
        <w:rPr>
          <w:rFonts w:ascii="Times" w:hAnsi="Times"/>
          <w:b/>
        </w:rPr>
        <w:t xml:space="preserve"> </w:t>
      </w:r>
      <w:r w:rsidR="00114B5A">
        <w:rPr>
          <w:rFonts w:ascii="Times" w:hAnsi="Times"/>
          <w:b/>
        </w:rPr>
        <w:t xml:space="preserve">DA </w:t>
      </w:r>
      <w:r w:rsidR="00EE3F6B">
        <w:rPr>
          <w:rFonts w:ascii="Times" w:hAnsi="Times"/>
          <w:b/>
        </w:rPr>
        <w:t>19</w:t>
      </w:r>
      <w:r w:rsidR="00114B5A">
        <w:rPr>
          <w:rFonts w:ascii="Times" w:hAnsi="Times"/>
          <w:b/>
        </w:rPr>
        <w:t>-</w:t>
      </w:r>
      <w:r w:rsidR="004A5A94">
        <w:rPr>
          <w:rFonts w:ascii="Times" w:hAnsi="Times"/>
          <w:b/>
        </w:rPr>
        <w:t>1036</w:t>
      </w:r>
    </w:p>
    <w:p w:rsidR="00B96447">
      <w:pPr>
        <w:jc w:val="right"/>
        <w:rPr>
          <w:rFonts w:ascii="Times" w:hAnsi="Times"/>
          <w:b/>
        </w:rPr>
      </w:pPr>
      <w:r>
        <w:rPr>
          <w:rFonts w:ascii="Times" w:hAnsi="Times"/>
          <w:b/>
        </w:rPr>
        <w:t xml:space="preserve">Released: </w:t>
      </w:r>
      <w:r w:rsidR="00EE3F6B">
        <w:rPr>
          <w:rFonts w:ascii="Times" w:hAnsi="Times"/>
          <w:b/>
        </w:rPr>
        <w:t>October</w:t>
      </w:r>
      <w:r>
        <w:rPr>
          <w:rFonts w:ascii="Times" w:hAnsi="Times"/>
          <w:b/>
        </w:rPr>
        <w:t xml:space="preserve"> </w:t>
      </w:r>
      <w:r w:rsidR="00A97CAE">
        <w:rPr>
          <w:rFonts w:ascii="Times" w:hAnsi="Times"/>
          <w:b/>
        </w:rPr>
        <w:t>1</w:t>
      </w:r>
      <w:r w:rsidR="005344CA">
        <w:rPr>
          <w:rFonts w:ascii="Times" w:hAnsi="Times"/>
          <w:b/>
        </w:rPr>
        <w:t>1</w:t>
      </w:r>
      <w:r>
        <w:rPr>
          <w:rFonts w:ascii="Times" w:hAnsi="Times"/>
          <w:b/>
        </w:rPr>
        <w:t>, 201</w:t>
      </w:r>
      <w:r w:rsidR="00EE3F6B">
        <w:rPr>
          <w:rFonts w:ascii="Times" w:hAnsi="Times"/>
          <w:b/>
        </w:rPr>
        <w:t>9</w:t>
      </w:r>
    </w:p>
    <w:p w:rsidR="00B96447">
      <w:pPr>
        <w:rPr>
          <w:rFonts w:ascii="Times" w:hAnsi="Times"/>
          <w:b/>
        </w:rPr>
      </w:pPr>
    </w:p>
    <w:p w:rsidR="00B96447">
      <w:pPr>
        <w:jc w:val="center"/>
        <w:rPr>
          <w:b/>
          <w:szCs w:val="22"/>
        </w:rPr>
      </w:pPr>
      <w:r>
        <w:rPr>
          <w:b/>
          <w:szCs w:val="22"/>
        </w:rPr>
        <w:t xml:space="preserve">MEDIA BUREAU SEEKS COMMENT ON JOINT PETITION FOR RULEMAKING OF AMERICA’S PUBLIC TELEVISION STATIONS AND THE NATIONAL ASSOCIATION OF BROADCASTERS SEEKING TO </w:t>
      </w:r>
      <w:r w:rsidR="006D77A6">
        <w:rPr>
          <w:b/>
          <w:szCs w:val="22"/>
        </w:rPr>
        <w:t xml:space="preserve">AMEND SECTION </w:t>
      </w:r>
      <w:r w:rsidRPr="006D77A6" w:rsidR="006D77A6">
        <w:rPr>
          <w:b/>
          <w:szCs w:val="22"/>
        </w:rPr>
        <w:t xml:space="preserve">73.626 </w:t>
      </w:r>
      <w:r w:rsidR="006D77A6">
        <w:rPr>
          <w:b/>
          <w:szCs w:val="22"/>
        </w:rPr>
        <w:t xml:space="preserve">OF THE COMMISSION’S RULES RELATING TO </w:t>
      </w:r>
      <w:bookmarkStart w:id="1" w:name="_Hlk21082085"/>
      <w:r w:rsidRPr="006D77A6" w:rsidR="006D77A6">
        <w:rPr>
          <w:b/>
          <w:szCs w:val="22"/>
        </w:rPr>
        <w:t>DISTRIBUTED TRANSMISSION SYSTEMS</w:t>
      </w:r>
      <w:bookmarkEnd w:id="1"/>
    </w:p>
    <w:p w:rsidR="00B96447">
      <w:pPr>
        <w:tabs>
          <w:tab w:val="left" w:pos="2431"/>
        </w:tabs>
        <w:spacing w:before="120"/>
        <w:jc w:val="center"/>
        <w:rPr>
          <w:b/>
          <w:szCs w:val="22"/>
        </w:rPr>
      </w:pPr>
      <w:r>
        <w:rPr>
          <w:b/>
          <w:szCs w:val="22"/>
        </w:rPr>
        <w:t>GN Docket No. 16-142</w:t>
      </w:r>
      <w:r w:rsidR="005E15F2">
        <w:rPr>
          <w:b/>
          <w:szCs w:val="22"/>
        </w:rPr>
        <w:t xml:space="preserve"> </w:t>
      </w:r>
    </w:p>
    <w:p w:rsidR="00B96447">
      <w:pPr>
        <w:tabs>
          <w:tab w:val="left" w:pos="2431"/>
        </w:tabs>
        <w:jc w:val="center"/>
        <w:rPr>
          <w:b/>
          <w:szCs w:val="22"/>
        </w:rPr>
      </w:pPr>
    </w:p>
    <w:p w:rsidR="00B96447">
      <w:pPr>
        <w:rPr>
          <w:b/>
          <w:szCs w:val="22"/>
        </w:rPr>
      </w:pPr>
      <w:r>
        <w:rPr>
          <w:b/>
          <w:szCs w:val="22"/>
        </w:rPr>
        <w:t xml:space="preserve">Comment Date:  </w:t>
      </w:r>
      <w:r w:rsidR="00A97CAE">
        <w:rPr>
          <w:b/>
          <w:szCs w:val="22"/>
        </w:rPr>
        <w:tab/>
        <w:t>November 12</w:t>
      </w:r>
      <w:r>
        <w:rPr>
          <w:b/>
          <w:szCs w:val="22"/>
        </w:rPr>
        <w:t>, 201</w:t>
      </w:r>
      <w:r w:rsidR="00A97CAE">
        <w:rPr>
          <w:b/>
          <w:szCs w:val="22"/>
        </w:rPr>
        <w:t>9</w:t>
      </w:r>
      <w:r w:rsidR="00E47BE0">
        <w:rPr>
          <w:b/>
          <w:szCs w:val="22"/>
        </w:rPr>
        <w:t xml:space="preserve"> </w:t>
      </w:r>
    </w:p>
    <w:p w:rsidR="00B96447">
      <w:pPr>
        <w:rPr>
          <w:b/>
          <w:szCs w:val="22"/>
        </w:rPr>
      </w:pPr>
      <w:r>
        <w:rPr>
          <w:b/>
          <w:szCs w:val="22"/>
        </w:rPr>
        <w:t>Reply Comment Date:</w:t>
      </w:r>
      <w:r>
        <w:rPr>
          <w:b/>
          <w:szCs w:val="22"/>
        </w:rPr>
        <w:tab/>
      </w:r>
      <w:r w:rsidR="00A97CAE">
        <w:rPr>
          <w:b/>
          <w:szCs w:val="22"/>
        </w:rPr>
        <w:t>November 27, 2019</w:t>
      </w:r>
      <w:r w:rsidR="00E47BE0">
        <w:rPr>
          <w:b/>
          <w:szCs w:val="22"/>
        </w:rPr>
        <w:t xml:space="preserve"> </w:t>
      </w:r>
    </w:p>
    <w:p w:rsidR="00702080">
      <w:pPr>
        <w:rPr>
          <w:b/>
          <w:szCs w:val="22"/>
        </w:rPr>
      </w:pPr>
    </w:p>
    <w:p w:rsidR="00774066">
      <w:pPr>
        <w:widowControl/>
        <w:autoSpaceDE w:val="0"/>
        <w:autoSpaceDN w:val="0"/>
        <w:adjustRightInd w:val="0"/>
        <w:rPr>
          <w:snapToGrid/>
          <w:kern w:val="0"/>
          <w:szCs w:val="22"/>
        </w:rPr>
      </w:pPr>
      <w:r>
        <w:rPr>
          <w:szCs w:val="22"/>
        </w:rPr>
        <w:t xml:space="preserve">On </w:t>
      </w:r>
      <w:r w:rsidR="002911B0">
        <w:rPr>
          <w:szCs w:val="22"/>
        </w:rPr>
        <w:t>October 3, 2019,</w:t>
      </w:r>
      <w:r>
        <w:rPr>
          <w:szCs w:val="22"/>
        </w:rPr>
        <w:t xml:space="preserve"> </w:t>
      </w:r>
      <w:r>
        <w:rPr>
          <w:snapToGrid/>
          <w:kern w:val="0"/>
          <w:szCs w:val="22"/>
        </w:rPr>
        <w:t>America’s Public Television Stations (APTS)</w:t>
      </w:r>
      <w:r w:rsidR="002911B0">
        <w:rPr>
          <w:snapToGrid/>
          <w:kern w:val="0"/>
          <w:szCs w:val="22"/>
        </w:rPr>
        <w:t xml:space="preserve"> and </w:t>
      </w:r>
      <w:r>
        <w:rPr>
          <w:snapToGrid/>
          <w:kern w:val="0"/>
          <w:szCs w:val="22"/>
        </w:rPr>
        <w:t xml:space="preserve">The National Association of Broadcasters (NAB) filed a Joint Petition for Rulemaking </w:t>
      </w:r>
      <w:r>
        <w:rPr>
          <w:szCs w:val="22"/>
        </w:rPr>
        <w:t xml:space="preserve">(“Petition”) </w:t>
      </w:r>
      <w:r>
        <w:rPr>
          <w:snapToGrid/>
          <w:kern w:val="0"/>
          <w:szCs w:val="22"/>
        </w:rPr>
        <w:t xml:space="preserve">asking the Commission to </w:t>
      </w:r>
      <w:r w:rsidR="002911B0">
        <w:rPr>
          <w:snapToGrid/>
          <w:kern w:val="0"/>
          <w:szCs w:val="22"/>
        </w:rPr>
        <w:t xml:space="preserve">amend section 76.626 of the Commission’s rules relating to </w:t>
      </w:r>
      <w:r w:rsidRPr="00D07034" w:rsidR="00E76C87">
        <w:rPr>
          <w:snapToGrid/>
          <w:kern w:val="0"/>
          <w:szCs w:val="22"/>
        </w:rPr>
        <w:t>Distributed Transmission Systems (“DTS”), also known as single</w:t>
      </w:r>
      <w:r w:rsidR="00E76C87">
        <w:rPr>
          <w:snapToGrid/>
          <w:kern w:val="0"/>
          <w:szCs w:val="22"/>
        </w:rPr>
        <w:t xml:space="preserve"> </w:t>
      </w:r>
      <w:r w:rsidRPr="00D07034" w:rsidR="00E76C87">
        <w:rPr>
          <w:snapToGrid/>
          <w:kern w:val="0"/>
          <w:szCs w:val="22"/>
        </w:rPr>
        <w:t>frequency networks</w:t>
      </w:r>
      <w:r w:rsidRPr="00774066" w:rsidR="00E76C87">
        <w:rPr>
          <w:snapToGrid/>
          <w:kern w:val="0"/>
          <w:szCs w:val="22"/>
        </w:rPr>
        <w:t>.</w:t>
      </w:r>
      <w:r>
        <w:rPr>
          <w:rStyle w:val="FootnoteReference"/>
          <w:sz w:val="22"/>
          <w:szCs w:val="22"/>
        </w:rPr>
        <w:footnoteReference w:id="3"/>
      </w:r>
      <w:r w:rsidR="002911B0">
        <w:rPr>
          <w:snapToGrid/>
          <w:kern w:val="0"/>
          <w:szCs w:val="22"/>
        </w:rPr>
        <w:t xml:space="preserve">  </w:t>
      </w:r>
      <w:r w:rsidR="00D07034">
        <w:rPr>
          <w:snapToGrid/>
          <w:kern w:val="0"/>
          <w:szCs w:val="22"/>
        </w:rPr>
        <w:t xml:space="preserve">More specifically, the Petition asks the Commission to “amend its </w:t>
      </w:r>
      <w:r w:rsidRPr="002911B0" w:rsidR="00D07034">
        <w:rPr>
          <w:snapToGrid/>
          <w:kern w:val="0"/>
          <w:szCs w:val="22"/>
        </w:rPr>
        <w:t>methodology for determining DTS</w:t>
      </w:r>
      <w:r w:rsidR="00D07034">
        <w:rPr>
          <w:snapToGrid/>
          <w:kern w:val="0"/>
          <w:szCs w:val="22"/>
        </w:rPr>
        <w:t xml:space="preserve"> </w:t>
      </w:r>
      <w:r w:rsidRPr="00684A15" w:rsidR="00D07034">
        <w:rPr>
          <w:snapToGrid/>
          <w:kern w:val="0"/>
          <w:szCs w:val="22"/>
        </w:rPr>
        <w:t>service limits while preserving the current interference requirements</w:t>
      </w:r>
      <w:r w:rsidR="00D07034">
        <w:rPr>
          <w:snapToGrid/>
          <w:kern w:val="0"/>
          <w:szCs w:val="22"/>
        </w:rPr>
        <w:t>.”</w:t>
      </w:r>
      <w:r>
        <w:rPr>
          <w:rStyle w:val="FootnoteReference"/>
          <w:sz w:val="22"/>
          <w:szCs w:val="22"/>
        </w:rPr>
        <w:footnoteReference w:id="4"/>
      </w:r>
    </w:p>
    <w:p w:rsidR="00774066">
      <w:pPr>
        <w:widowControl/>
        <w:autoSpaceDE w:val="0"/>
        <w:autoSpaceDN w:val="0"/>
        <w:adjustRightInd w:val="0"/>
        <w:rPr>
          <w:snapToGrid/>
          <w:kern w:val="0"/>
          <w:szCs w:val="22"/>
        </w:rPr>
      </w:pPr>
    </w:p>
    <w:p w:rsidR="00774066" w:rsidP="00DA52D1">
      <w:pPr>
        <w:widowControl/>
        <w:autoSpaceDE w:val="0"/>
        <w:autoSpaceDN w:val="0"/>
        <w:adjustRightInd w:val="0"/>
        <w:rPr>
          <w:snapToGrid/>
          <w:kern w:val="0"/>
          <w:szCs w:val="22"/>
        </w:rPr>
      </w:pPr>
      <w:r>
        <w:rPr>
          <w:snapToGrid/>
          <w:kern w:val="0"/>
          <w:szCs w:val="22"/>
        </w:rPr>
        <w:t>The Petition states that,</w:t>
      </w:r>
      <w:r w:rsidRPr="00774066">
        <w:t xml:space="preserve"> </w:t>
      </w:r>
      <w:r w:rsidR="00D07034">
        <w:t>“[</w:t>
      </w:r>
      <w:r>
        <w:rPr>
          <w:snapToGrid/>
          <w:kern w:val="0"/>
          <w:szCs w:val="22"/>
        </w:rPr>
        <w:t>a</w:t>
      </w:r>
      <w:r w:rsidR="00D07034">
        <w:rPr>
          <w:snapToGrid/>
          <w:kern w:val="0"/>
          <w:szCs w:val="22"/>
        </w:rPr>
        <w:t>]</w:t>
      </w:r>
      <w:r>
        <w:rPr>
          <w:snapToGrid/>
          <w:kern w:val="0"/>
          <w:szCs w:val="22"/>
        </w:rPr>
        <w:t xml:space="preserve">s </w:t>
      </w:r>
      <w:r w:rsidRPr="00D07034" w:rsidR="00D07034">
        <w:rPr>
          <w:snapToGrid/>
          <w:kern w:val="0"/>
          <w:szCs w:val="22"/>
        </w:rPr>
        <w:t>they plan to roll out ATSC 3.0 deployments,</w:t>
      </w:r>
      <w:r w:rsidR="009D7BB6">
        <w:rPr>
          <w:snapToGrid/>
          <w:kern w:val="0"/>
          <w:szCs w:val="22"/>
        </w:rPr>
        <w:t xml:space="preserve"> </w:t>
      </w:r>
      <w:r w:rsidRPr="00D07034" w:rsidR="00D07034">
        <w:rPr>
          <w:snapToGrid/>
          <w:kern w:val="0"/>
          <w:szCs w:val="22"/>
        </w:rPr>
        <w:t>many broadcasters are interested in exploring the advanced capabilities of ATSC 3.0 to</w:t>
      </w:r>
      <w:r w:rsidR="009D7BB6">
        <w:rPr>
          <w:snapToGrid/>
          <w:kern w:val="0"/>
          <w:szCs w:val="22"/>
        </w:rPr>
        <w:t xml:space="preserve"> </w:t>
      </w:r>
      <w:r w:rsidRPr="00D07034" w:rsidR="00D07034">
        <w:rPr>
          <w:snapToGrid/>
          <w:kern w:val="0"/>
          <w:szCs w:val="22"/>
        </w:rPr>
        <w:t>facilitate the use of DTS</w:t>
      </w:r>
      <w:r w:rsidR="005453CD">
        <w:rPr>
          <w:snapToGrid/>
          <w:kern w:val="0"/>
          <w:szCs w:val="22"/>
        </w:rPr>
        <w:t>.</w:t>
      </w:r>
      <w:r>
        <w:rPr>
          <w:rStyle w:val="FootnoteReference"/>
          <w:snapToGrid/>
          <w:kern w:val="0"/>
          <w:szCs w:val="22"/>
        </w:rPr>
        <w:footnoteReference w:id="5"/>
      </w:r>
      <w:r>
        <w:rPr>
          <w:snapToGrid/>
          <w:kern w:val="0"/>
          <w:szCs w:val="22"/>
        </w:rPr>
        <w:t xml:space="preserve">  The Joint Petition </w:t>
      </w:r>
      <w:r w:rsidR="00926DF8">
        <w:rPr>
          <w:snapToGrid/>
          <w:kern w:val="0"/>
          <w:szCs w:val="22"/>
        </w:rPr>
        <w:t>further assert</w:t>
      </w:r>
      <w:r>
        <w:rPr>
          <w:snapToGrid/>
          <w:kern w:val="0"/>
          <w:szCs w:val="22"/>
        </w:rPr>
        <w:t>s that “</w:t>
      </w:r>
      <w:r w:rsidRPr="00774066">
        <w:rPr>
          <w:snapToGrid/>
          <w:kern w:val="0"/>
          <w:szCs w:val="22"/>
        </w:rPr>
        <w:t>ATSC 3.0 permits a simplified design for single frequency networks that makes</w:t>
      </w:r>
      <w:r>
        <w:rPr>
          <w:snapToGrid/>
          <w:kern w:val="0"/>
          <w:szCs w:val="22"/>
        </w:rPr>
        <w:t xml:space="preserve"> </w:t>
      </w:r>
      <w:r w:rsidRPr="00774066">
        <w:rPr>
          <w:snapToGrid/>
          <w:kern w:val="0"/>
          <w:szCs w:val="22"/>
        </w:rPr>
        <w:t xml:space="preserve">the deployment of such networks significantly more cost effective. </w:t>
      </w:r>
      <w:r>
        <w:rPr>
          <w:snapToGrid/>
          <w:kern w:val="0"/>
          <w:szCs w:val="22"/>
        </w:rPr>
        <w:t xml:space="preserve"> </w:t>
      </w:r>
      <w:r w:rsidRPr="00774066">
        <w:rPr>
          <w:snapToGrid/>
          <w:kern w:val="0"/>
          <w:szCs w:val="22"/>
        </w:rPr>
        <w:t>However, the</w:t>
      </w:r>
      <w:r>
        <w:rPr>
          <w:snapToGrid/>
          <w:kern w:val="0"/>
          <w:szCs w:val="22"/>
        </w:rPr>
        <w:t xml:space="preserve"> </w:t>
      </w:r>
      <w:r w:rsidRPr="00774066">
        <w:rPr>
          <w:snapToGrid/>
          <w:kern w:val="0"/>
          <w:szCs w:val="22"/>
        </w:rPr>
        <w:t>Commission’s current DTS rules limit broadcasters’ ability to deploy additional</w:t>
      </w:r>
      <w:r w:rsidR="00D07034">
        <w:rPr>
          <w:snapToGrid/>
          <w:kern w:val="0"/>
          <w:szCs w:val="22"/>
        </w:rPr>
        <w:t xml:space="preserve"> </w:t>
      </w:r>
      <w:r w:rsidRPr="00774066">
        <w:rPr>
          <w:snapToGrid/>
          <w:kern w:val="0"/>
          <w:szCs w:val="22"/>
        </w:rPr>
        <w:t xml:space="preserve">transmitters near the edge of a station’s coverage area, </w:t>
      </w:r>
      <w:r w:rsidR="00D07034">
        <w:rPr>
          <w:snapToGrid/>
          <w:kern w:val="0"/>
          <w:szCs w:val="22"/>
        </w:rPr>
        <w:t>h</w:t>
      </w:r>
      <w:r w:rsidRPr="00774066">
        <w:rPr>
          <w:snapToGrid/>
          <w:kern w:val="0"/>
          <w:szCs w:val="22"/>
        </w:rPr>
        <w:t>ampering the deployment of such</w:t>
      </w:r>
      <w:r w:rsidR="00D07034">
        <w:rPr>
          <w:snapToGrid/>
          <w:kern w:val="0"/>
          <w:szCs w:val="22"/>
        </w:rPr>
        <w:t xml:space="preserve"> </w:t>
      </w:r>
      <w:r w:rsidRPr="00774066">
        <w:rPr>
          <w:snapToGrid/>
          <w:kern w:val="0"/>
          <w:szCs w:val="22"/>
        </w:rPr>
        <w:t>networks.</w:t>
      </w:r>
      <w:r w:rsidR="00D07034">
        <w:rPr>
          <w:snapToGrid/>
          <w:kern w:val="0"/>
          <w:szCs w:val="22"/>
        </w:rPr>
        <w:t>”</w:t>
      </w:r>
      <w:r>
        <w:rPr>
          <w:rStyle w:val="FootnoteReference"/>
          <w:snapToGrid/>
          <w:kern w:val="0"/>
          <w:szCs w:val="22"/>
        </w:rPr>
        <w:footnoteReference w:id="6"/>
      </w:r>
      <w:r w:rsidR="005453CD">
        <w:rPr>
          <w:snapToGrid/>
          <w:kern w:val="0"/>
          <w:szCs w:val="22"/>
        </w:rPr>
        <w:t xml:space="preserve">  Accordingly, the Petition alleges that updating the Commission’s DTS rules to remove these limitations would enable stations to improve </w:t>
      </w:r>
      <w:r w:rsidRPr="00F73189" w:rsidR="00F73189">
        <w:rPr>
          <w:snapToGrid/>
          <w:kern w:val="0"/>
          <w:szCs w:val="22"/>
        </w:rPr>
        <w:t xml:space="preserve">service throughout </w:t>
      </w:r>
      <w:r w:rsidR="00F73189">
        <w:rPr>
          <w:snapToGrid/>
          <w:kern w:val="0"/>
          <w:szCs w:val="22"/>
        </w:rPr>
        <w:t>their</w:t>
      </w:r>
      <w:r w:rsidRPr="00F73189" w:rsidR="00F73189">
        <w:rPr>
          <w:snapToGrid/>
          <w:kern w:val="0"/>
          <w:szCs w:val="22"/>
        </w:rPr>
        <w:t xml:space="preserve"> coverage area</w:t>
      </w:r>
      <w:r w:rsidR="00F73189">
        <w:rPr>
          <w:snapToGrid/>
          <w:kern w:val="0"/>
          <w:szCs w:val="22"/>
        </w:rPr>
        <w:t xml:space="preserve"> (</w:t>
      </w:r>
      <w:r w:rsidRPr="00F73189" w:rsidR="00F73189">
        <w:rPr>
          <w:snapToGrid/>
          <w:kern w:val="0"/>
          <w:szCs w:val="22"/>
        </w:rPr>
        <w:t>particular</w:t>
      </w:r>
      <w:r w:rsidR="00F73189">
        <w:rPr>
          <w:snapToGrid/>
          <w:kern w:val="0"/>
          <w:szCs w:val="22"/>
        </w:rPr>
        <w:t>ly</w:t>
      </w:r>
      <w:r w:rsidRPr="00F73189" w:rsidR="00F73189">
        <w:rPr>
          <w:snapToGrid/>
          <w:kern w:val="0"/>
          <w:szCs w:val="22"/>
        </w:rPr>
        <w:t xml:space="preserve"> near</w:t>
      </w:r>
      <w:r w:rsidR="00F73189">
        <w:rPr>
          <w:snapToGrid/>
          <w:kern w:val="0"/>
          <w:szCs w:val="22"/>
        </w:rPr>
        <w:t xml:space="preserve"> </w:t>
      </w:r>
      <w:r w:rsidRPr="00F73189" w:rsidR="00F73189">
        <w:rPr>
          <w:snapToGrid/>
          <w:kern w:val="0"/>
          <w:szCs w:val="22"/>
        </w:rPr>
        <w:t>the edge of the coverage area</w:t>
      </w:r>
      <w:r w:rsidR="00F73189">
        <w:rPr>
          <w:snapToGrid/>
          <w:kern w:val="0"/>
          <w:szCs w:val="22"/>
        </w:rPr>
        <w:t>)</w:t>
      </w:r>
      <w:r w:rsidR="00223A25">
        <w:rPr>
          <w:snapToGrid/>
          <w:kern w:val="0"/>
          <w:szCs w:val="22"/>
        </w:rPr>
        <w:t xml:space="preserve">, </w:t>
      </w:r>
      <w:r w:rsidRPr="00F73189" w:rsidR="00F73189">
        <w:rPr>
          <w:snapToGrid/>
          <w:kern w:val="0"/>
          <w:szCs w:val="22"/>
        </w:rPr>
        <w:t>improve mobile reception</w:t>
      </w:r>
      <w:r w:rsidR="007570E5">
        <w:rPr>
          <w:snapToGrid/>
          <w:kern w:val="0"/>
          <w:szCs w:val="22"/>
        </w:rPr>
        <w:t>, and improve spectrum efficiency (</w:t>
      </w:r>
      <w:r w:rsidRPr="00F73189" w:rsidR="007570E5">
        <w:rPr>
          <w:snapToGrid/>
          <w:kern w:val="0"/>
          <w:szCs w:val="22"/>
        </w:rPr>
        <w:t>by reducing the need for television translators using</w:t>
      </w:r>
      <w:r w:rsidR="007570E5">
        <w:rPr>
          <w:snapToGrid/>
          <w:kern w:val="0"/>
          <w:szCs w:val="22"/>
        </w:rPr>
        <w:t xml:space="preserve"> </w:t>
      </w:r>
      <w:r w:rsidRPr="00F73189" w:rsidR="007570E5">
        <w:rPr>
          <w:snapToGrid/>
          <w:kern w:val="0"/>
          <w:szCs w:val="22"/>
        </w:rPr>
        <w:t>separate channels</w:t>
      </w:r>
      <w:r w:rsidR="007570E5">
        <w:rPr>
          <w:snapToGrid/>
          <w:kern w:val="0"/>
          <w:szCs w:val="22"/>
        </w:rPr>
        <w:t>)</w:t>
      </w:r>
      <w:r w:rsidR="00F73189">
        <w:rPr>
          <w:snapToGrid/>
          <w:kern w:val="0"/>
          <w:szCs w:val="22"/>
        </w:rPr>
        <w:t>.</w:t>
      </w:r>
      <w:r>
        <w:rPr>
          <w:rStyle w:val="FootnoteReference"/>
          <w:snapToGrid/>
          <w:kern w:val="0"/>
          <w:szCs w:val="22"/>
        </w:rPr>
        <w:footnoteReference w:id="7"/>
      </w:r>
      <w:r w:rsidRPr="00F73189" w:rsidR="00F73189">
        <w:rPr>
          <w:snapToGrid/>
          <w:kern w:val="0"/>
          <w:szCs w:val="22"/>
        </w:rPr>
        <w:t xml:space="preserve"> </w:t>
      </w:r>
      <w:r w:rsidR="00F73189">
        <w:rPr>
          <w:snapToGrid/>
          <w:kern w:val="0"/>
          <w:szCs w:val="22"/>
        </w:rPr>
        <w:t xml:space="preserve"> </w:t>
      </w:r>
    </w:p>
    <w:p w:rsidR="00774066" w:rsidP="00774066">
      <w:pPr>
        <w:widowControl/>
        <w:autoSpaceDE w:val="0"/>
        <w:autoSpaceDN w:val="0"/>
        <w:adjustRightInd w:val="0"/>
        <w:rPr>
          <w:snapToGrid/>
          <w:kern w:val="0"/>
          <w:szCs w:val="22"/>
        </w:rPr>
      </w:pPr>
    </w:p>
    <w:p w:rsidR="00B96447">
      <w:pPr>
        <w:widowControl/>
        <w:autoSpaceDE w:val="0"/>
        <w:autoSpaceDN w:val="0"/>
        <w:adjustRightInd w:val="0"/>
        <w:rPr>
          <w:szCs w:val="22"/>
        </w:rPr>
      </w:pPr>
      <w:r>
        <w:rPr>
          <w:snapToGrid/>
          <w:kern w:val="0"/>
          <w:szCs w:val="22"/>
        </w:rPr>
        <w:t xml:space="preserve">We issue this Public Notice to seek comment on the Petition.  </w:t>
      </w:r>
      <w:r>
        <w:rPr>
          <w:color w:val="010101"/>
          <w:szCs w:val="22"/>
        </w:rPr>
        <w:t xml:space="preserve">The Petition is available electronically through the </w:t>
      </w:r>
      <w:r>
        <w:rPr>
          <w:szCs w:val="22"/>
        </w:rPr>
        <w:t xml:space="preserve">Commission’s Electronic Comment Filing System (ECFS) </w:t>
      </w:r>
      <w:r>
        <w:rPr>
          <w:color w:val="010101"/>
          <w:szCs w:val="22"/>
        </w:rPr>
        <w:t>under the above-referenced docket number</w:t>
      </w:r>
      <w:r w:rsidR="009D7BB6">
        <w:rPr>
          <w:color w:val="010101"/>
          <w:szCs w:val="22"/>
        </w:rPr>
        <w:t>s</w:t>
      </w:r>
      <w:r>
        <w:rPr>
          <w:color w:val="010101"/>
          <w:szCs w:val="22"/>
        </w:rPr>
        <w:t xml:space="preserve">, which may be accessed on the Commission’s Internet website at </w:t>
      </w:r>
      <w:hyperlink r:id="rId5" w:history="1">
        <w:r>
          <w:rPr>
            <w:color w:val="0000FF"/>
            <w:szCs w:val="22"/>
            <w:u w:val="single"/>
          </w:rPr>
          <w:t>http://apps.fcc.gov/ecfs/</w:t>
        </w:r>
      </w:hyperlink>
      <w:r>
        <w:rPr>
          <w:color w:val="010101"/>
          <w:szCs w:val="22"/>
        </w:rPr>
        <w:t xml:space="preserve">.  </w:t>
      </w:r>
    </w:p>
    <w:p w:rsidR="00B96447">
      <w:pPr>
        <w:rPr>
          <w:szCs w:val="22"/>
        </w:rPr>
      </w:pPr>
    </w:p>
    <w:p w:rsidR="00B96447" w:rsidP="00702080">
      <w:pPr>
        <w:keepNext/>
        <w:widowControl/>
        <w:rPr>
          <w:szCs w:val="22"/>
        </w:rPr>
      </w:pPr>
      <w:r>
        <w:rPr>
          <w:u w:val="single"/>
        </w:rPr>
        <w:t>Filing Requirements</w:t>
      </w:r>
      <w:r>
        <w:t xml:space="preserve">.  </w:t>
      </w:r>
      <w:r>
        <w:rPr>
          <w:szCs w:val="22"/>
        </w:rPr>
        <w:t>Pursuant to sections 1.415 and 1.419 of the Commission’s rules,</w:t>
      </w:r>
      <w:r>
        <w:rPr>
          <w:rStyle w:val="FootnoteReference"/>
          <w:szCs w:val="22"/>
        </w:rPr>
        <w:footnoteReference w:id="8"/>
      </w:r>
      <w:r>
        <w:rPr>
          <w:szCs w:val="22"/>
        </w:rPr>
        <w:t xml:space="preserve"> interested parties may file comments and reply comments on or before the dates indicated on the first page of this document.  Comments may be filed using the ECFS.</w:t>
      </w:r>
      <w:r>
        <w:rPr>
          <w:rStyle w:val="FootnoteReference"/>
          <w:szCs w:val="22"/>
        </w:rPr>
        <w:footnoteReference w:id="9"/>
      </w:r>
      <w:r>
        <w:rPr>
          <w:szCs w:val="22"/>
        </w:rPr>
        <w:t xml:space="preserve"> </w:t>
      </w:r>
    </w:p>
    <w:p w:rsidR="00B96447">
      <w:pPr>
        <w:rPr>
          <w:szCs w:val="22"/>
        </w:rPr>
      </w:pPr>
    </w:p>
    <w:p w:rsidR="00B96447">
      <w:pPr>
        <w:widowControl/>
        <w:numPr>
          <w:ilvl w:val="0"/>
          <w:numId w:val="10"/>
        </w:numPr>
        <w:rPr>
          <w:szCs w:val="22"/>
        </w:rPr>
      </w:pPr>
      <w:r>
        <w:rPr>
          <w:szCs w:val="22"/>
        </w:rPr>
        <w:t xml:space="preserve">Electronic Filers:  Comments may be filed electronically using the Internet by accessing the ECFS:  </w:t>
      </w:r>
      <w:hyperlink r:id="rId5" w:history="1">
        <w:r>
          <w:rPr>
            <w:rStyle w:val="Hyperlink"/>
            <w:szCs w:val="22"/>
          </w:rPr>
          <w:t>http://apps.fcc.gov/ecfs/</w:t>
        </w:r>
      </w:hyperlink>
      <w:r>
        <w:rPr>
          <w:szCs w:val="22"/>
        </w:rPr>
        <w:t xml:space="preserve">.  </w:t>
      </w:r>
    </w:p>
    <w:p w:rsidR="00B96447">
      <w:pPr>
        <w:rPr>
          <w:szCs w:val="22"/>
        </w:rPr>
      </w:pPr>
    </w:p>
    <w:p w:rsidR="00B96447">
      <w:pPr>
        <w:widowControl/>
        <w:numPr>
          <w:ilvl w:val="0"/>
          <w:numId w:val="8"/>
        </w:numPr>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96447">
      <w:pPr>
        <w:rPr>
          <w:szCs w:val="22"/>
        </w:rPr>
      </w:pPr>
    </w:p>
    <w:p w:rsidR="00B96447">
      <w:pPr>
        <w:ind w:left="72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96447">
      <w:pPr>
        <w:rPr>
          <w:szCs w:val="22"/>
        </w:rPr>
      </w:pPr>
    </w:p>
    <w:p w:rsidR="00B96447">
      <w:pPr>
        <w:widowControl/>
        <w:numPr>
          <w:ilvl w:val="0"/>
          <w:numId w:val="9"/>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B96447">
      <w:pPr>
        <w:ind w:left="1080"/>
        <w:rPr>
          <w:szCs w:val="22"/>
        </w:rPr>
      </w:pPr>
    </w:p>
    <w:p w:rsidR="00B96447">
      <w:pPr>
        <w:widowControl/>
        <w:numPr>
          <w:ilvl w:val="0"/>
          <w:numId w:val="9"/>
        </w:numPr>
        <w:rPr>
          <w:szCs w:val="22"/>
        </w:rPr>
      </w:pPr>
      <w:r>
        <w:rPr>
          <w:szCs w:val="22"/>
        </w:rPr>
        <w:t xml:space="preserve">Commercial overnight </w:t>
      </w:r>
      <w:r w:rsidRPr="000D336F" w:rsidR="000D336F">
        <w:rPr>
          <w:szCs w:val="22"/>
        </w:rPr>
        <w:t>mail (other than U.S. Postal Service Express Mail and Priority Mail) must be sent to 9050 Junction Drive, Annapolis Junction, MD 20701.</w:t>
      </w:r>
    </w:p>
    <w:p w:rsidR="00B96447">
      <w:pPr>
        <w:rPr>
          <w:szCs w:val="22"/>
        </w:rPr>
      </w:pPr>
    </w:p>
    <w:p w:rsidR="00B96447">
      <w:pPr>
        <w:widowControl/>
        <w:numPr>
          <w:ilvl w:val="0"/>
          <w:numId w:val="9"/>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B96447">
      <w:pPr>
        <w:rPr>
          <w:szCs w:val="22"/>
        </w:rPr>
      </w:pPr>
    </w:p>
    <w:p w:rsidR="00B96447">
      <w:pPr>
        <w:rPr>
          <w:szCs w:val="22"/>
        </w:rPr>
      </w:pPr>
      <w:r>
        <w:rPr>
          <w:szCs w:val="22"/>
          <w:u w:val="single"/>
        </w:rPr>
        <w:t>People with Disabilities</w:t>
      </w:r>
      <w:r>
        <w:rPr>
          <w:szCs w:val="22"/>
        </w:rPr>
        <w:t xml:space="preserve">:  To request materials in accessible formats for people with disabilities (braille, large print, electronic files, audio format), send an e-mail to </w:t>
      </w:r>
      <w:hyperlink r:id="rId6" w:history="1">
        <w:r>
          <w:rPr>
            <w:color w:val="0000FF"/>
            <w:szCs w:val="22"/>
            <w:u w:val="single"/>
          </w:rPr>
          <w:t>fcc504@fcc.gov</w:t>
        </w:r>
      </w:hyperlink>
      <w:r>
        <w:rPr>
          <w:szCs w:val="22"/>
        </w:rPr>
        <w:t xml:space="preserve"> or call the Consumer &amp; Governmental Affairs Bureau at 202-418-0530 (voice), 202-418-0432 (tty).</w:t>
      </w:r>
    </w:p>
    <w:p w:rsidR="00B96447">
      <w:pPr>
        <w:rPr>
          <w:szCs w:val="22"/>
        </w:rPr>
      </w:pPr>
    </w:p>
    <w:p w:rsidR="00B96447" w:rsidP="00EB7CF4">
      <w:pPr>
        <w:keepNext/>
        <w:widowControl/>
        <w:rPr>
          <w:szCs w:val="22"/>
        </w:rPr>
      </w:pPr>
      <w:r>
        <w:rPr>
          <w:i/>
          <w:u w:val="single"/>
        </w:rPr>
        <w:t>Ex Parte</w:t>
      </w:r>
      <w:r>
        <w:rPr>
          <w:u w:val="single"/>
        </w:rPr>
        <w:t xml:space="preserve"> Rules</w:t>
      </w:r>
      <w:r>
        <w:t xml:space="preserve">.  </w:t>
      </w:r>
      <w:r>
        <w:rPr>
          <w:szCs w:val="22"/>
        </w:rPr>
        <w:t xml:space="preserve">This proceeding shall be treated as a “permit-but-disclose” proceeding in accordance with the Commission’s </w:t>
      </w:r>
      <w:r>
        <w:rPr>
          <w:i/>
          <w:iCs/>
          <w:szCs w:val="22"/>
        </w:rPr>
        <w:t xml:space="preserve">ex parte </w:t>
      </w:r>
      <w:r>
        <w:rPr>
          <w:szCs w:val="22"/>
        </w:rPr>
        <w:t>rules.</w:t>
      </w:r>
      <w:r>
        <w:rPr>
          <w:szCs w:val="22"/>
          <w:vertAlign w:val="superscript"/>
        </w:rPr>
        <w:footnoteReference w:id="10"/>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presentation was made, and (2) summarize all data presented and arguments made during the presentation.</w:t>
      </w:r>
      <w:r>
        <w:rPr>
          <w:rStyle w:val="FootnoteReference"/>
        </w:rPr>
        <w:footnoteReference w:id="11"/>
      </w:r>
      <w:r>
        <w:rPr>
          <w:szCs w:val="22"/>
        </w:rPr>
        <w:t xml:space="preserve">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Section 1.1206(b) of the </w:t>
      </w:r>
      <w:r>
        <w:rPr>
          <w:szCs w:val="22"/>
        </w:rPr>
        <w:t xml:space="preserve">rules.  In proceedings governed by Section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parte </w:t>
      </w:r>
      <w:r>
        <w:rPr>
          <w:szCs w:val="22"/>
        </w:rPr>
        <w:t>rules.</w:t>
      </w:r>
    </w:p>
    <w:p w:rsidR="00B96447"/>
    <w:p w:rsidR="00EB7CF4"/>
    <w:p w:rsidR="00B96447">
      <w:pPr>
        <w:rPr>
          <w:b/>
          <w:szCs w:val="22"/>
        </w:rPr>
      </w:pPr>
      <w:r>
        <w:t xml:space="preserve">For additional information, contact Evan Baranoff, </w:t>
      </w:r>
      <w:hyperlink r:id="rId7" w:history="1">
        <w:r>
          <w:rPr>
            <w:rStyle w:val="Hyperlink"/>
          </w:rPr>
          <w:t>Evan.Baranoff@fcc.gov</w:t>
        </w:r>
      </w:hyperlink>
      <w:r>
        <w:t>, of the Media Bureau, Policy Division, (202) 418-7142.  Direct press inquiries to Janice Wise at (202) 418-8165.</w:t>
      </w:r>
    </w:p>
    <w:p w:rsidR="00B96447">
      <w:pPr>
        <w:rPr>
          <w:szCs w:val="22"/>
        </w:rPr>
      </w:pPr>
    </w:p>
    <w:p w:rsidR="00B96447">
      <w:pPr>
        <w:rPr>
          <w:szCs w:val="22"/>
        </w:rPr>
      </w:pPr>
    </w:p>
    <w:p w:rsidR="00B96447">
      <w:pPr>
        <w:jc w:val="center"/>
        <w:rPr>
          <w:b/>
          <w:szCs w:val="22"/>
        </w:rPr>
      </w:pPr>
      <w:r>
        <w:rPr>
          <w:b/>
          <w:szCs w:val="22"/>
        </w:rPr>
        <w:t>-FCC-</w:t>
      </w:r>
      <w:r w:rsidR="00CE2D2E">
        <w:rPr>
          <w:b/>
          <w:szCs w:val="22"/>
        </w:rPr>
        <w:t xml:space="preserve"> </w:t>
      </w:r>
    </w:p>
    <w:sectPr>
      <w:footerReference w:type="even" r:id="rId8"/>
      <w:footerReference w:type="default" r:id="rId9"/>
      <w:headerReference w:type="first" r:id="rId10"/>
      <w:footerReference w:type="first" r:id="rId11"/>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447">
    <w:pPr>
      <w:pStyle w:val="Footer"/>
      <w:framePr w:wrap="around" w:vAnchor="text" w:hAnchor="margin" w:xAlign="center" w:y="1"/>
    </w:pPr>
    <w:r>
      <w:fldChar w:fldCharType="begin"/>
    </w:r>
    <w:r>
      <w:instrText xml:space="preserve">PAGE  </w:instrText>
    </w:r>
    <w:r>
      <w:fldChar w:fldCharType="separate"/>
    </w:r>
    <w:r>
      <w:fldChar w:fldCharType="end"/>
    </w:r>
  </w:p>
  <w:p w:rsidR="00B96447">
    <w:pPr>
      <w:pStyle w:val="Footer"/>
    </w:pPr>
  </w:p>
  <w:p w:rsidR="00B964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447">
    <w:pPr>
      <w:pStyle w:val="Footer"/>
      <w:framePr w:wrap="around" w:vAnchor="text" w:hAnchor="margin" w:xAlign="center" w:y="1"/>
    </w:pPr>
    <w:r>
      <w:fldChar w:fldCharType="begin"/>
    </w:r>
    <w:r>
      <w:instrText xml:space="preserve">PAGE  </w:instrText>
    </w:r>
    <w:r>
      <w:fldChar w:fldCharType="separate"/>
    </w:r>
    <w:r>
      <w:rPr>
        <w:noProof/>
      </w:rPr>
      <w:t>3</w:t>
    </w:r>
    <w:r>
      <w:fldChar w:fldCharType="end"/>
    </w:r>
  </w:p>
  <w:p w:rsidR="00B964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4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029F">
      <w:r>
        <w:separator/>
      </w:r>
    </w:p>
  </w:footnote>
  <w:footnote w:type="continuationSeparator" w:id="1">
    <w:p w:rsidR="00DB029F">
      <w:pPr>
        <w:spacing w:before="120"/>
        <w:rPr>
          <w:sz w:val="20"/>
        </w:rPr>
      </w:pPr>
      <w:r>
        <w:rPr>
          <w:sz w:val="20"/>
        </w:rPr>
        <w:t xml:space="preserve">(Continued from previous page)  </w:t>
      </w:r>
      <w:r>
        <w:rPr>
          <w:sz w:val="20"/>
        </w:rPr>
        <w:separator/>
      </w:r>
    </w:p>
  </w:footnote>
  <w:footnote w:type="continuationNotice" w:id="2">
    <w:p w:rsidR="00DB029F">
      <w:pPr>
        <w:jc w:val="right"/>
        <w:rPr>
          <w:sz w:val="20"/>
        </w:rPr>
      </w:pPr>
      <w:r>
        <w:rPr>
          <w:sz w:val="20"/>
        </w:rPr>
        <w:t>(continued….)</w:t>
      </w:r>
    </w:p>
  </w:footnote>
  <w:footnote w:id="3">
    <w:p w:rsidR="002911B0" w:rsidP="002911B0">
      <w:pPr>
        <w:pStyle w:val="FootnoteText"/>
      </w:pPr>
      <w:r>
        <w:rPr>
          <w:rStyle w:val="FootnoteReference"/>
        </w:rPr>
        <w:footnoteRef/>
      </w:r>
      <w:r>
        <w:t xml:space="preserve"> </w:t>
      </w:r>
      <w:r>
        <w:rPr>
          <w:i/>
        </w:rPr>
        <w:t>See</w:t>
      </w:r>
      <w:r w:rsidR="00684A15">
        <w:rPr>
          <w:i/>
        </w:rPr>
        <w:t xml:space="preserve"> generally</w:t>
      </w:r>
      <w:r>
        <w:t xml:space="preserve"> Joint Petition for Rulemaking of America’s Public Television Stations, and The National Association of Broadcasters, GN Docket No. 16-142 (filed Oct. 3, 2019)</w:t>
      </w:r>
      <w:r w:rsidR="00684A15">
        <w:t xml:space="preserve"> (Joint Petition)</w:t>
      </w:r>
      <w:r>
        <w:t xml:space="preserve">. </w:t>
      </w:r>
      <w:r w:rsidR="00774066">
        <w:t xml:space="preserve"> </w:t>
      </w:r>
    </w:p>
  </w:footnote>
  <w:footnote w:id="4">
    <w:p w:rsidR="00D07034" w:rsidP="00D07034">
      <w:pPr>
        <w:pStyle w:val="FootnoteText"/>
      </w:pPr>
      <w:r>
        <w:rPr>
          <w:rStyle w:val="FootnoteReference"/>
        </w:rPr>
        <w:footnoteRef/>
      </w:r>
      <w:r>
        <w:t xml:space="preserve"> </w:t>
      </w:r>
      <w:r>
        <w:rPr>
          <w:i/>
        </w:rPr>
        <w:t>See</w:t>
      </w:r>
      <w:r>
        <w:t xml:space="preserve"> Joint Petition at 2. </w:t>
      </w:r>
    </w:p>
  </w:footnote>
  <w:footnote w:id="5">
    <w:p w:rsidR="00D07034">
      <w:pPr>
        <w:pStyle w:val="FootnoteText"/>
      </w:pPr>
      <w:r>
        <w:rPr>
          <w:rStyle w:val="FootnoteReference"/>
        </w:rPr>
        <w:footnoteRef/>
      </w:r>
      <w:r>
        <w:t xml:space="preserve"> </w:t>
      </w:r>
      <w:r w:rsidRPr="00D07034">
        <w:rPr>
          <w:i/>
        </w:rPr>
        <w:t>Id</w:t>
      </w:r>
      <w:r>
        <w:t>. at 1.</w:t>
      </w:r>
    </w:p>
  </w:footnote>
  <w:footnote w:id="6">
    <w:p w:rsidR="00D07034" w:rsidP="00D07034">
      <w:pPr>
        <w:pStyle w:val="FootnoteText"/>
      </w:pPr>
      <w:r>
        <w:rPr>
          <w:rStyle w:val="FootnoteReference"/>
        </w:rPr>
        <w:footnoteRef/>
      </w:r>
      <w:r>
        <w:t xml:space="preserve"> </w:t>
      </w:r>
      <w:r w:rsidRPr="00D07034">
        <w:rPr>
          <w:i/>
        </w:rPr>
        <w:t>Id</w:t>
      </w:r>
      <w:r>
        <w:t>. at 2.</w:t>
      </w:r>
    </w:p>
  </w:footnote>
  <w:footnote w:id="7">
    <w:p w:rsidR="00F73189" w:rsidP="00F73189">
      <w:pPr>
        <w:pStyle w:val="FootnoteText"/>
      </w:pPr>
      <w:r>
        <w:rPr>
          <w:rStyle w:val="FootnoteReference"/>
        </w:rPr>
        <w:footnoteRef/>
      </w:r>
      <w:r>
        <w:t xml:space="preserve"> </w:t>
      </w:r>
      <w:r w:rsidRPr="00D07034">
        <w:rPr>
          <w:i/>
        </w:rPr>
        <w:t>Id</w:t>
      </w:r>
      <w:r>
        <w:t>.</w:t>
      </w:r>
    </w:p>
  </w:footnote>
  <w:footnote w:id="8">
    <w:p w:rsidR="00B96447">
      <w:pPr>
        <w:pStyle w:val="FootnoteText"/>
      </w:pPr>
      <w:r>
        <w:rPr>
          <w:rStyle w:val="FootnoteReference"/>
        </w:rPr>
        <w:footnoteRef/>
      </w:r>
      <w:r>
        <w:t xml:space="preserve"> </w:t>
      </w:r>
      <w:r>
        <w:rPr>
          <w:szCs w:val="22"/>
        </w:rPr>
        <w:t>47 CFR §§ 1.415, 1.419.</w:t>
      </w:r>
    </w:p>
  </w:footnote>
  <w:footnote w:id="9">
    <w:p w:rsidR="00B96447">
      <w:pPr>
        <w:pStyle w:val="FootnoteText"/>
      </w:pPr>
      <w:r>
        <w:rPr>
          <w:rStyle w:val="FootnoteReference"/>
        </w:rPr>
        <w:footnoteRef/>
      </w:r>
      <w:r>
        <w:t xml:space="preserve"> </w:t>
      </w:r>
      <w:r>
        <w:rPr>
          <w:i/>
          <w:szCs w:val="22"/>
        </w:rPr>
        <w:t>See</w:t>
      </w:r>
      <w:r>
        <w:rPr>
          <w:szCs w:val="22"/>
        </w:rPr>
        <w:t xml:space="preserve"> </w:t>
      </w:r>
      <w:r>
        <w:rPr>
          <w:i/>
          <w:szCs w:val="22"/>
        </w:rPr>
        <w:t>Electronic Filing of Documents in Rulemaking Proceedings</w:t>
      </w:r>
      <w:r>
        <w:rPr>
          <w:szCs w:val="22"/>
        </w:rPr>
        <w:t>, Report and Order, 13 FCC Rcd 11322 (1998).</w:t>
      </w:r>
    </w:p>
  </w:footnote>
  <w:footnote w:id="10">
    <w:p w:rsidR="00B96447">
      <w:pPr>
        <w:pStyle w:val="FootnoteText"/>
        <w:rPr>
          <w:iCs/>
        </w:rPr>
      </w:pPr>
      <w:r>
        <w:rPr>
          <w:rStyle w:val="FootnoteReference"/>
        </w:rPr>
        <w:footnoteRef/>
      </w:r>
      <w:r>
        <w:t xml:space="preserve"> 47 C.F.R. §§ 1.1200 </w:t>
      </w:r>
      <w:r>
        <w:rPr>
          <w:i/>
          <w:iCs/>
        </w:rPr>
        <w:t xml:space="preserve">et seq. </w:t>
      </w:r>
    </w:p>
  </w:footnote>
  <w:footnote w:id="11">
    <w:p w:rsidR="00B96447">
      <w:pPr>
        <w:pStyle w:val="FootnoteText"/>
      </w:pPr>
      <w:r>
        <w:rPr>
          <w:rStyle w:val="FootnoteReference"/>
        </w:rPr>
        <w:footnoteRef/>
      </w:r>
      <w:r>
        <w:t xml:space="preserve"> </w:t>
      </w:r>
      <w:r>
        <w:rPr>
          <w:i/>
        </w:rPr>
        <w:t>See id</w:t>
      </w:r>
      <w:r>
        <w:t xml:space="preserve">. § 1.1206(b).  Memoranda must contain a summary of the substance of the </w:t>
      </w:r>
      <w:r>
        <w:rPr>
          <w:i/>
        </w:rPr>
        <w:t>ex parte</w:t>
      </w:r>
      <w:r>
        <w:t xml:space="preserve"> presentation and not merely a listing of the subjects discussed.  More than a one or two sentence description of the views and arguments presented is generally required.  </w:t>
      </w:r>
      <w:r>
        <w:rPr>
          <w:i/>
        </w:rPr>
        <w:t>See id</w:t>
      </w:r>
      <w:r>
        <w:t>. § 1.1206(b)(1).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447">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96447">
                          <w:pPr>
                            <w:rPr>
                              <w:rFonts w:ascii="Arial" w:hAnsi="Arial"/>
                              <w:b/>
                            </w:rPr>
                          </w:pPr>
                          <w:r>
                            <w:rPr>
                              <w:rFonts w:ascii="Arial" w:hAnsi="Arial"/>
                              <w:b/>
                            </w:rPr>
                            <w:t>Federal Communications Commission</w:t>
                          </w:r>
                        </w:p>
                        <w:p w:rsidR="00B9644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9644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B96447" w14:paraId="4A5F462E" w14:textId="77777777">
                    <w:pPr>
                      <w:rPr>
                        <w:rFonts w:ascii="Arial" w:hAnsi="Arial"/>
                        <w:b/>
                      </w:rPr>
                    </w:pPr>
                    <w:r>
                      <w:rPr>
                        <w:rFonts w:ascii="Arial" w:hAnsi="Arial"/>
                        <w:b/>
                      </w:rPr>
                      <w:t>Federal Communications Commission</w:t>
                    </w:r>
                  </w:p>
                  <w:p w:rsidR="00B96447" w14:paraId="44142BA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96447" w14:paraId="54DB707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2"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26391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B5A">
      <w:t>PUBLIC NOTICE</w:t>
    </w:r>
  </w:p>
  <w:p w:rsidR="00B9644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96447">
                          <w:pPr>
                            <w:spacing w:before="40"/>
                            <w:jc w:val="right"/>
                            <w:rPr>
                              <w:rFonts w:ascii="Arial" w:hAnsi="Arial"/>
                              <w:b/>
                              <w:sz w:val="16"/>
                            </w:rPr>
                          </w:pPr>
                          <w:r>
                            <w:rPr>
                              <w:rFonts w:ascii="Arial" w:hAnsi="Arial"/>
                              <w:b/>
                              <w:sz w:val="16"/>
                            </w:rPr>
                            <w:t>News Media Information 202 / 418-0500</w:t>
                          </w:r>
                        </w:p>
                        <w:p w:rsidR="00B9644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B9644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B96447">
                    <w:pPr>
                      <w:spacing w:before="40"/>
                      <w:jc w:val="right"/>
                      <w:rPr>
                        <w:rFonts w:ascii="Arial" w:hAnsi="Arial"/>
                        <w:b/>
                        <w:sz w:val="16"/>
                      </w:rPr>
                    </w:pPr>
                    <w:r>
                      <w:rPr>
                        <w:rFonts w:ascii="Arial" w:hAnsi="Arial"/>
                        <w:b/>
                        <w:sz w:val="16"/>
                      </w:rPr>
                      <w:t>News Media Information 202 / 418-0500</w:t>
                    </w:r>
                  </w:p>
                  <w:p w:rsidR="00B9644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B9644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7E"/>
    <w:rsid w:val="00004C42"/>
    <w:rsid w:val="00030CCE"/>
    <w:rsid w:val="000D336F"/>
    <w:rsid w:val="00114B5A"/>
    <w:rsid w:val="00154498"/>
    <w:rsid w:val="001805D3"/>
    <w:rsid w:val="001E2359"/>
    <w:rsid w:val="00223A25"/>
    <w:rsid w:val="002911B0"/>
    <w:rsid w:val="00293EEF"/>
    <w:rsid w:val="002E6F99"/>
    <w:rsid w:val="004A5A94"/>
    <w:rsid w:val="00503DE5"/>
    <w:rsid w:val="005344CA"/>
    <w:rsid w:val="005453CD"/>
    <w:rsid w:val="00546732"/>
    <w:rsid w:val="005E15F2"/>
    <w:rsid w:val="00684A15"/>
    <w:rsid w:val="006D77A6"/>
    <w:rsid w:val="00702080"/>
    <w:rsid w:val="007275CC"/>
    <w:rsid w:val="007570E5"/>
    <w:rsid w:val="00774066"/>
    <w:rsid w:val="0078174B"/>
    <w:rsid w:val="008051CB"/>
    <w:rsid w:val="008742E0"/>
    <w:rsid w:val="008F3102"/>
    <w:rsid w:val="00910ECA"/>
    <w:rsid w:val="00926DF8"/>
    <w:rsid w:val="00930BD9"/>
    <w:rsid w:val="009D7BB6"/>
    <w:rsid w:val="00A51465"/>
    <w:rsid w:val="00A97CAE"/>
    <w:rsid w:val="00AA585F"/>
    <w:rsid w:val="00AE39BA"/>
    <w:rsid w:val="00B66486"/>
    <w:rsid w:val="00B70EB5"/>
    <w:rsid w:val="00B96447"/>
    <w:rsid w:val="00C4687E"/>
    <w:rsid w:val="00CA5F72"/>
    <w:rsid w:val="00CE2D2E"/>
    <w:rsid w:val="00D036E8"/>
    <w:rsid w:val="00D07034"/>
    <w:rsid w:val="00D2111E"/>
    <w:rsid w:val="00DA52D1"/>
    <w:rsid w:val="00DB029F"/>
    <w:rsid w:val="00DD7A7C"/>
    <w:rsid w:val="00E17B3A"/>
    <w:rsid w:val="00E45118"/>
    <w:rsid w:val="00E47BE0"/>
    <w:rsid w:val="00E76C87"/>
    <w:rsid w:val="00EB7CF4"/>
    <w:rsid w:val="00EE3F6B"/>
    <w:rsid w:val="00F73189"/>
    <w:rsid w:val="00FC07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1 Char Char Char,Footnote Text Char1 Char Char1 Char,Footnote Text Char2 Char,Footnote Text Char3,Footnote Text Char3 Char Char Char Char Char"/>
    <w:link w:val="FootnoteTextChar"/>
    <w:pPr>
      <w:spacing w:after="120"/>
    </w:pPr>
  </w:style>
  <w:style w:type="character" w:styleId="FootnoteReference">
    <w:name w:val="footnote reference"/>
    <w:aliases w:val="(NECG) Footnote Reference,Appel note de bas de p,FR,Footnote Reference/,Style 12,Style 124,Style 13,Style 17,Style 6,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 w:type="character" w:customStyle="1" w:styleId="FootnoteTextChar">
    <w:name w:val="Footnote Text Char"/>
    <w:aliases w:val="ALTS FOOTNOTE Char,Footnote Text Char Char Char Char1,Footnote Text Char Char1 Char Char Char Char1,Footnote Text Char1 Char Char1 Char Char1,Footnote Text Char2 Char Char1,Footnote Text Char3 Char Char Char Char Char Char1"/>
    <w:basedOn w:val="DefaultParagraphFont"/>
    <w:link w:val="FootnoteText"/>
  </w:style>
  <w:style w:type="character" w:customStyle="1" w:styleId="FootnoteTextChar1">
    <w:name w:val="Footnote Text Char1"/>
    <w:aliases w:val="Footnote Text Char Char,Footnote Text Char Char Char Char,Footnote Text Char Char1 Char Char Char Char,Footnote Text Char1 Char Char1 Char Char,Footnote Text Char2 Char Char,Footnote Text Char3 Char Char Char Char Char Cha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Evan.Baranoff@fcc.gov" TargetMode="Externa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