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D5B16" w:rsidRPr="0031237C" w:rsidP="00DD5B16">
      <w:pPr>
        <w:jc w:val="right"/>
        <w:rPr>
          <w:b/>
          <w:szCs w:val="22"/>
        </w:rPr>
      </w:pPr>
      <w:bookmarkStart w:id="0" w:name="_Hlk502044717"/>
      <w:r w:rsidRPr="0031237C">
        <w:rPr>
          <w:b/>
          <w:szCs w:val="22"/>
        </w:rPr>
        <w:t>DA 19-</w:t>
      </w:r>
      <w:r w:rsidR="00A06C90">
        <w:rPr>
          <w:b/>
          <w:szCs w:val="22"/>
        </w:rPr>
        <w:t>1037</w:t>
      </w:r>
    </w:p>
    <w:p w:rsidR="00DD5B16" w:rsidRPr="0031237C" w:rsidP="00DD5B16">
      <w:pPr>
        <w:spacing w:before="60"/>
        <w:jc w:val="right"/>
        <w:rPr>
          <w:b/>
          <w:szCs w:val="22"/>
        </w:rPr>
      </w:pPr>
      <w:r w:rsidRPr="0031237C">
        <w:rPr>
          <w:b/>
          <w:szCs w:val="22"/>
        </w:rPr>
        <w:t xml:space="preserve">October </w:t>
      </w:r>
      <w:r w:rsidR="00DC7DA4">
        <w:rPr>
          <w:b/>
          <w:szCs w:val="22"/>
        </w:rPr>
        <w:t>11</w:t>
      </w:r>
      <w:r w:rsidRPr="0031237C">
        <w:rPr>
          <w:b/>
          <w:szCs w:val="22"/>
        </w:rPr>
        <w:t>, 2019</w:t>
      </w:r>
    </w:p>
    <w:p w:rsidR="00DD5B16" w:rsidRPr="0031237C" w:rsidP="00DD5B16">
      <w:pPr>
        <w:tabs>
          <w:tab w:val="left" w:pos="5900"/>
        </w:tabs>
        <w:rPr>
          <w:szCs w:val="22"/>
        </w:rPr>
      </w:pPr>
      <w:r w:rsidRPr="0031237C">
        <w:rPr>
          <w:szCs w:val="22"/>
        </w:rPr>
        <w:tab/>
      </w:r>
    </w:p>
    <w:p w:rsidR="00DD5B16" w:rsidRPr="0031237C" w:rsidP="00DD5B16">
      <w:pPr>
        <w:autoSpaceDE w:val="0"/>
        <w:autoSpaceDN w:val="0"/>
        <w:adjustRightInd w:val="0"/>
        <w:jc w:val="center"/>
        <w:rPr>
          <w:b/>
          <w:bCs/>
          <w:szCs w:val="22"/>
        </w:rPr>
      </w:pPr>
      <w:bookmarkStart w:id="1" w:name="_Hlk519509475"/>
      <w:bookmarkStart w:id="2" w:name="_Hlk516578398"/>
      <w:r w:rsidRPr="0031237C">
        <w:rPr>
          <w:b/>
          <w:bCs/>
          <w:szCs w:val="22"/>
        </w:rPr>
        <w:t xml:space="preserve">APPLICATIONS FILED FOR THE TRANSFER OF CONTROL OF </w:t>
      </w:r>
    </w:p>
    <w:p w:rsidR="00DD5B16" w:rsidRPr="0031237C" w:rsidP="00DD5B16">
      <w:pPr>
        <w:autoSpaceDE w:val="0"/>
        <w:autoSpaceDN w:val="0"/>
        <w:adjustRightInd w:val="0"/>
        <w:jc w:val="center"/>
        <w:rPr>
          <w:b/>
          <w:bCs/>
          <w:szCs w:val="22"/>
        </w:rPr>
      </w:pPr>
      <w:r w:rsidRPr="0031237C">
        <w:rPr>
          <w:b/>
          <w:bCs/>
          <w:szCs w:val="22"/>
        </w:rPr>
        <w:t xml:space="preserve">FUSION CONNECT, INC. AND SUBSIDIARIES </w:t>
      </w:r>
      <w:bookmarkEnd w:id="1"/>
      <w:bookmarkEnd w:id="2"/>
    </w:p>
    <w:p w:rsidR="00DD5B16" w:rsidRPr="0031237C" w:rsidP="00DD5B16">
      <w:pPr>
        <w:jc w:val="center"/>
        <w:rPr>
          <w:b/>
          <w:bCs/>
          <w:szCs w:val="22"/>
        </w:rPr>
      </w:pPr>
    </w:p>
    <w:p w:rsidR="00DD5B16" w:rsidRPr="0031237C" w:rsidP="00DD5B16">
      <w:pPr>
        <w:jc w:val="center"/>
        <w:rPr>
          <w:b/>
          <w:szCs w:val="22"/>
        </w:rPr>
      </w:pPr>
      <w:r w:rsidRPr="0031237C">
        <w:rPr>
          <w:b/>
          <w:szCs w:val="22"/>
        </w:rPr>
        <w:t>PLEADING CYCLE ESTABLISHED</w:t>
      </w:r>
    </w:p>
    <w:p w:rsidR="00DD5B16" w:rsidRPr="0031237C" w:rsidP="00DD5B16">
      <w:pPr>
        <w:jc w:val="center"/>
        <w:rPr>
          <w:b/>
          <w:szCs w:val="22"/>
        </w:rPr>
      </w:pPr>
    </w:p>
    <w:p w:rsidR="00DD5B16" w:rsidRPr="0031237C" w:rsidP="00DD5B16">
      <w:pPr>
        <w:jc w:val="center"/>
        <w:rPr>
          <w:b/>
          <w:szCs w:val="22"/>
        </w:rPr>
      </w:pPr>
      <w:r w:rsidRPr="0031237C">
        <w:rPr>
          <w:b/>
          <w:szCs w:val="22"/>
        </w:rPr>
        <w:t xml:space="preserve"> WC Docket No. 19-262</w:t>
      </w:r>
    </w:p>
    <w:p w:rsidR="00DD5B16" w:rsidRPr="0031237C" w:rsidP="00DD5B16">
      <w:pPr>
        <w:jc w:val="center"/>
        <w:rPr>
          <w:szCs w:val="22"/>
        </w:rPr>
      </w:pPr>
      <w:bookmarkStart w:id="3" w:name="_GoBack"/>
      <w:bookmarkEnd w:id="3"/>
    </w:p>
    <w:p w:rsidR="00DD5B16" w:rsidRPr="0031237C" w:rsidP="00DD5B16">
      <w:pPr>
        <w:pStyle w:val="NoSpacing"/>
        <w:rPr>
          <w:b/>
          <w:szCs w:val="22"/>
        </w:rPr>
      </w:pPr>
      <w:r w:rsidRPr="0031237C">
        <w:rPr>
          <w:b/>
          <w:szCs w:val="22"/>
        </w:rPr>
        <w:t xml:space="preserve">Comments Due:  October </w:t>
      </w:r>
      <w:r w:rsidR="00DC7DA4">
        <w:rPr>
          <w:b/>
          <w:szCs w:val="22"/>
        </w:rPr>
        <w:t>25</w:t>
      </w:r>
      <w:r w:rsidRPr="0031237C">
        <w:rPr>
          <w:b/>
          <w:szCs w:val="22"/>
        </w:rPr>
        <w:t>, 2019</w:t>
      </w:r>
    </w:p>
    <w:p w:rsidR="00DD5B16" w:rsidRPr="0031237C" w:rsidP="00DD5B16">
      <w:pPr>
        <w:pStyle w:val="NoSpacing"/>
        <w:rPr>
          <w:b/>
          <w:szCs w:val="22"/>
        </w:rPr>
      </w:pPr>
      <w:r w:rsidRPr="0031237C">
        <w:rPr>
          <w:b/>
          <w:szCs w:val="22"/>
        </w:rPr>
        <w:t xml:space="preserve">Reply Comments Due:  </w:t>
      </w:r>
      <w:r w:rsidR="00DC7DA4">
        <w:rPr>
          <w:b/>
          <w:szCs w:val="22"/>
        </w:rPr>
        <w:t>November 1</w:t>
      </w:r>
      <w:r w:rsidRPr="0031237C">
        <w:rPr>
          <w:b/>
          <w:szCs w:val="22"/>
        </w:rPr>
        <w:t>, 2019</w:t>
      </w:r>
    </w:p>
    <w:p w:rsidR="00DD5B16" w:rsidRPr="0031237C" w:rsidP="00DD5B16">
      <w:pPr>
        <w:autoSpaceDE w:val="0"/>
        <w:autoSpaceDN w:val="0"/>
        <w:adjustRightInd w:val="0"/>
        <w:rPr>
          <w:rFonts w:ascii="TimesNewRomanPSMT" w:hAnsi="TimesNewRomanPSMT" w:cs="TimesNewRomanPSMT"/>
          <w:szCs w:val="22"/>
        </w:rPr>
      </w:pPr>
    </w:p>
    <w:p w:rsidR="00DD5B16" w:rsidP="00DD5B16">
      <w:pPr>
        <w:autoSpaceDE w:val="0"/>
        <w:autoSpaceDN w:val="0"/>
        <w:adjustRightInd w:val="0"/>
        <w:ind w:firstLine="720"/>
        <w:rPr>
          <w:szCs w:val="22"/>
        </w:rPr>
      </w:pPr>
      <w:r w:rsidRPr="0031237C">
        <w:rPr>
          <w:szCs w:val="22"/>
        </w:rPr>
        <w:t>By this Public Notice, the Wireline Competition Bureau and International Bureau seek comment from interested parties on applications filed by</w:t>
      </w:r>
      <w:r w:rsidRPr="0031237C">
        <w:rPr>
          <w:color w:val="231F20"/>
          <w:szCs w:val="22"/>
        </w:rPr>
        <w:t xml:space="preserve"> </w:t>
      </w:r>
      <w:r w:rsidRPr="0031237C">
        <w:rPr>
          <w:szCs w:val="22"/>
        </w:rPr>
        <w:t>Fusion Connect, Inc., debtor-in-possession (Fusion Connect), and Telecom Holdings LLC (Telecom Holdings, together with Fusion Connect, Applicants</w:t>
      </w:r>
      <w:r w:rsidRPr="009463B9">
        <w:rPr>
          <w:szCs w:val="22"/>
        </w:rPr>
        <w:t xml:space="preserve">), </w:t>
      </w:r>
      <w:r w:rsidRPr="007656E1">
        <w:rPr>
          <w:snapToGrid w:val="0"/>
          <w:kern w:val="28"/>
          <w:szCs w:val="22"/>
        </w:rPr>
        <w:t>pursuant to section 214 of the Communications Act of 1934, as amended (Act), and sections 63.03-04, 63.18, and 63.24 of the Commission’s rules</w:t>
      </w:r>
      <w:r>
        <w:rPr>
          <w:snapToGrid w:val="0"/>
          <w:kern w:val="28"/>
          <w:szCs w:val="22"/>
          <w:vertAlign w:val="superscript"/>
        </w:rPr>
        <w:footnoteReference w:id="3"/>
      </w:r>
      <w:r>
        <w:rPr>
          <w:snapToGrid w:val="0"/>
          <w:kern w:val="28"/>
          <w:szCs w:val="22"/>
        </w:rPr>
        <w:t xml:space="preserve"> </w:t>
      </w:r>
      <w:r w:rsidRPr="009463B9">
        <w:rPr>
          <w:szCs w:val="22"/>
        </w:rPr>
        <w:t xml:space="preserve">requesting consent </w:t>
      </w:r>
      <w:r>
        <w:rPr>
          <w:szCs w:val="22"/>
        </w:rPr>
        <w:t>for the transfer of control of Fusion Connect and its subsidiaries to Telecom Holdings.</w:t>
      </w:r>
      <w:r>
        <w:rPr>
          <w:rStyle w:val="FootnoteReference"/>
          <w:szCs w:val="22"/>
        </w:rPr>
        <w:footnoteReference w:id="4"/>
      </w:r>
      <w:r>
        <w:rPr>
          <w:szCs w:val="22"/>
        </w:rPr>
        <w:t xml:space="preserve">  Applicants also filed a petition requesting a temporary and limited waiver</w:t>
      </w:r>
      <w:r>
        <w:rPr>
          <w:rStyle w:val="FootnoteReference"/>
          <w:szCs w:val="22"/>
        </w:rPr>
        <w:footnoteReference w:id="5"/>
      </w:r>
      <w:r>
        <w:rPr>
          <w:szCs w:val="22"/>
        </w:rPr>
        <w:t xml:space="preserve"> of sections 1.2112, 1.5000(a)(1), 63.03, 63.04, 63.18, and 63.24 of the rules.</w:t>
      </w:r>
      <w:r>
        <w:rPr>
          <w:rStyle w:val="FootnoteReference"/>
          <w:szCs w:val="22"/>
        </w:rPr>
        <w:footnoteReference w:id="6"/>
      </w:r>
      <w:r>
        <w:rPr>
          <w:szCs w:val="22"/>
        </w:rPr>
        <w:t xml:space="preserve">      </w:t>
      </w:r>
    </w:p>
    <w:p w:rsidR="00DD5B16" w:rsidP="00DD5B16">
      <w:pPr>
        <w:autoSpaceDE w:val="0"/>
        <w:autoSpaceDN w:val="0"/>
        <w:adjustRightInd w:val="0"/>
        <w:rPr>
          <w:szCs w:val="22"/>
        </w:rPr>
      </w:pPr>
    </w:p>
    <w:p w:rsidR="00DD5B16" w:rsidP="00DD5B16">
      <w:pPr>
        <w:autoSpaceDE w:val="0"/>
        <w:autoSpaceDN w:val="0"/>
        <w:adjustRightInd w:val="0"/>
        <w:ind w:firstLine="720"/>
        <w:rPr>
          <w:szCs w:val="22"/>
        </w:rPr>
      </w:pPr>
      <w:r>
        <w:rPr>
          <w:szCs w:val="22"/>
        </w:rPr>
        <w:t>Fusion Connect is a publicly traded Delaware corporation.  Through the following subsidiaries, it provides competitive telecommunications services primarily to business customers located throughout the United States:  Fusion LLC, Fusion Cloud Services, LLC, Fusion Communications, LLC, Fusion Telecom of Kansas, LLC, Fusion Telecom of Missouri, LLC, Fusion Telecom of Oklahoma, LLC, and Fusion Telecom of Texas Ltd., LLP (collectively, Fusion Companies).</w:t>
      </w:r>
      <w:r>
        <w:rPr>
          <w:rStyle w:val="FootnoteReference"/>
          <w:szCs w:val="22"/>
        </w:rPr>
        <w:footnoteReference w:id="7"/>
      </w:r>
      <w:r>
        <w:rPr>
          <w:szCs w:val="22"/>
        </w:rPr>
        <w:t xml:space="preserve">    </w:t>
      </w:r>
    </w:p>
    <w:p w:rsidR="00DD5B16" w:rsidRPr="009463B9" w:rsidP="00DD5B16">
      <w:pPr>
        <w:autoSpaceDE w:val="0"/>
        <w:autoSpaceDN w:val="0"/>
        <w:adjustRightInd w:val="0"/>
        <w:ind w:firstLine="720"/>
        <w:rPr>
          <w:szCs w:val="22"/>
        </w:rPr>
      </w:pPr>
      <w:bookmarkStart w:id="5" w:name="_Hlk21685563"/>
      <w:r>
        <w:rPr>
          <w:szCs w:val="22"/>
        </w:rPr>
        <w:t>Telecom Holdings, a Delaware limited liability company, is a holding company that does not provide telecommunication services, and upon emergence from bankruptcy, will hold more than 50% of the new common stock of reorganized Fusion Connect (Reorganized FCI) and equivalent indirect interests in each of the Fusion Companies.</w:t>
      </w:r>
      <w:r>
        <w:rPr>
          <w:rStyle w:val="FootnoteReference"/>
          <w:szCs w:val="22"/>
        </w:rPr>
        <w:footnoteReference w:id="8"/>
      </w:r>
      <w:r>
        <w:rPr>
          <w:szCs w:val="22"/>
        </w:rPr>
        <w:t xml:space="preserve">  Telecom Holdings is owned on a pro rata basis by 12 U.S. citizens, none of whom will hold a direct or indirect interest in Reorganized FCI of 10% or more</w:t>
      </w:r>
      <w:bookmarkEnd w:id="5"/>
      <w:r>
        <w:rPr>
          <w:szCs w:val="22"/>
        </w:rPr>
        <w:t>.</w:t>
      </w:r>
      <w:r>
        <w:rPr>
          <w:rStyle w:val="FootnoteReference"/>
          <w:szCs w:val="22"/>
        </w:rPr>
        <w:footnoteReference w:id="9"/>
      </w:r>
      <w:r>
        <w:rPr>
          <w:szCs w:val="22"/>
        </w:rPr>
        <w:t xml:space="preserve">  None of the members of Telecom Holdings hold interests in any telecommunications provider.</w:t>
      </w:r>
      <w:r>
        <w:rPr>
          <w:rStyle w:val="FootnoteReference"/>
          <w:szCs w:val="22"/>
        </w:rPr>
        <w:footnoteReference w:id="10"/>
      </w:r>
      <w:r>
        <w:rPr>
          <w:szCs w:val="22"/>
        </w:rPr>
        <w:t xml:space="preserve">    </w:t>
      </w:r>
    </w:p>
    <w:p w:rsidR="00DD5B16" w:rsidRPr="004F731A" w:rsidP="00DD5B16">
      <w:pPr>
        <w:autoSpaceDE w:val="0"/>
        <w:autoSpaceDN w:val="0"/>
        <w:adjustRightInd w:val="0"/>
        <w:rPr>
          <w:szCs w:val="22"/>
        </w:rPr>
      </w:pPr>
    </w:p>
    <w:p w:rsidR="00DD5B16" w:rsidP="00DD5B16">
      <w:pPr>
        <w:autoSpaceDE w:val="0"/>
        <w:autoSpaceDN w:val="0"/>
        <w:adjustRightInd w:val="0"/>
        <w:ind w:firstLine="720"/>
      </w:pPr>
      <w:bookmarkStart w:id="6" w:name="_Hlk21685671"/>
      <w:r>
        <w:rPr>
          <w:szCs w:val="22"/>
        </w:rPr>
        <w:t xml:space="preserve">The proposed </w:t>
      </w:r>
      <w:r>
        <w:t>transfer of control would result from an agreement by an ad hoc group consisting of the majority of the holders of Fusion Connect’s first lien debt (the Lenders) to exchange a portion of their debt for, among other things, the common stock of the Reorganized FCI  that is issued at emergence</w:t>
      </w:r>
      <w:bookmarkEnd w:id="6"/>
      <w:r>
        <w:t>.</w:t>
      </w:r>
      <w:r>
        <w:rPr>
          <w:rStyle w:val="FootnoteReference"/>
        </w:rPr>
        <w:footnoteReference w:id="11"/>
      </w:r>
      <w:r>
        <w:t xml:space="preserve">  U</w:t>
      </w:r>
      <w:r w:rsidRPr="00E704CE">
        <w:t>nder the Fusion Companies’ Chapter 11 Plan of Reorganization, all current equity interests in Fusion Connect will be cancelled, certain debt will be extinguished, and the Lenders will receive new common stock or special warrants (Special Warrants) in Reorganized FCI.</w:t>
      </w:r>
      <w:r>
        <w:rPr>
          <w:rStyle w:val="FootnoteReference"/>
        </w:rPr>
        <w:footnoteReference w:id="12"/>
      </w:r>
      <w:r>
        <w:t xml:space="preserve">  Upon emergence from bankruptcy, Telecom Holdings will hold more than 50% of the new common stock and have control of the Fusion Companies.</w:t>
      </w:r>
      <w:r>
        <w:rPr>
          <w:rStyle w:val="FootnoteReference"/>
        </w:rPr>
        <w:footnoteReference w:id="13"/>
      </w:r>
      <w:r>
        <w:t xml:space="preserve">    </w:t>
      </w:r>
    </w:p>
    <w:p w:rsidR="00DD5B16" w:rsidP="00DD5B16">
      <w:pPr>
        <w:autoSpaceDE w:val="0"/>
        <w:autoSpaceDN w:val="0"/>
        <w:adjustRightInd w:val="0"/>
        <w:ind w:firstLine="720"/>
      </w:pPr>
    </w:p>
    <w:p w:rsidR="00DD5B16" w:rsidP="00DD5B16">
      <w:pPr>
        <w:autoSpaceDE w:val="0"/>
        <w:autoSpaceDN w:val="0"/>
        <w:adjustRightInd w:val="0"/>
        <w:ind w:firstLine="720"/>
        <w:rPr>
          <w:szCs w:val="22"/>
        </w:rPr>
      </w:pPr>
      <w:r>
        <w:t>According to Applicants,</w:t>
      </w:r>
      <w:r w:rsidRPr="00E704CE">
        <w:t xml:space="preserve"> </w:t>
      </w:r>
      <w:r>
        <w:t>t</w:t>
      </w:r>
      <w:r w:rsidRPr="00E704CE">
        <w:t>he Special Warrants</w:t>
      </w:r>
      <w:r>
        <w:t xml:space="preserve"> that </w:t>
      </w:r>
      <w:r w:rsidRPr="00E704CE">
        <w:t xml:space="preserve">will be issued to certain Lenders </w:t>
      </w:r>
      <w:r>
        <w:t>r</w:t>
      </w:r>
      <w:r w:rsidRPr="00E704CE">
        <w:t>epresent a future right to acquire shares of new common stock of Reorganized FCI.</w:t>
      </w:r>
      <w:r>
        <w:rPr>
          <w:rStyle w:val="FootnoteReference"/>
        </w:rPr>
        <w:footnoteReference w:id="14"/>
      </w:r>
      <w:r>
        <w:t xml:space="preserve">  </w:t>
      </w:r>
      <w:r w:rsidRPr="00E704CE">
        <w:t>Applicants</w:t>
      </w:r>
      <w:r>
        <w:t xml:space="preserve"> state that</w:t>
      </w:r>
      <w:r w:rsidRPr="00E704CE">
        <w:t xml:space="preserve"> </w:t>
      </w:r>
      <w:r>
        <w:t>the exercise of the Special Warrants may result in a change in ownership that will require subsequent filings with the Commission</w:t>
      </w:r>
      <w:r w:rsidR="00D8040C">
        <w:t>,</w:t>
      </w:r>
      <w:r>
        <w:t xml:space="preserve"> but they </w:t>
      </w:r>
      <w:r w:rsidRPr="00E704CE">
        <w:t xml:space="preserve">are not seeking approval of any </w:t>
      </w:r>
      <w:r>
        <w:t xml:space="preserve">such </w:t>
      </w:r>
      <w:r w:rsidRPr="00E704CE">
        <w:t xml:space="preserve">ownership changes </w:t>
      </w:r>
      <w:r>
        <w:t>at this time</w:t>
      </w:r>
      <w:r w:rsidRPr="00E704CE">
        <w:t>.</w:t>
      </w:r>
      <w:r>
        <w:rPr>
          <w:rStyle w:val="FootnoteReference"/>
        </w:rPr>
        <w:footnoteReference w:id="15"/>
      </w:r>
      <w:r>
        <w:t xml:space="preserve">  Applicants explain that they have filed the </w:t>
      </w:r>
      <w:r>
        <w:rPr>
          <w:szCs w:val="22"/>
        </w:rPr>
        <w:t>Waiver Request</w:t>
      </w:r>
      <w:r w:rsidR="0064795F">
        <w:rPr>
          <w:szCs w:val="22"/>
        </w:rPr>
        <w:t>,</w:t>
      </w:r>
      <w:r>
        <w:rPr>
          <w:szCs w:val="22"/>
        </w:rPr>
        <w:t xml:space="preserve"> if and to the extent it is deemed necessary</w:t>
      </w:r>
      <w:r w:rsidR="0064795F">
        <w:rPr>
          <w:szCs w:val="22"/>
        </w:rPr>
        <w:t>,</w:t>
      </w:r>
      <w:r>
        <w:rPr>
          <w:szCs w:val="22"/>
        </w:rPr>
        <w:t xml:space="preserve"> in order to enable the Fusion Companies to emerge from bankruptcy in a timely fashion as set forth in the Applications.</w:t>
      </w:r>
      <w:r>
        <w:rPr>
          <w:rStyle w:val="FootnoteReference"/>
          <w:szCs w:val="22"/>
        </w:rPr>
        <w:footnoteReference w:id="16"/>
      </w:r>
      <w:r>
        <w:t xml:space="preserve">  According to the Waiver Request, grant of the waiver</w:t>
      </w:r>
      <w:r>
        <w:rPr>
          <w:szCs w:val="22"/>
        </w:rPr>
        <w:t xml:space="preserve"> will allow the Fusion Companies “to emerge from bankruptcy protection </w:t>
      </w:r>
      <w:r w:rsidRPr="00F536C1">
        <w:rPr>
          <w:i/>
        </w:rPr>
        <w:t>before</w:t>
      </w:r>
      <w:r>
        <w:rPr>
          <w:szCs w:val="22"/>
        </w:rPr>
        <w:t xml:space="preserve"> filing any applications for approval that will be required in connection with the exercise of the </w:t>
      </w:r>
      <w:r w:rsidR="00DC7DA4">
        <w:rPr>
          <w:szCs w:val="22"/>
        </w:rPr>
        <w:t>s</w:t>
      </w:r>
      <w:r>
        <w:rPr>
          <w:szCs w:val="22"/>
        </w:rPr>
        <w:t xml:space="preserve">pecial </w:t>
      </w:r>
      <w:r w:rsidR="00DC7DA4">
        <w:rPr>
          <w:szCs w:val="22"/>
        </w:rPr>
        <w:t>w</w:t>
      </w:r>
      <w:r>
        <w:rPr>
          <w:szCs w:val="22"/>
        </w:rPr>
        <w:t xml:space="preserve">arrants: specifically, a petition for declaratory ruling that will be required with respect to foreign ownership exceeding the 25% level set forth in section 310(b)(4) of the </w:t>
      </w:r>
      <w:r w:rsidR="00D8040C">
        <w:rPr>
          <w:szCs w:val="22"/>
        </w:rPr>
        <w:t xml:space="preserve">Communications </w:t>
      </w:r>
      <w:r>
        <w:rPr>
          <w:szCs w:val="22"/>
        </w:rPr>
        <w:t xml:space="preserve">Act and transfer of control applications pursuant to </w:t>
      </w:r>
      <w:r w:rsidR="00D8040C">
        <w:rPr>
          <w:szCs w:val="22"/>
        </w:rPr>
        <w:t>S</w:t>
      </w:r>
      <w:r>
        <w:rPr>
          <w:szCs w:val="22"/>
        </w:rPr>
        <w:t xml:space="preserve">ection 214 and </w:t>
      </w:r>
      <w:r w:rsidR="00D8040C">
        <w:rPr>
          <w:szCs w:val="22"/>
        </w:rPr>
        <w:t xml:space="preserve">Section </w:t>
      </w:r>
      <w:r w:rsidRPr="00F536C1">
        <w:rPr>
          <w:szCs w:val="22"/>
        </w:rPr>
        <w:t>310</w:t>
      </w:r>
      <w:r>
        <w:rPr>
          <w:szCs w:val="22"/>
        </w:rPr>
        <w:t xml:space="preserve"> that will be required for approval of the ownership of the Fusion Companies once</w:t>
      </w:r>
      <w:r w:rsidR="00DC7DA4">
        <w:rPr>
          <w:szCs w:val="22"/>
        </w:rPr>
        <w:t xml:space="preserve"> s</w:t>
      </w:r>
      <w:r>
        <w:rPr>
          <w:szCs w:val="22"/>
        </w:rPr>
        <w:t xml:space="preserve">pecial </w:t>
      </w:r>
      <w:r w:rsidR="00DC7DA4">
        <w:rPr>
          <w:szCs w:val="22"/>
        </w:rPr>
        <w:t>w</w:t>
      </w:r>
      <w:r>
        <w:rPr>
          <w:szCs w:val="22"/>
        </w:rPr>
        <w:t>arrants have been exercised.”</w:t>
      </w:r>
      <w:r>
        <w:rPr>
          <w:rStyle w:val="FootnoteReference"/>
          <w:szCs w:val="22"/>
        </w:rPr>
        <w:footnoteReference w:id="17"/>
      </w:r>
      <w:r>
        <w:rPr>
          <w:szCs w:val="22"/>
        </w:rPr>
        <w:t xml:space="preserve">  Applicants state that they intend to file applications for a transfer of control of the Fusion Companies and a petition to seek approval to exceed the foreign ownership benchmark in </w:t>
      </w:r>
      <w:r w:rsidR="00DC7DA4">
        <w:rPr>
          <w:szCs w:val="22"/>
        </w:rPr>
        <w:t>s</w:t>
      </w:r>
      <w:r>
        <w:rPr>
          <w:szCs w:val="22"/>
        </w:rPr>
        <w:t>ection 310(b)(4) within 30 days of emergence from bankruptcy protection.</w:t>
      </w:r>
      <w:r>
        <w:rPr>
          <w:rStyle w:val="FootnoteReference"/>
          <w:szCs w:val="22"/>
        </w:rPr>
        <w:footnoteReference w:id="18"/>
      </w:r>
      <w:r>
        <w:rPr>
          <w:szCs w:val="22"/>
        </w:rPr>
        <w:t xml:space="preserve">  Applicants </w:t>
      </w:r>
      <w:r w:rsidRPr="00F536C1">
        <w:rPr>
          <w:szCs w:val="22"/>
        </w:rPr>
        <w:t>request—to the extent the waivers of sections 1.2112, 1.5000(a)(1), 63.03, 63.04, 63.18, and 63.24 are necessary—</w:t>
      </w:r>
      <w:r>
        <w:rPr>
          <w:szCs w:val="22"/>
        </w:rPr>
        <w:t xml:space="preserve"> that grant of the Waiver Request include a requirement that they file a petition for declaratory ruling and the transfer of control applications within </w:t>
      </w:r>
      <w:r w:rsidR="00DC7DA4">
        <w:rPr>
          <w:szCs w:val="22"/>
        </w:rPr>
        <w:t>30 days</w:t>
      </w:r>
      <w:r>
        <w:rPr>
          <w:szCs w:val="22"/>
        </w:rPr>
        <w:t xml:space="preserve"> following emergence from chapter 11 protection to reflect the exercise of the Special Warrants.</w:t>
      </w:r>
      <w:r>
        <w:rPr>
          <w:rStyle w:val="FootnoteReference"/>
          <w:szCs w:val="22"/>
        </w:rPr>
        <w:footnoteReference w:id="19"/>
      </w:r>
      <w:r>
        <w:rPr>
          <w:szCs w:val="22"/>
        </w:rPr>
        <w:t xml:space="preserve">   </w:t>
      </w:r>
    </w:p>
    <w:p w:rsidR="00DD5B16" w:rsidP="00DD5B16">
      <w:pPr>
        <w:autoSpaceDE w:val="0"/>
        <w:autoSpaceDN w:val="0"/>
        <w:adjustRightInd w:val="0"/>
        <w:rPr>
          <w:szCs w:val="22"/>
        </w:rPr>
      </w:pPr>
    </w:p>
    <w:p w:rsidR="00DD5B16" w:rsidRPr="006F1A16" w:rsidP="00DD5B16">
      <w:pPr>
        <w:autoSpaceDE w:val="0"/>
        <w:autoSpaceDN w:val="0"/>
        <w:adjustRightInd w:val="0"/>
        <w:ind w:firstLine="720"/>
        <w:rPr>
          <w:color w:val="020100"/>
          <w:szCs w:val="22"/>
        </w:rPr>
      </w:pPr>
      <w:r w:rsidRPr="00C054CA">
        <w:rPr>
          <w:szCs w:val="22"/>
        </w:rPr>
        <w:t xml:space="preserve">Applicants </w:t>
      </w:r>
      <w:r>
        <w:rPr>
          <w:szCs w:val="22"/>
        </w:rPr>
        <w:t xml:space="preserve">assert </w:t>
      </w:r>
      <w:r w:rsidRPr="00C054CA">
        <w:rPr>
          <w:szCs w:val="22"/>
        </w:rPr>
        <w:t xml:space="preserve">that the proposed transaction would allow the Fusion Companies to emerge from bankruptcy protection </w:t>
      </w:r>
      <w:r>
        <w:rPr>
          <w:szCs w:val="22"/>
        </w:rPr>
        <w:t>as financially stronger and more competitive participants for telecommunications services.</w:t>
      </w:r>
      <w:r>
        <w:rPr>
          <w:rStyle w:val="FootnoteReference"/>
          <w:szCs w:val="22"/>
        </w:rPr>
        <w:footnoteReference w:id="20"/>
      </w:r>
      <w:r>
        <w:rPr>
          <w:szCs w:val="22"/>
        </w:rPr>
        <w:t xml:space="preserve">  </w:t>
      </w:r>
    </w:p>
    <w:p w:rsidR="00DD5B16" w:rsidRPr="004F731A" w:rsidP="00DD5B16">
      <w:pPr>
        <w:autoSpaceDE w:val="0"/>
        <w:autoSpaceDN w:val="0"/>
        <w:adjustRightInd w:val="0"/>
        <w:rPr>
          <w:szCs w:val="22"/>
        </w:rPr>
      </w:pPr>
    </w:p>
    <w:p w:rsidR="00DD5B16" w:rsidRPr="004E75F5" w:rsidP="00DD5B16">
      <w:pPr>
        <w:autoSpaceDE w:val="0"/>
        <w:autoSpaceDN w:val="0"/>
        <w:adjustRightInd w:val="0"/>
        <w:rPr>
          <w:szCs w:val="22"/>
        </w:rPr>
      </w:pPr>
      <w:r w:rsidRPr="0009631D">
        <w:rPr>
          <w:b/>
          <w:color w:val="000000"/>
          <w:szCs w:val="22"/>
          <w:u w:val="single"/>
        </w:rPr>
        <w:t>GENERAL INFORMATION</w:t>
      </w:r>
    </w:p>
    <w:p w:rsidR="00DD5B16" w:rsidRPr="0009631D" w:rsidP="00DD5B16">
      <w:pPr>
        <w:rPr>
          <w:color w:val="000000"/>
          <w:szCs w:val="22"/>
        </w:rPr>
      </w:pPr>
    </w:p>
    <w:p w:rsidR="00DD5B16" w:rsidRPr="0009631D" w:rsidP="00DD5B16">
      <w:pPr>
        <w:ind w:firstLine="720"/>
        <w:rPr>
          <w:color w:val="000000"/>
          <w:szCs w:val="22"/>
        </w:rPr>
      </w:pPr>
      <w:r w:rsidRPr="0009631D">
        <w:rPr>
          <w:color w:val="000000"/>
          <w:szCs w:val="22"/>
        </w:rPr>
        <w:t>The application</w:t>
      </w:r>
      <w:r>
        <w:rPr>
          <w:color w:val="000000"/>
          <w:szCs w:val="22"/>
        </w:rPr>
        <w:t>s</w:t>
      </w:r>
      <w:r w:rsidRPr="0009631D">
        <w:rPr>
          <w:color w:val="000000"/>
          <w:szCs w:val="22"/>
        </w:rPr>
        <w:t xml:space="preserve"> identified herein ha</w:t>
      </w:r>
      <w:r>
        <w:rPr>
          <w:color w:val="000000"/>
          <w:szCs w:val="22"/>
        </w:rPr>
        <w:t>ve</w:t>
      </w:r>
      <w:r w:rsidRPr="0009631D">
        <w:rPr>
          <w:color w:val="000000"/>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DD5B16" w:rsidRPr="0009631D" w:rsidP="00DD5B16">
      <w:pPr>
        <w:rPr>
          <w:color w:val="000000"/>
          <w:szCs w:val="22"/>
        </w:rPr>
      </w:pPr>
    </w:p>
    <w:p w:rsidR="00DD5B16" w:rsidRPr="0009631D" w:rsidP="00DD5B16">
      <w:pPr>
        <w:ind w:firstLine="360"/>
        <w:rPr>
          <w:color w:val="000000"/>
          <w:szCs w:val="22"/>
        </w:rPr>
      </w:pPr>
      <w:r w:rsidRPr="0009631D">
        <w:rPr>
          <w:color w:val="000000"/>
          <w:szCs w:val="22"/>
        </w:rPr>
        <w:t xml:space="preserve">Interested parties may file comments and </w:t>
      </w:r>
      <w:r w:rsidRPr="00AF1348">
        <w:rPr>
          <w:color w:val="000000"/>
          <w:szCs w:val="22"/>
        </w:rPr>
        <w:t xml:space="preserve">petitions </w:t>
      </w:r>
      <w:r w:rsidRPr="00AF1348">
        <w:rPr>
          <w:b/>
          <w:color w:val="000000"/>
          <w:szCs w:val="22"/>
        </w:rPr>
        <w:t>on or</w:t>
      </w:r>
      <w:r w:rsidRPr="00AF1348">
        <w:rPr>
          <w:color w:val="000000"/>
          <w:szCs w:val="22"/>
        </w:rPr>
        <w:t xml:space="preserve"> </w:t>
      </w:r>
      <w:r w:rsidRPr="00AF1348">
        <w:rPr>
          <w:b/>
          <w:color w:val="000000"/>
          <w:szCs w:val="22"/>
        </w:rPr>
        <w:t xml:space="preserve">before </w:t>
      </w:r>
      <w:r>
        <w:rPr>
          <w:b/>
          <w:color w:val="000000"/>
          <w:szCs w:val="22"/>
        </w:rPr>
        <w:t>October</w:t>
      </w:r>
      <w:r w:rsidRPr="00AF1348">
        <w:rPr>
          <w:b/>
          <w:color w:val="000000"/>
          <w:szCs w:val="22"/>
        </w:rPr>
        <w:t xml:space="preserve"> </w:t>
      </w:r>
      <w:r w:rsidR="00DC7DA4">
        <w:rPr>
          <w:b/>
          <w:color w:val="000000"/>
          <w:szCs w:val="22"/>
        </w:rPr>
        <w:t>25</w:t>
      </w:r>
      <w:r w:rsidRPr="00AF1348">
        <w:rPr>
          <w:b/>
          <w:color w:val="000000"/>
          <w:szCs w:val="22"/>
        </w:rPr>
        <w:t>, 2019</w:t>
      </w:r>
      <w:r w:rsidRPr="0009631D">
        <w:rPr>
          <w:b/>
          <w:color w:val="000000"/>
          <w:szCs w:val="22"/>
        </w:rPr>
        <w:t>,</w:t>
      </w:r>
      <w:r w:rsidRPr="0009631D">
        <w:rPr>
          <w:color w:val="000000"/>
          <w:szCs w:val="22"/>
        </w:rPr>
        <w:t xml:space="preserve"> and reply comments or oppositions to </w:t>
      </w:r>
      <w:r w:rsidRPr="00AF1348">
        <w:rPr>
          <w:color w:val="000000"/>
          <w:szCs w:val="22"/>
        </w:rPr>
        <w:t xml:space="preserve">petitions </w:t>
      </w:r>
      <w:r w:rsidRPr="00AF1348">
        <w:rPr>
          <w:b/>
          <w:color w:val="000000"/>
          <w:szCs w:val="22"/>
        </w:rPr>
        <w:t xml:space="preserve">on or before </w:t>
      </w:r>
      <w:r w:rsidR="00DC7DA4">
        <w:rPr>
          <w:b/>
          <w:color w:val="000000"/>
          <w:szCs w:val="22"/>
        </w:rPr>
        <w:t>November 1</w:t>
      </w:r>
      <w:r w:rsidRPr="00AF1348">
        <w:rPr>
          <w:b/>
          <w:color w:val="000000"/>
          <w:szCs w:val="22"/>
        </w:rPr>
        <w:t>, 2019</w:t>
      </w:r>
      <w:r w:rsidRPr="0009631D">
        <w:rPr>
          <w:color w:val="000000"/>
          <w:szCs w:val="22"/>
        </w:rPr>
        <w:t>.  Comments may be filed using the Commission’s Electronic Comment Filing System (ECFS) or by paper.  All filings must be addressed to the Commission’s Secretary, Office of the Secretary, Federal Communications Commission.</w:t>
      </w:r>
    </w:p>
    <w:p w:rsidR="00DD5B16" w:rsidRPr="0009631D" w:rsidP="00DD5B16">
      <w:pPr>
        <w:rPr>
          <w:color w:val="000000"/>
          <w:szCs w:val="22"/>
        </w:rPr>
      </w:pPr>
      <w:r w:rsidRPr="0009631D">
        <w:rPr>
          <w:color w:val="000000"/>
          <w:szCs w:val="22"/>
        </w:rPr>
        <w:t> </w:t>
      </w:r>
    </w:p>
    <w:p w:rsidR="00DD5B16" w:rsidRPr="0009631D" w:rsidP="00DD5B16">
      <w:pPr>
        <w:numPr>
          <w:ilvl w:val="0"/>
          <w:numId w:val="9"/>
        </w:numPr>
        <w:rPr>
          <w:color w:val="000000"/>
          <w:szCs w:val="22"/>
        </w:rPr>
      </w:pPr>
      <w:r w:rsidRPr="0009631D">
        <w:rPr>
          <w:color w:val="000000"/>
          <w:szCs w:val="22"/>
        </w:rPr>
        <w:t>Electronic Filers:  Comments may be filed electronically by accessing ECFS at </w:t>
      </w:r>
      <w:hyperlink r:id="rId5" w:history="1">
        <w:r w:rsidRPr="0009631D">
          <w:rPr>
            <w:rStyle w:val="Hyperlink"/>
            <w:szCs w:val="22"/>
          </w:rPr>
          <w:t>http://apps.fcc.gov/ecfs/</w:t>
        </w:r>
      </w:hyperlink>
      <w:r w:rsidRPr="0009631D">
        <w:rPr>
          <w:color w:val="000000"/>
          <w:szCs w:val="22"/>
        </w:rPr>
        <w:t>.</w:t>
      </w:r>
    </w:p>
    <w:p w:rsidR="00DD5B16" w:rsidRPr="0009631D" w:rsidP="00DD5B16">
      <w:pPr>
        <w:rPr>
          <w:color w:val="000000"/>
          <w:szCs w:val="22"/>
        </w:rPr>
      </w:pPr>
    </w:p>
    <w:p w:rsidR="00DD5B16" w:rsidRPr="0009631D" w:rsidP="00DD5B16">
      <w:pPr>
        <w:numPr>
          <w:ilvl w:val="0"/>
          <w:numId w:val="10"/>
        </w:numPr>
        <w:rPr>
          <w:color w:val="000000"/>
          <w:szCs w:val="22"/>
        </w:rPr>
      </w:pPr>
      <w:r w:rsidRPr="0009631D">
        <w:rPr>
          <w:color w:val="000000"/>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DD5B16" w:rsidRPr="0009631D" w:rsidP="00DD5B16">
      <w:pPr>
        <w:rPr>
          <w:color w:val="000000"/>
          <w:szCs w:val="22"/>
        </w:rPr>
      </w:pPr>
    </w:p>
    <w:p w:rsidR="00DD5B16" w:rsidRPr="0009631D" w:rsidP="00DD5B16">
      <w:pPr>
        <w:numPr>
          <w:ilvl w:val="1"/>
          <w:numId w:val="10"/>
        </w:numPr>
        <w:rPr>
          <w:color w:val="000000"/>
          <w:szCs w:val="22"/>
        </w:rPr>
      </w:pPr>
      <w:r w:rsidRPr="0009631D">
        <w:rPr>
          <w:color w:val="000000"/>
          <w:szCs w:val="22"/>
        </w:rPr>
        <w:t>All hand-delivered or messenger-delivered paper filings for the Commission’s Secretary must be delivered to FCC Headquarters at 445 12</w:t>
      </w:r>
      <w:r w:rsidRPr="0009631D">
        <w:rPr>
          <w:color w:val="000000"/>
          <w:szCs w:val="22"/>
          <w:vertAlign w:val="superscript"/>
        </w:rPr>
        <w:t>th</w:t>
      </w:r>
      <w:r w:rsidRPr="0009631D">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DD5B16" w:rsidRPr="0009631D" w:rsidP="00DD5B16">
      <w:pPr>
        <w:rPr>
          <w:color w:val="000000"/>
          <w:szCs w:val="22"/>
        </w:rPr>
      </w:pPr>
    </w:p>
    <w:p w:rsidR="00DD5B16" w:rsidRPr="0009631D" w:rsidP="00DD5B16">
      <w:pPr>
        <w:numPr>
          <w:ilvl w:val="1"/>
          <w:numId w:val="10"/>
        </w:numPr>
        <w:rPr>
          <w:color w:val="000000"/>
          <w:szCs w:val="22"/>
        </w:rPr>
      </w:pPr>
      <w:r w:rsidRPr="0009631D">
        <w:rPr>
          <w:color w:val="000000"/>
          <w:szCs w:val="22"/>
        </w:rPr>
        <w:t>Commercial overnight mail (other than U.S. Postal Service Express Mail and Priority Mail) must be sent to 9050 Junction Drive, Annapolis Junction, MD, 20701.</w:t>
      </w:r>
    </w:p>
    <w:p w:rsidR="00DD5B16" w:rsidRPr="0009631D" w:rsidP="00DD5B16">
      <w:pPr>
        <w:rPr>
          <w:color w:val="000000"/>
          <w:szCs w:val="22"/>
        </w:rPr>
      </w:pPr>
    </w:p>
    <w:p w:rsidR="00DD5B16" w:rsidRPr="0009631D" w:rsidP="00DD5B16">
      <w:pPr>
        <w:numPr>
          <w:ilvl w:val="1"/>
          <w:numId w:val="10"/>
        </w:numPr>
        <w:rPr>
          <w:color w:val="000000"/>
          <w:szCs w:val="22"/>
        </w:rPr>
      </w:pPr>
      <w:r w:rsidRPr="0009631D">
        <w:rPr>
          <w:color w:val="000000"/>
          <w:szCs w:val="22"/>
        </w:rPr>
        <w:t>U.S. Postal Service first-class, Express, and Priority mail must be addressed to 445 12</w:t>
      </w:r>
      <w:r w:rsidRPr="0009631D">
        <w:rPr>
          <w:color w:val="000000"/>
          <w:szCs w:val="22"/>
          <w:vertAlign w:val="superscript"/>
        </w:rPr>
        <w:t>th</w:t>
      </w:r>
      <w:r w:rsidRPr="0009631D">
        <w:rPr>
          <w:color w:val="000000"/>
          <w:szCs w:val="22"/>
        </w:rPr>
        <w:t> Street, SW, Washington DC, 20554.</w:t>
      </w:r>
    </w:p>
    <w:p w:rsidR="00DD5B16" w:rsidRPr="0009631D" w:rsidP="00DD5B16">
      <w:pPr>
        <w:rPr>
          <w:color w:val="000000"/>
          <w:szCs w:val="22"/>
        </w:rPr>
      </w:pPr>
      <w:r w:rsidRPr="0009631D">
        <w:rPr>
          <w:color w:val="000000"/>
          <w:szCs w:val="22"/>
        </w:rPr>
        <w:t> </w:t>
      </w:r>
    </w:p>
    <w:p w:rsidR="00DD5B16" w:rsidRPr="0009631D" w:rsidP="00DD5B16">
      <w:pPr>
        <w:ind w:firstLine="720"/>
        <w:rPr>
          <w:color w:val="000000"/>
          <w:szCs w:val="22"/>
        </w:rPr>
      </w:pPr>
      <w:r w:rsidRPr="0009631D">
        <w:rPr>
          <w:color w:val="000000"/>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DD5B16" w:rsidRPr="0009631D" w:rsidP="00DD5B16">
      <w:pPr>
        <w:rPr>
          <w:color w:val="000000"/>
          <w:szCs w:val="22"/>
        </w:rPr>
      </w:pPr>
    </w:p>
    <w:p w:rsidR="00DD5B16" w:rsidRPr="0009631D" w:rsidP="00DD5B16">
      <w:pPr>
        <w:rPr>
          <w:b/>
          <w:color w:val="000000"/>
          <w:szCs w:val="22"/>
        </w:rPr>
      </w:pPr>
      <w:r w:rsidRPr="0009631D">
        <w:rPr>
          <w:b/>
          <w:color w:val="000000"/>
          <w:szCs w:val="22"/>
        </w:rPr>
        <w:t>In addition, e-mail one copy of each pleading to each of the following:</w:t>
      </w:r>
    </w:p>
    <w:p w:rsidR="00DD5B16" w:rsidRPr="0009631D" w:rsidP="00DD5B16">
      <w:pPr>
        <w:rPr>
          <w:color w:val="000000"/>
          <w:szCs w:val="22"/>
        </w:rPr>
      </w:pPr>
    </w:p>
    <w:p w:rsidR="00DD5B16" w:rsidRPr="0009631D" w:rsidP="00DD5B16">
      <w:pPr>
        <w:numPr>
          <w:ilvl w:val="0"/>
          <w:numId w:val="8"/>
        </w:numPr>
        <w:rPr>
          <w:color w:val="000000"/>
          <w:szCs w:val="22"/>
        </w:rPr>
      </w:pPr>
      <w:r>
        <w:rPr>
          <w:color w:val="000000"/>
          <w:szCs w:val="22"/>
        </w:rPr>
        <w:t>Jodie May</w:t>
      </w:r>
      <w:r w:rsidRPr="0009631D">
        <w:rPr>
          <w:color w:val="000000"/>
          <w:szCs w:val="22"/>
        </w:rPr>
        <w:t xml:space="preserve">, Competition Policy Division, Wireline Competition Bureau, </w:t>
      </w:r>
      <w:r>
        <w:rPr>
          <w:color w:val="000000"/>
          <w:szCs w:val="22"/>
        </w:rPr>
        <w:t>jodie.may@fcc.gov;</w:t>
      </w:r>
    </w:p>
    <w:p w:rsidR="00DD5B16" w:rsidRPr="0009631D" w:rsidP="00DD5B16">
      <w:pPr>
        <w:rPr>
          <w:color w:val="000000"/>
          <w:szCs w:val="22"/>
        </w:rPr>
      </w:pPr>
    </w:p>
    <w:p w:rsidR="00DD5B16" w:rsidRPr="0009631D" w:rsidP="00DD5B16">
      <w:pPr>
        <w:numPr>
          <w:ilvl w:val="0"/>
          <w:numId w:val="8"/>
        </w:numPr>
        <w:rPr>
          <w:color w:val="000000"/>
          <w:szCs w:val="22"/>
        </w:rPr>
      </w:pPr>
      <w:bookmarkStart w:id="7" w:name="_Hlk520384977"/>
      <w:r w:rsidRPr="0009631D">
        <w:rPr>
          <w:color w:val="000000"/>
          <w:szCs w:val="22"/>
        </w:rPr>
        <w:t>David Krech</w:t>
      </w:r>
      <w:r>
        <w:rPr>
          <w:color w:val="000000"/>
          <w:szCs w:val="22"/>
        </w:rPr>
        <w:t xml:space="preserve"> and Sumita Mukhoty</w:t>
      </w:r>
      <w:r w:rsidRPr="0009631D">
        <w:rPr>
          <w:color w:val="000000"/>
          <w:szCs w:val="22"/>
        </w:rPr>
        <w:t xml:space="preserve">, International Bureau; </w:t>
      </w:r>
      <w:hyperlink r:id="rId6" w:history="1">
        <w:r w:rsidRPr="005B2DE2">
          <w:rPr>
            <w:rStyle w:val="Hyperlink"/>
            <w:szCs w:val="22"/>
          </w:rPr>
          <w:t>david.krech@fcc.gov</w:t>
        </w:r>
      </w:hyperlink>
      <w:r>
        <w:rPr>
          <w:szCs w:val="22"/>
        </w:rPr>
        <w:t>; Sumita.mukhoty@fcc.gov</w:t>
      </w:r>
      <w:r w:rsidRPr="0009631D">
        <w:rPr>
          <w:color w:val="000000"/>
          <w:szCs w:val="22"/>
        </w:rPr>
        <w:t xml:space="preserve">; </w:t>
      </w:r>
    </w:p>
    <w:p w:rsidR="00DD5B16" w:rsidRPr="0009631D" w:rsidP="00DD5B16">
      <w:pPr>
        <w:rPr>
          <w:color w:val="000000"/>
          <w:szCs w:val="22"/>
        </w:rPr>
      </w:pPr>
    </w:p>
    <w:p w:rsidR="00DD5B16" w:rsidRPr="006538F7" w:rsidP="00DD5B16">
      <w:pPr>
        <w:numPr>
          <w:ilvl w:val="0"/>
          <w:numId w:val="8"/>
        </w:numPr>
        <w:rPr>
          <w:color w:val="000000"/>
          <w:szCs w:val="22"/>
        </w:rPr>
      </w:pPr>
      <w:r w:rsidRPr="0009631D">
        <w:rPr>
          <w:color w:val="000000"/>
          <w:szCs w:val="22"/>
        </w:rPr>
        <w:t xml:space="preserve">Jim Bird, Office of General Counsel, </w:t>
      </w:r>
      <w:hyperlink r:id="rId7" w:history="1">
        <w:r w:rsidRPr="0009631D">
          <w:rPr>
            <w:rStyle w:val="Hyperlink"/>
            <w:szCs w:val="22"/>
          </w:rPr>
          <w:t>jim.bird@fcc.gov</w:t>
        </w:r>
      </w:hyperlink>
      <w:r w:rsidRPr="0009631D">
        <w:rPr>
          <w:color w:val="000000"/>
          <w:szCs w:val="22"/>
        </w:rPr>
        <w:t>.</w:t>
      </w:r>
      <w:r>
        <w:rPr>
          <w:color w:val="000000"/>
          <w:szCs w:val="22"/>
        </w:rPr>
        <w:t xml:space="preserve"> </w:t>
      </w:r>
    </w:p>
    <w:bookmarkEnd w:id="7"/>
    <w:p w:rsidR="00DD5B16" w:rsidRPr="0009631D" w:rsidP="00DD5B16">
      <w:pPr>
        <w:rPr>
          <w:color w:val="000000"/>
          <w:szCs w:val="22"/>
        </w:rPr>
      </w:pPr>
    </w:p>
    <w:p w:rsidR="00DD5B16" w:rsidRPr="0009631D" w:rsidP="00DD5B16">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ex parte</w:t>
      </w:r>
      <w:r w:rsidRPr="0009631D">
        <w:rPr>
          <w:color w:val="000000"/>
          <w:szCs w:val="22"/>
        </w:rPr>
        <w:t xml:space="preserve"> rules.  Persons making </w:t>
      </w:r>
      <w:r w:rsidRPr="0009631D">
        <w:rPr>
          <w:i/>
          <w:color w:val="000000"/>
          <w:szCs w:val="22"/>
        </w:rPr>
        <w:t>ex 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ex 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ex 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ex parte</w:t>
      </w:r>
      <w:r w:rsidRPr="0009631D">
        <w:rPr>
          <w:color w:val="000000"/>
          <w:szCs w:val="22"/>
        </w:rPr>
        <w:t xml:space="preserve"> meetings are deemed to be written </w:t>
      </w:r>
      <w:r w:rsidRPr="0009631D">
        <w:rPr>
          <w:i/>
          <w:color w:val="000000"/>
          <w:szCs w:val="22"/>
        </w:rPr>
        <w:t>ex parte</w:t>
      </w:r>
      <w:r w:rsidRPr="0009631D">
        <w:rPr>
          <w:color w:val="000000"/>
          <w:szCs w:val="22"/>
        </w:rPr>
        <w:t xml:space="preserve"> presentations and must be filed consistent with rule 1.1206(b), 47 CFR § 1.1206(b).  Participants in this proceeding should familiarize themselves with the Commission’s </w:t>
      </w:r>
      <w:r w:rsidRPr="0009631D">
        <w:rPr>
          <w:i/>
          <w:color w:val="000000"/>
          <w:szCs w:val="22"/>
        </w:rPr>
        <w:t>ex parte</w:t>
      </w:r>
      <w:r w:rsidRPr="0009631D">
        <w:rPr>
          <w:color w:val="000000"/>
          <w:szCs w:val="22"/>
        </w:rPr>
        <w:t xml:space="preserve"> rules.</w:t>
      </w:r>
    </w:p>
    <w:p w:rsidR="00DD5B16" w:rsidRPr="0009631D" w:rsidP="00DD5B16">
      <w:pPr>
        <w:rPr>
          <w:color w:val="000000"/>
          <w:szCs w:val="22"/>
        </w:rPr>
      </w:pPr>
    </w:p>
    <w:p w:rsidR="00DD5B16" w:rsidRPr="0009631D" w:rsidP="00DD5B16">
      <w:pPr>
        <w:ind w:firstLine="720"/>
        <w:rPr>
          <w:color w:val="000000"/>
          <w:szCs w:val="22"/>
        </w:rPr>
      </w:pPr>
      <w:r w:rsidRPr="0009631D">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21"/>
      </w:r>
      <w:r w:rsidRPr="0009631D">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DD5B16" w:rsidRPr="0009631D" w:rsidP="00DD5B16">
      <w:pPr>
        <w:rPr>
          <w:color w:val="000000"/>
          <w:szCs w:val="22"/>
        </w:rPr>
      </w:pPr>
    </w:p>
    <w:p w:rsidR="00DD5B16" w:rsidRPr="0009631D" w:rsidP="00DD5B16">
      <w:pPr>
        <w:ind w:firstLine="720"/>
        <w:rPr>
          <w:color w:val="000000"/>
          <w:szCs w:val="22"/>
        </w:rPr>
      </w:pPr>
      <w:r w:rsidRPr="0009631D">
        <w:rPr>
          <w:color w:val="000000"/>
          <w:szCs w:val="22"/>
        </w:rPr>
        <w:t xml:space="preserve">For further information, please contact </w:t>
      </w:r>
      <w:r>
        <w:rPr>
          <w:color w:val="000000"/>
          <w:szCs w:val="22"/>
        </w:rPr>
        <w:t>Jodie May, Wireline Competition Bureau,</w:t>
      </w:r>
      <w:r w:rsidRPr="0009631D">
        <w:rPr>
          <w:color w:val="000000"/>
          <w:szCs w:val="22"/>
        </w:rPr>
        <w:t xml:space="preserve"> (202) 418-</w:t>
      </w:r>
      <w:r>
        <w:rPr>
          <w:color w:val="000000"/>
          <w:szCs w:val="22"/>
        </w:rPr>
        <w:t>0913, David Krech, International Bureau, (202) 418-7443; or Sumita Mukhoty, International Bureau, (202) 418-7165</w:t>
      </w:r>
      <w:r w:rsidRPr="0009631D">
        <w:rPr>
          <w:color w:val="000000"/>
          <w:szCs w:val="22"/>
        </w:rPr>
        <w:t>.</w:t>
      </w:r>
    </w:p>
    <w:p w:rsidR="00DD5B16" w:rsidRPr="00585942" w:rsidP="0031237C">
      <w:pPr>
        <w:jc w:val="center"/>
        <w:rPr>
          <w:b/>
          <w:color w:val="000000"/>
          <w:szCs w:val="22"/>
          <w:u w:val="single"/>
        </w:rPr>
      </w:pPr>
      <w:r>
        <w:rPr>
          <w:b/>
          <w:color w:val="000000"/>
          <w:szCs w:val="22"/>
        </w:rPr>
        <w:br w:type="page"/>
      </w:r>
      <w:r w:rsidRPr="00585942">
        <w:rPr>
          <w:b/>
          <w:color w:val="000000"/>
          <w:szCs w:val="22"/>
          <w:u w:val="single"/>
        </w:rPr>
        <w:t>ATTACHMENT A</w:t>
      </w:r>
    </w:p>
    <w:p w:rsidR="00DD5B16" w:rsidRPr="00585942" w:rsidP="00DD5B16">
      <w:pPr>
        <w:rPr>
          <w:b/>
          <w:color w:val="000000"/>
          <w:szCs w:val="22"/>
        </w:rPr>
      </w:pPr>
    </w:p>
    <w:p w:rsidR="00DD5B16" w:rsidRPr="00585942" w:rsidP="00DD5B16">
      <w:pPr>
        <w:rPr>
          <w:b/>
          <w:color w:val="000000"/>
          <w:szCs w:val="22"/>
        </w:rPr>
      </w:pPr>
    </w:p>
    <w:p w:rsidR="00DD5B16" w:rsidRPr="0022664E" w:rsidP="00DD5B16">
      <w:pPr>
        <w:rPr>
          <w:color w:val="000000"/>
          <w:szCs w:val="22"/>
        </w:rPr>
      </w:pPr>
      <w:r w:rsidRPr="00585942">
        <w:rPr>
          <w:b/>
          <w:color w:val="000000"/>
          <w:szCs w:val="22"/>
        </w:rPr>
        <w:t>SECTION 214 AUTHORIZATIONS</w:t>
      </w:r>
    </w:p>
    <w:p w:rsidR="00DD5B16" w:rsidRPr="0022664E" w:rsidP="00DD5B16">
      <w:pPr>
        <w:rPr>
          <w:color w:val="000000"/>
          <w:szCs w:val="22"/>
        </w:rPr>
      </w:pPr>
    </w:p>
    <w:p w:rsidR="00DD5B16" w:rsidRPr="00585942" w:rsidP="00DD5B16">
      <w:pPr>
        <w:rPr>
          <w:b/>
          <w:color w:val="000000"/>
          <w:szCs w:val="22"/>
        </w:rPr>
      </w:pPr>
      <w:r w:rsidRPr="00585942">
        <w:rPr>
          <w:b/>
          <w:color w:val="000000"/>
          <w:szCs w:val="22"/>
        </w:rPr>
        <w:t>A.</w:t>
      </w:r>
      <w:r w:rsidRPr="00585942">
        <w:rPr>
          <w:b/>
          <w:color w:val="000000"/>
          <w:szCs w:val="22"/>
        </w:rPr>
        <w:tab/>
        <w:t>International</w:t>
      </w:r>
    </w:p>
    <w:p w:rsidR="00DD5B16" w:rsidRPr="0022664E" w:rsidP="00DD5B16">
      <w:pPr>
        <w:rPr>
          <w:color w:val="000000"/>
          <w:szCs w:val="22"/>
        </w:rPr>
      </w:pPr>
    </w:p>
    <w:p w:rsidR="00DD5B16" w:rsidRPr="0022664E" w:rsidP="00DD5B16">
      <w:pPr>
        <w:rPr>
          <w:color w:val="000000"/>
          <w:szCs w:val="22"/>
        </w:rPr>
      </w:pPr>
      <w:bookmarkStart w:id="8" w:name="_Hlk1664737"/>
      <w:r w:rsidRPr="0022664E">
        <w:rPr>
          <w:color w:val="000000"/>
          <w:szCs w:val="22"/>
        </w:rPr>
        <w:t>The application for consent to the transfer of control of certain international section 214 authorizations ha</w:t>
      </w:r>
      <w:r>
        <w:rPr>
          <w:color w:val="000000"/>
          <w:szCs w:val="22"/>
        </w:rPr>
        <w:t>s</w:t>
      </w:r>
      <w:r w:rsidRPr="0022664E">
        <w:rPr>
          <w:color w:val="000000"/>
          <w:szCs w:val="22"/>
        </w:rPr>
        <w:t xml:space="preserve"> been assigned the file number listed below.</w:t>
      </w:r>
    </w:p>
    <w:bookmarkEnd w:id="8"/>
    <w:p w:rsidR="00DD5B16" w:rsidRPr="0022664E" w:rsidP="00DD5B16">
      <w:pPr>
        <w:rPr>
          <w:color w:val="000000"/>
          <w:szCs w:val="22"/>
        </w:rPr>
      </w:pPr>
    </w:p>
    <w:tbl>
      <w:tblPr>
        <w:tblW w:w="9738" w:type="dxa"/>
        <w:tblLook w:val="01E0"/>
      </w:tblPr>
      <w:tblGrid>
        <w:gridCol w:w="2880"/>
        <w:gridCol w:w="3888"/>
        <w:gridCol w:w="2970"/>
      </w:tblGrid>
      <w:tr w:rsidTr="00801320">
        <w:tblPrEx>
          <w:tblW w:w="9738" w:type="dxa"/>
          <w:tblLook w:val="01E0"/>
        </w:tblPrEx>
        <w:tc>
          <w:tcPr>
            <w:tcW w:w="2880" w:type="dxa"/>
          </w:tcPr>
          <w:p w:rsidR="00DD5B16" w:rsidRPr="0022664E" w:rsidP="00801320">
            <w:pPr>
              <w:rPr>
                <w:color w:val="000000"/>
                <w:szCs w:val="22"/>
              </w:rPr>
            </w:pPr>
            <w:bookmarkStart w:id="9" w:name="_Hlk1656452"/>
            <w:r w:rsidRPr="0022664E">
              <w:rPr>
                <w:color w:val="000000"/>
                <w:szCs w:val="22"/>
                <w:u w:val="single"/>
              </w:rPr>
              <w:t>File Number</w:t>
            </w:r>
          </w:p>
        </w:tc>
        <w:tc>
          <w:tcPr>
            <w:tcW w:w="3888" w:type="dxa"/>
          </w:tcPr>
          <w:p w:rsidR="00DD5B16" w:rsidRPr="0022664E" w:rsidP="00801320">
            <w:pPr>
              <w:rPr>
                <w:color w:val="000000"/>
                <w:szCs w:val="22"/>
              </w:rPr>
            </w:pPr>
            <w:r w:rsidRPr="0022664E">
              <w:rPr>
                <w:color w:val="000000"/>
                <w:szCs w:val="22"/>
                <w:u w:val="single"/>
              </w:rPr>
              <w:t>Authorization Holder</w:t>
            </w:r>
          </w:p>
        </w:tc>
        <w:tc>
          <w:tcPr>
            <w:tcW w:w="2970" w:type="dxa"/>
          </w:tcPr>
          <w:p w:rsidR="00DD5B16" w:rsidRPr="0022664E" w:rsidP="00801320">
            <w:pPr>
              <w:rPr>
                <w:color w:val="000000"/>
                <w:szCs w:val="22"/>
                <w:u w:val="single"/>
              </w:rPr>
            </w:pPr>
            <w:r w:rsidRPr="0022664E">
              <w:rPr>
                <w:color w:val="000000"/>
                <w:szCs w:val="22"/>
                <w:u w:val="single"/>
              </w:rPr>
              <w:t>Authorization Number</w:t>
            </w:r>
          </w:p>
          <w:p w:rsidR="00DD5B16" w:rsidRPr="0022664E" w:rsidP="00801320">
            <w:pPr>
              <w:rPr>
                <w:color w:val="000000"/>
                <w:szCs w:val="22"/>
                <w:u w:val="single"/>
              </w:rPr>
            </w:pPr>
          </w:p>
        </w:tc>
      </w:tr>
      <w:tr w:rsidTr="00801320">
        <w:tblPrEx>
          <w:tblW w:w="9738" w:type="dxa"/>
          <w:tblLook w:val="01E0"/>
        </w:tblPrEx>
        <w:tc>
          <w:tcPr>
            <w:tcW w:w="2880" w:type="dxa"/>
          </w:tcPr>
          <w:p w:rsidR="00DD5B16" w:rsidRPr="00704B2F" w:rsidP="00801320">
            <w:pPr>
              <w:rPr>
                <w:color w:val="000000"/>
                <w:szCs w:val="22"/>
                <w:highlight w:val="yellow"/>
              </w:rPr>
            </w:pPr>
            <w:bookmarkStart w:id="10" w:name="_Hlk1728800"/>
          </w:p>
        </w:tc>
        <w:tc>
          <w:tcPr>
            <w:tcW w:w="3888" w:type="dxa"/>
          </w:tcPr>
          <w:p w:rsidR="00DD5B16" w:rsidRPr="0022664E" w:rsidP="00801320">
            <w:pPr>
              <w:rPr>
                <w:color w:val="000000"/>
                <w:szCs w:val="22"/>
              </w:rPr>
            </w:pPr>
          </w:p>
        </w:tc>
        <w:tc>
          <w:tcPr>
            <w:tcW w:w="2970" w:type="dxa"/>
          </w:tcPr>
          <w:p w:rsidR="00DD5B16" w:rsidRPr="00704B2F" w:rsidP="00801320">
            <w:pPr>
              <w:rPr>
                <w:color w:val="000000"/>
                <w:szCs w:val="22"/>
                <w:highlight w:val="yellow"/>
              </w:rPr>
            </w:pPr>
          </w:p>
        </w:tc>
      </w:tr>
      <w:bookmarkEnd w:id="9"/>
      <w:bookmarkEnd w:id="10"/>
      <w:tr w:rsidTr="00801320">
        <w:tblPrEx>
          <w:tblW w:w="9738" w:type="dxa"/>
          <w:tblLook w:val="01E0"/>
        </w:tblPrEx>
        <w:tc>
          <w:tcPr>
            <w:tcW w:w="2880" w:type="dxa"/>
          </w:tcPr>
          <w:p w:rsidR="00DD5B16" w:rsidRPr="00704B2F" w:rsidP="00801320">
            <w:pPr>
              <w:rPr>
                <w:color w:val="000000"/>
                <w:szCs w:val="22"/>
                <w:highlight w:val="yellow"/>
              </w:rPr>
            </w:pPr>
            <w:r w:rsidRPr="008D3514">
              <w:rPr>
                <w:color w:val="000000"/>
                <w:szCs w:val="22"/>
              </w:rPr>
              <w:t>ITC-</w:t>
            </w:r>
            <w:r>
              <w:rPr>
                <w:color w:val="000000"/>
                <w:szCs w:val="22"/>
              </w:rPr>
              <w:t>ASG-20190724-00136</w:t>
            </w:r>
          </w:p>
        </w:tc>
        <w:tc>
          <w:tcPr>
            <w:tcW w:w="3888" w:type="dxa"/>
          </w:tcPr>
          <w:p w:rsidR="00DD5B16" w:rsidRPr="0022664E" w:rsidP="00801320">
            <w:pPr>
              <w:rPr>
                <w:color w:val="000000"/>
                <w:szCs w:val="22"/>
              </w:rPr>
            </w:pPr>
            <w:r w:rsidRPr="008D3514">
              <w:rPr>
                <w:color w:val="000000"/>
                <w:szCs w:val="22"/>
              </w:rPr>
              <w:t>F</w:t>
            </w:r>
            <w:r>
              <w:rPr>
                <w:color w:val="000000"/>
                <w:szCs w:val="22"/>
              </w:rPr>
              <w:t>usion Connect, Inc., Debtor-in-Possession</w:t>
            </w:r>
          </w:p>
        </w:tc>
        <w:tc>
          <w:tcPr>
            <w:tcW w:w="2970" w:type="dxa"/>
          </w:tcPr>
          <w:p w:rsidR="00DD5B16" w:rsidRPr="00704B2F" w:rsidP="00801320">
            <w:pPr>
              <w:rPr>
                <w:color w:val="000000"/>
                <w:szCs w:val="22"/>
                <w:highlight w:val="yellow"/>
              </w:rPr>
            </w:pPr>
            <w:r w:rsidRPr="00267774">
              <w:rPr>
                <w:color w:val="000000"/>
                <w:szCs w:val="22"/>
              </w:rPr>
              <w:t>ITC-214-19971001-00592</w:t>
            </w:r>
          </w:p>
        </w:tc>
      </w:tr>
      <w:tr w:rsidTr="00801320">
        <w:tblPrEx>
          <w:tblW w:w="9738" w:type="dxa"/>
          <w:tblLook w:val="01E0"/>
        </w:tblPrEx>
        <w:tc>
          <w:tcPr>
            <w:tcW w:w="2880" w:type="dxa"/>
          </w:tcPr>
          <w:p w:rsidR="00DD5B16" w:rsidRPr="00704B2F" w:rsidP="00801320">
            <w:pPr>
              <w:rPr>
                <w:color w:val="000000"/>
                <w:szCs w:val="22"/>
                <w:highlight w:val="yellow"/>
              </w:rPr>
            </w:pPr>
          </w:p>
        </w:tc>
        <w:tc>
          <w:tcPr>
            <w:tcW w:w="3888" w:type="dxa"/>
          </w:tcPr>
          <w:p w:rsidR="00DD5B16" w:rsidRPr="0022664E" w:rsidP="00801320">
            <w:pPr>
              <w:rPr>
                <w:color w:val="000000"/>
                <w:szCs w:val="22"/>
              </w:rPr>
            </w:pPr>
          </w:p>
        </w:tc>
        <w:tc>
          <w:tcPr>
            <w:tcW w:w="2970" w:type="dxa"/>
          </w:tcPr>
          <w:p w:rsidR="00DD5B16" w:rsidRPr="00704B2F" w:rsidP="00801320">
            <w:pPr>
              <w:rPr>
                <w:color w:val="000000"/>
                <w:szCs w:val="22"/>
                <w:highlight w:val="yellow"/>
              </w:rPr>
            </w:pPr>
          </w:p>
        </w:tc>
      </w:tr>
      <w:tr w:rsidTr="00801320">
        <w:tblPrEx>
          <w:tblW w:w="9738" w:type="dxa"/>
          <w:tblLook w:val="01E0"/>
        </w:tblPrEx>
        <w:tc>
          <w:tcPr>
            <w:tcW w:w="2880" w:type="dxa"/>
          </w:tcPr>
          <w:p w:rsidR="00DD5B16" w:rsidRPr="00704B2F" w:rsidP="00801320">
            <w:pPr>
              <w:rPr>
                <w:color w:val="000000"/>
                <w:szCs w:val="22"/>
                <w:highlight w:val="yellow"/>
              </w:rPr>
            </w:pPr>
          </w:p>
        </w:tc>
        <w:tc>
          <w:tcPr>
            <w:tcW w:w="3888" w:type="dxa"/>
          </w:tcPr>
          <w:p w:rsidR="00DD5B16" w:rsidRPr="0022664E" w:rsidP="00801320">
            <w:pPr>
              <w:rPr>
                <w:color w:val="000000"/>
                <w:szCs w:val="22"/>
              </w:rPr>
            </w:pPr>
          </w:p>
        </w:tc>
        <w:tc>
          <w:tcPr>
            <w:tcW w:w="2970" w:type="dxa"/>
          </w:tcPr>
          <w:p w:rsidR="00DD5B16" w:rsidRPr="00704B2F" w:rsidP="00801320">
            <w:pPr>
              <w:rPr>
                <w:color w:val="000000"/>
                <w:szCs w:val="22"/>
                <w:highlight w:val="yellow"/>
              </w:rPr>
            </w:pPr>
          </w:p>
        </w:tc>
      </w:tr>
    </w:tbl>
    <w:p w:rsidR="00DD5B16" w:rsidRPr="00585942" w:rsidP="00DD5B16">
      <w:pPr>
        <w:rPr>
          <w:b/>
          <w:color w:val="000000"/>
          <w:szCs w:val="22"/>
        </w:rPr>
      </w:pPr>
      <w:r w:rsidRPr="00585942">
        <w:rPr>
          <w:b/>
          <w:color w:val="000000"/>
          <w:szCs w:val="22"/>
        </w:rPr>
        <w:t>B.</w:t>
      </w:r>
      <w:r w:rsidRPr="00585942">
        <w:rPr>
          <w:b/>
          <w:color w:val="000000"/>
          <w:szCs w:val="22"/>
        </w:rPr>
        <w:tab/>
        <w:t>Domestic</w:t>
      </w:r>
    </w:p>
    <w:p w:rsidR="00DD5B16" w:rsidRPr="0022664E" w:rsidP="00DD5B16">
      <w:pPr>
        <w:rPr>
          <w:color w:val="000000"/>
          <w:szCs w:val="22"/>
        </w:rPr>
      </w:pPr>
    </w:p>
    <w:p w:rsidR="00DD5B16" w:rsidP="00DD5B16">
      <w:pPr>
        <w:rPr>
          <w:color w:val="000000"/>
          <w:szCs w:val="22"/>
        </w:rPr>
      </w:pPr>
      <w:r w:rsidRPr="0022664E">
        <w:rPr>
          <w:color w:val="000000"/>
          <w:szCs w:val="22"/>
        </w:rPr>
        <w:t>Applicants filed an application to transfer control of domestic section 214 authority in connection with the proposed transaction – WC Docket No</w:t>
      </w:r>
      <w:r w:rsidRPr="00D463D2">
        <w:rPr>
          <w:color w:val="000000"/>
          <w:szCs w:val="22"/>
        </w:rPr>
        <w:t xml:space="preserve">. </w:t>
      </w:r>
      <w:r w:rsidRPr="00D463D2">
        <w:rPr>
          <w:szCs w:val="22"/>
        </w:rPr>
        <w:t>19-</w:t>
      </w:r>
      <w:r>
        <w:rPr>
          <w:szCs w:val="22"/>
        </w:rPr>
        <w:t>262</w:t>
      </w:r>
      <w:r w:rsidRPr="008E581F">
        <w:rPr>
          <w:color w:val="000000"/>
          <w:szCs w:val="22"/>
        </w:rPr>
        <w:t>.</w:t>
      </w:r>
      <w:bookmarkStart w:id="11" w:name="sp_999_4"/>
      <w:bookmarkStart w:id="12" w:name="SDU_4"/>
      <w:bookmarkStart w:id="13" w:name="citeas((Cite_as:_26_F.C.C.R._13372,_*133"/>
      <w:bookmarkEnd w:id="11"/>
      <w:bookmarkEnd w:id="12"/>
      <w:bookmarkEnd w:id="13"/>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22"/>
      </w:r>
      <w:r w:rsidRPr="00B62EDB">
        <w:rPr>
          <w:color w:val="000000"/>
          <w:szCs w:val="22"/>
        </w:rPr>
        <w:t xml:space="preserve"> </w:t>
      </w:r>
    </w:p>
    <w:p w:rsidR="00DD5B16" w:rsidP="00DD5B16">
      <w:pPr>
        <w:rPr>
          <w:color w:val="000000"/>
          <w:szCs w:val="22"/>
        </w:rPr>
      </w:pPr>
    </w:p>
    <w:p w:rsidR="00DD5B16" w:rsidP="00DD5B16">
      <w:pPr>
        <w:rPr>
          <w:color w:val="000000"/>
          <w:szCs w:val="22"/>
        </w:rPr>
      </w:pPr>
      <w:r>
        <w:rPr>
          <w:b/>
          <w:color w:val="000000"/>
          <w:szCs w:val="22"/>
        </w:rPr>
        <w:t>WAIVER REQUEST</w:t>
      </w:r>
    </w:p>
    <w:p w:rsidR="00DD5B16" w:rsidP="00DD5B16">
      <w:pPr>
        <w:rPr>
          <w:color w:val="000000"/>
          <w:szCs w:val="22"/>
        </w:rPr>
      </w:pPr>
    </w:p>
    <w:p w:rsidR="00DD5B16" w:rsidRPr="006377FA" w:rsidP="00DD5B16">
      <w:pPr>
        <w:rPr>
          <w:szCs w:val="22"/>
        </w:rPr>
      </w:pPr>
      <w:r w:rsidRPr="006377FA">
        <w:rPr>
          <w:color w:val="000000"/>
          <w:szCs w:val="22"/>
        </w:rPr>
        <w:t xml:space="preserve">The </w:t>
      </w:r>
      <w:r w:rsidRPr="006377FA">
        <w:rPr>
          <w:szCs w:val="22"/>
        </w:rPr>
        <w:t>Petition for Temporary and Limited Waiver of Sections 1.5000(a)(1), 63.04, and 63.18 of the Commission’s Rules</w:t>
      </w:r>
      <w:r w:rsidR="006377FA">
        <w:rPr>
          <w:szCs w:val="22"/>
        </w:rPr>
        <w:t>, WC Docket No. 19-262,</w:t>
      </w:r>
      <w:r w:rsidRPr="006377FA">
        <w:rPr>
          <w:szCs w:val="22"/>
        </w:rPr>
        <w:t xml:space="preserve"> </w:t>
      </w:r>
      <w:r w:rsidRPr="006377FA">
        <w:rPr>
          <w:color w:val="000000"/>
          <w:szCs w:val="22"/>
        </w:rPr>
        <w:t>has been assigned the file number</w:t>
      </w:r>
      <w:r w:rsidR="006377FA">
        <w:rPr>
          <w:color w:val="000000"/>
          <w:szCs w:val="22"/>
        </w:rPr>
        <w:t>s</w:t>
      </w:r>
      <w:r w:rsidRPr="006377FA">
        <w:rPr>
          <w:color w:val="000000"/>
          <w:szCs w:val="22"/>
        </w:rPr>
        <w:t xml:space="preserve"> listed below.</w:t>
      </w:r>
    </w:p>
    <w:p w:rsidR="00DD5B16" w:rsidRPr="006377FA" w:rsidP="00DD5B16">
      <w:pPr>
        <w:rPr>
          <w:szCs w:val="22"/>
        </w:rPr>
      </w:pPr>
    </w:p>
    <w:p w:rsidR="00DD5B16" w:rsidRPr="006377FA" w:rsidP="00DD5B16">
      <w:pPr>
        <w:rPr>
          <w:szCs w:val="22"/>
        </w:rPr>
      </w:pPr>
      <w:r w:rsidRPr="006377FA">
        <w:rPr>
          <w:szCs w:val="22"/>
        </w:rPr>
        <w:t>ISP-WAV-20191009-00007 (waiver of 47 CFR § 1.5000(a)(1))</w:t>
      </w:r>
    </w:p>
    <w:p w:rsidR="00DD5B16" w:rsidRPr="006377FA" w:rsidP="00DD5B16">
      <w:pPr>
        <w:rPr>
          <w:szCs w:val="22"/>
        </w:rPr>
      </w:pPr>
    </w:p>
    <w:p w:rsidR="00DD5B16" w:rsidRPr="006377FA" w:rsidP="00DD5B16">
      <w:pPr>
        <w:rPr>
          <w:color w:val="000000"/>
          <w:szCs w:val="22"/>
        </w:rPr>
      </w:pPr>
      <w:r w:rsidRPr="006377FA">
        <w:rPr>
          <w:szCs w:val="22"/>
        </w:rPr>
        <w:t xml:space="preserve">ITC-WAV-20191009-00165 (waiver of 47 CFR § 63.18) </w:t>
      </w:r>
    </w:p>
    <w:tbl>
      <w:tblPr>
        <w:tblW w:w="9744" w:type="dxa"/>
        <w:tblLook w:val="01E0"/>
      </w:tblPr>
      <w:tblGrid>
        <w:gridCol w:w="2882"/>
        <w:gridCol w:w="3890"/>
        <w:gridCol w:w="2972"/>
      </w:tblGrid>
      <w:tr w:rsidTr="00801320">
        <w:tblPrEx>
          <w:tblW w:w="9744" w:type="dxa"/>
          <w:tblLook w:val="01E0"/>
        </w:tblPrEx>
        <w:trPr>
          <w:trHeight w:val="297"/>
        </w:trPr>
        <w:tc>
          <w:tcPr>
            <w:tcW w:w="2882" w:type="dxa"/>
          </w:tcPr>
          <w:p w:rsidR="00DD5B16" w:rsidRPr="0022664E" w:rsidP="00801320">
            <w:pPr>
              <w:rPr>
                <w:color w:val="000000"/>
                <w:szCs w:val="22"/>
              </w:rPr>
            </w:pPr>
          </w:p>
        </w:tc>
        <w:tc>
          <w:tcPr>
            <w:tcW w:w="3890" w:type="dxa"/>
          </w:tcPr>
          <w:p w:rsidR="00DD5B16" w:rsidRPr="0022664E" w:rsidP="00801320">
            <w:pPr>
              <w:rPr>
                <w:color w:val="000000"/>
                <w:szCs w:val="22"/>
              </w:rPr>
            </w:pPr>
          </w:p>
        </w:tc>
        <w:tc>
          <w:tcPr>
            <w:tcW w:w="2972" w:type="dxa"/>
          </w:tcPr>
          <w:p w:rsidR="00DD5B16" w:rsidRPr="0022664E" w:rsidP="00801320">
            <w:pPr>
              <w:rPr>
                <w:color w:val="000000"/>
                <w:szCs w:val="22"/>
              </w:rPr>
            </w:pPr>
          </w:p>
        </w:tc>
      </w:tr>
    </w:tbl>
    <w:p w:rsidR="00DD5B16" w:rsidP="00DD5B16">
      <w:pPr>
        <w:autoSpaceDE w:val="0"/>
        <w:autoSpaceDN w:val="0"/>
        <w:adjustRightInd w:val="0"/>
        <w:rPr>
          <w:b/>
          <w:szCs w:val="22"/>
          <w:u w:val="single"/>
        </w:rPr>
      </w:pPr>
    </w:p>
    <w:p w:rsidR="00DD5B16" w:rsidP="00DD5B16">
      <w:pPr>
        <w:autoSpaceDE w:val="0"/>
        <w:autoSpaceDN w:val="0"/>
        <w:adjustRightInd w:val="0"/>
        <w:rPr>
          <w:b/>
          <w:szCs w:val="22"/>
          <w:u w:val="single"/>
        </w:rPr>
      </w:pPr>
    </w:p>
    <w:p w:rsidR="00DD5B16" w:rsidP="00DD5B16">
      <w:pPr>
        <w:autoSpaceDE w:val="0"/>
        <w:autoSpaceDN w:val="0"/>
        <w:adjustRightInd w:val="0"/>
        <w:rPr>
          <w:b/>
          <w:szCs w:val="22"/>
          <w:u w:val="single"/>
        </w:rPr>
      </w:pPr>
    </w:p>
    <w:p w:rsidR="00DD5B16" w:rsidP="00DD5B16">
      <w:pPr>
        <w:autoSpaceDE w:val="0"/>
        <w:autoSpaceDN w:val="0"/>
        <w:adjustRightInd w:val="0"/>
        <w:rPr>
          <w:b/>
          <w:szCs w:val="22"/>
          <w:u w:val="single"/>
        </w:rPr>
      </w:pPr>
    </w:p>
    <w:bookmarkEnd w:id="0"/>
    <w:p w:rsidR="00DD5B16" w:rsidP="00DD5B16">
      <w:pPr>
        <w:rPr>
          <w:color w:val="000000"/>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5B16">
      <w:r>
        <w:separator/>
      </w:r>
    </w:p>
  </w:footnote>
  <w:footnote w:type="continuationSeparator" w:id="1">
    <w:p w:rsidR="00DD5B16">
      <w:pPr>
        <w:rPr>
          <w:sz w:val="20"/>
        </w:rPr>
      </w:pPr>
      <w:r>
        <w:rPr>
          <w:sz w:val="20"/>
        </w:rPr>
        <w:t xml:space="preserve">(Continued from previous page)  </w:t>
      </w:r>
      <w:r>
        <w:rPr>
          <w:sz w:val="20"/>
        </w:rPr>
        <w:separator/>
      </w:r>
    </w:p>
  </w:footnote>
  <w:footnote w:type="continuationNotice" w:id="2">
    <w:p w:rsidR="00DD5B16" w:rsidP="00910F12">
      <w:pPr>
        <w:jc w:val="right"/>
        <w:rPr>
          <w:sz w:val="20"/>
        </w:rPr>
      </w:pPr>
      <w:r>
        <w:rPr>
          <w:sz w:val="20"/>
        </w:rPr>
        <w:t>(continued….)</w:t>
      </w:r>
    </w:p>
  </w:footnote>
  <w:footnote w:id="3">
    <w:p w:rsidR="00DD5B16" w:rsidRPr="00F536C1" w:rsidP="00DD5B16">
      <w:pPr>
        <w:pStyle w:val="FootnoteText"/>
      </w:pPr>
      <w:r w:rsidRPr="00021F2D">
        <w:rPr>
          <w:rStyle w:val="FootnoteReference"/>
        </w:rPr>
        <w:footnoteRef/>
      </w:r>
      <w:r w:rsidRPr="00021F2D">
        <w:t xml:space="preserve"> </w:t>
      </w:r>
      <w:r w:rsidRPr="00F536C1">
        <w:t>47 U.S.C. §§ 214; 47 CFR §§ 63.03-04, 63.18, 63.24.</w:t>
      </w:r>
    </w:p>
  </w:footnote>
  <w:footnote w:id="4">
    <w:p w:rsidR="00DD5B16" w:rsidRPr="00F536C1" w:rsidP="00DD5B16">
      <w:pPr>
        <w:pStyle w:val="FootnoteText"/>
      </w:pPr>
      <w:r w:rsidRPr="00F536C1">
        <w:rPr>
          <w:rStyle w:val="FootnoteReference"/>
        </w:rPr>
        <w:footnoteRef/>
      </w:r>
      <w:r w:rsidRPr="00F536C1">
        <w:t xml:space="preserve"> Joint Application of Fusion Connect, Inc., Debtor-in-Possession, and Telecom Holdings, LLC for Consent to a Transaction that Will Result in a Change of Control of Companies Holding Domestic and International Authority Pursuant to Section 214 of the Communications Act of 1934, as Amended, WC Docket No. 19-262, IB File No. ITC-ASG-20190724-00136 (filed July 24, 2019) (Application).  Applicants have also filed applications for the transfer of control of wireless licenses.  </w:t>
      </w:r>
      <w:r w:rsidRPr="00F536C1">
        <w:rPr>
          <w:i/>
        </w:rPr>
        <w:t>See</w:t>
      </w:r>
      <w:r w:rsidRPr="00F536C1">
        <w:t xml:space="preserve"> ULS File No. 0008738034.  Any action on the section 214 applications is without prejudice to Commission action on other related pending applications.     </w:t>
      </w:r>
    </w:p>
  </w:footnote>
  <w:footnote w:id="5">
    <w:p w:rsidR="00DD5B16" w:rsidRPr="00F536C1" w:rsidP="00DD5B16">
      <w:pPr>
        <w:pStyle w:val="FootnoteText"/>
      </w:pPr>
      <w:r w:rsidRPr="00F536C1">
        <w:rPr>
          <w:rStyle w:val="FootnoteReference"/>
        </w:rPr>
        <w:footnoteRef/>
      </w:r>
      <w:r w:rsidRPr="00F536C1">
        <w:t xml:space="preserve"> Petition for Temporary and Limited Waiver of Sections 1.5000(a)(1), 63.04, and 63.18 of the Commission’s Rules; WC Docket No. 19-262, ITC-ASG-20190724-00136, WTB File No. 0008738034, ISP-WAV-20191009-00007, ITC-WAV-20191009-00165</w:t>
      </w:r>
      <w:r w:rsidR="005C010B">
        <w:t xml:space="preserve">, </w:t>
      </w:r>
      <w:r w:rsidR="006377FA">
        <w:t>at 3-4</w:t>
      </w:r>
      <w:r w:rsidRPr="00F536C1">
        <w:t xml:space="preserve"> (dated Oct. 8, 2019) (Waiver Request).</w:t>
      </w:r>
    </w:p>
  </w:footnote>
  <w:footnote w:id="6">
    <w:p w:rsidR="00DD5B16" w:rsidRPr="00F536C1" w:rsidP="00DD5B16">
      <w:pPr>
        <w:pStyle w:val="FootnoteText"/>
      </w:pPr>
      <w:r w:rsidRPr="00F536C1">
        <w:rPr>
          <w:rStyle w:val="FootnoteReference"/>
        </w:rPr>
        <w:footnoteRef/>
      </w:r>
      <w:r w:rsidRPr="00F536C1">
        <w:t xml:space="preserve"> 47 CFR §§ 1.2112, 1.5000(a)(1), 63.03, 63.04, 63.18, 63.24. </w:t>
      </w:r>
    </w:p>
  </w:footnote>
  <w:footnote w:id="7">
    <w:p w:rsidR="00DD5B16" w:rsidRPr="00F536C1" w:rsidP="00DD5B16">
      <w:pPr>
        <w:pStyle w:val="FootnoteText"/>
      </w:pPr>
      <w:r w:rsidRPr="00831AA2">
        <w:rPr>
          <w:rStyle w:val="FootnoteReference"/>
        </w:rPr>
        <w:footnoteRef/>
      </w:r>
      <w:r w:rsidRPr="00831AA2">
        <w:t xml:space="preserve"> </w:t>
      </w:r>
      <w:r w:rsidR="00DE59A1">
        <w:t>Application</w:t>
      </w:r>
      <w:r w:rsidRPr="00F536C1">
        <w:t xml:space="preserve"> at 4-5.  On June 3, 2019, the Fusion Companies commenced with the United States Bankruptcy Court for the Southern District of New York (Bankruptcy Court) a voluntary case under chapter 11 of the United States Code.  </w:t>
      </w:r>
      <w:r w:rsidRPr="00F536C1">
        <w:rPr>
          <w:i/>
        </w:rPr>
        <w:t>Id</w:t>
      </w:r>
      <w:r w:rsidRPr="00F536C1">
        <w:t>. at 1-2 (citing</w:t>
      </w:r>
      <w:r w:rsidRPr="00F536C1">
        <w:rPr>
          <w:i/>
        </w:rPr>
        <w:t xml:space="preserve"> Fusion Connect, Inc., et al., Debtors</w:t>
      </w:r>
      <w:r w:rsidRPr="00F536C1">
        <w:t xml:space="preserve">, Case No. 19-11811 (Bankr. S.D.N.Y. June 3, 2019)).  On August 29, September 5, September 17, </w:t>
      </w:r>
      <w:r w:rsidR="0031237C">
        <w:t xml:space="preserve">and September 20, </w:t>
      </w:r>
      <w:r w:rsidRPr="00F536C1">
        <w:t xml:space="preserve">2019, Applicants filed with the Commission supplements to the Application explaining that the proposed transaction, as described in the Application, is under review by the Bankruptcy Court, and also submitted an Amended Chapter 11 Plan of Reorganization and Disclosure Statement.  Letter from Edward A. Yorkgitis, Jr. and Winafred R. Brantl, Counsel for Fusion Connect, Inc., and Wayne D. Johnson, Counsel for Telecom Holdings LLC, to Marlene H. Dortch, Secretary, FCC, WC Docket No. 19-262 (filed Aug. 29, 2019);  </w:t>
      </w:r>
      <w:bookmarkStart w:id="4" w:name="_Hlk19709155"/>
      <w:r w:rsidRPr="00F536C1">
        <w:t>Letter from Edward A. Yorkgitis, Jr. and Winafred R. Brantl, Counsel for Fusion Connect, Inc., and Wayne D. Johnson, Counsel for Telecom Holdings LLC, to Marlene H. Dortch, Secretary, FCC, WC Docket No. 19-262 (filed Sept. 5, 2019)</w:t>
      </w:r>
      <w:bookmarkEnd w:id="4"/>
      <w:r w:rsidRPr="00F536C1">
        <w:t>; Letter from Edward A. Yorkgitis, Jr. and Winafred R. Brantl, Counsel for Fusion Connect, Inc., and Wayne D. Johnson, Counsel for Telecom Holdings LLC, to Marlene H. Dortch, Secretary, FCC, WC Docket No. 19-262 (filed Sept. 17, 2019)</w:t>
      </w:r>
      <w:r w:rsidR="0031237C">
        <w:t xml:space="preserve">; </w:t>
      </w:r>
      <w:r w:rsidRPr="00F536C1" w:rsidR="0031237C">
        <w:t xml:space="preserve">Letter from Edward A. Yorkgitis, Jr. and Winafred R. Brantl, Counsel for Fusion Connect, Inc., and Wayne D. Johnson, Counsel for Telecom Holdings LLC, to Marlene H. Dortch, Secretary, FCC, WC Docket No. 19-262 (filed Sept. </w:t>
      </w:r>
      <w:r w:rsidR="0031237C">
        <w:t>20</w:t>
      </w:r>
      <w:r w:rsidRPr="00F536C1" w:rsidR="0031237C">
        <w:t>, 2019)</w:t>
      </w:r>
      <w:r w:rsidRPr="00F536C1">
        <w:t>.</w:t>
      </w:r>
    </w:p>
  </w:footnote>
  <w:footnote w:id="8">
    <w:p w:rsidR="00DD5B16" w:rsidRPr="00F536C1" w:rsidP="00DD5B16">
      <w:pPr>
        <w:pStyle w:val="FootnoteText"/>
      </w:pPr>
      <w:r w:rsidRPr="00F536C1">
        <w:rPr>
          <w:rStyle w:val="FootnoteReference"/>
        </w:rPr>
        <w:footnoteRef/>
      </w:r>
      <w:r w:rsidRPr="00F536C1">
        <w:t xml:space="preserve"> Application 2, 6-7.</w:t>
      </w:r>
    </w:p>
  </w:footnote>
  <w:footnote w:id="9">
    <w:p w:rsidR="00DD5B16" w:rsidRPr="00F536C1" w:rsidP="00DD5B16">
      <w:pPr>
        <w:pStyle w:val="FootnoteText"/>
      </w:pPr>
      <w:r w:rsidRPr="00F536C1">
        <w:rPr>
          <w:rStyle w:val="FootnoteReference"/>
        </w:rPr>
        <w:footnoteRef/>
      </w:r>
      <w:r w:rsidRPr="00F536C1">
        <w:t xml:space="preserve"> </w:t>
      </w:r>
      <w:r w:rsidRPr="00F536C1">
        <w:rPr>
          <w:i/>
        </w:rPr>
        <w:t>Id</w:t>
      </w:r>
      <w:r w:rsidRPr="00F536C1">
        <w:t>. at 7.</w:t>
      </w:r>
    </w:p>
  </w:footnote>
  <w:footnote w:id="10">
    <w:p w:rsidR="00DD5B16" w:rsidRPr="00F536C1" w:rsidP="00DD5B16">
      <w:pPr>
        <w:pStyle w:val="FootnoteText"/>
      </w:pPr>
      <w:r w:rsidRPr="00F536C1">
        <w:rPr>
          <w:rStyle w:val="FootnoteReference"/>
        </w:rPr>
        <w:footnoteRef/>
      </w:r>
      <w:r w:rsidRPr="00F536C1">
        <w:t xml:space="preserve"> </w:t>
      </w:r>
      <w:r w:rsidRPr="00F536C1">
        <w:rPr>
          <w:i/>
        </w:rPr>
        <w:t>Id</w:t>
      </w:r>
      <w:r w:rsidRPr="00F536C1">
        <w:t>. at 12.</w:t>
      </w:r>
    </w:p>
  </w:footnote>
  <w:footnote w:id="11">
    <w:p w:rsidR="00DD5B16" w:rsidRPr="00F536C1" w:rsidP="00DD5B16">
      <w:pPr>
        <w:pStyle w:val="FootnoteText"/>
      </w:pPr>
      <w:r w:rsidRPr="00F536C1">
        <w:rPr>
          <w:rStyle w:val="FootnoteReference"/>
        </w:rPr>
        <w:footnoteRef/>
      </w:r>
      <w:r w:rsidRPr="00F536C1">
        <w:t xml:space="preserve"> </w:t>
      </w:r>
      <w:r w:rsidRPr="00F536C1">
        <w:rPr>
          <w:i/>
        </w:rPr>
        <w:t>Id</w:t>
      </w:r>
      <w:r w:rsidRPr="00F536C1">
        <w:t>. at 2.</w:t>
      </w:r>
    </w:p>
  </w:footnote>
  <w:footnote w:id="12">
    <w:p w:rsidR="00DD5B16" w:rsidRPr="00F536C1" w:rsidP="00DD5B16">
      <w:pPr>
        <w:pStyle w:val="FootnoteText"/>
      </w:pPr>
      <w:r w:rsidRPr="00F536C1">
        <w:rPr>
          <w:rStyle w:val="FootnoteReference"/>
        </w:rPr>
        <w:footnoteRef/>
      </w:r>
      <w:r w:rsidRPr="00F536C1">
        <w:t xml:space="preserve"> </w:t>
      </w:r>
      <w:r w:rsidRPr="00F536C1">
        <w:rPr>
          <w:i/>
        </w:rPr>
        <w:t>Id.</w:t>
      </w:r>
      <w:r w:rsidRPr="00F536C1">
        <w:t xml:space="preserve"> at 7.</w:t>
      </w:r>
    </w:p>
  </w:footnote>
  <w:footnote w:id="13">
    <w:p w:rsidR="00DD5B16" w:rsidRPr="006B2A63" w:rsidP="00DD5B16">
      <w:pPr>
        <w:pStyle w:val="FootnoteText"/>
      </w:pPr>
      <w:r w:rsidRPr="00F536C1">
        <w:rPr>
          <w:rStyle w:val="FootnoteReference"/>
        </w:rPr>
        <w:footnoteRef/>
      </w:r>
      <w:r w:rsidRPr="00F536C1">
        <w:t xml:space="preserve"> </w:t>
      </w:r>
      <w:r w:rsidRPr="00F536C1">
        <w:rPr>
          <w:i/>
        </w:rPr>
        <w:t>Id</w:t>
      </w:r>
      <w:r w:rsidRPr="00F536C1">
        <w:t xml:space="preserve">. at 6.  </w:t>
      </w:r>
      <w:r w:rsidR="0031237C">
        <w:t>T</w:t>
      </w:r>
      <w:r w:rsidRPr="00F536C1">
        <w:t xml:space="preserve">he remaining common stock in Reorganized FCI will be held in varying amounts by </w:t>
      </w:r>
      <w:r w:rsidR="006377FA">
        <w:t xml:space="preserve">the </w:t>
      </w:r>
      <w:r w:rsidRPr="00F536C1">
        <w:t xml:space="preserve">Lenders, none of which, according to the Applicants, will hold common stock representing an </w:t>
      </w:r>
      <w:r w:rsidRPr="0096330C">
        <w:t>equity or voting interest of 10% or more of Reorganized FCI when it emerges from bankruptcy.</w:t>
      </w:r>
      <w:r>
        <w:t xml:space="preserve">  </w:t>
      </w:r>
      <w:r w:rsidRPr="006B2A63">
        <w:rPr>
          <w:i/>
        </w:rPr>
        <w:t>Id.</w:t>
      </w:r>
      <w:r w:rsidRPr="006B2A63">
        <w:t xml:space="preserve"> at 2, 6-7.  </w:t>
      </w:r>
      <w:r>
        <w:t xml:space="preserve">  </w:t>
      </w:r>
    </w:p>
  </w:footnote>
  <w:footnote w:id="14">
    <w:p w:rsidR="00DD5B16" w:rsidRPr="00F536C1" w:rsidP="00DD5B16">
      <w:pPr>
        <w:pStyle w:val="FootnoteText"/>
      </w:pPr>
      <w:r>
        <w:rPr>
          <w:rStyle w:val="FootnoteReference"/>
        </w:rPr>
        <w:footnoteRef/>
      </w:r>
      <w:r>
        <w:t xml:space="preserve"> </w:t>
      </w:r>
      <w:r w:rsidRPr="00F536C1">
        <w:rPr>
          <w:i/>
        </w:rPr>
        <w:t>Id.</w:t>
      </w:r>
      <w:r w:rsidRPr="00F536C1">
        <w:t xml:space="preserve">  </w:t>
      </w:r>
    </w:p>
  </w:footnote>
  <w:footnote w:id="15">
    <w:p w:rsidR="00DD5B16" w:rsidRPr="00267774" w:rsidP="00DD5B16">
      <w:pPr>
        <w:pStyle w:val="FootnoteText"/>
      </w:pPr>
      <w:r w:rsidRPr="00267774">
        <w:rPr>
          <w:rStyle w:val="FootnoteReference"/>
        </w:rPr>
        <w:footnoteRef/>
      </w:r>
      <w:r w:rsidRPr="00267774">
        <w:t xml:space="preserve"> </w:t>
      </w:r>
      <w:r w:rsidRPr="00267774">
        <w:rPr>
          <w:i/>
        </w:rPr>
        <w:t>Id.</w:t>
      </w:r>
      <w:r w:rsidRPr="00267774">
        <w:t xml:space="preserve"> at 8.</w:t>
      </w:r>
    </w:p>
  </w:footnote>
  <w:footnote w:id="16">
    <w:p w:rsidR="00DD5B16" w:rsidRPr="00F536C1" w:rsidP="00DD5B16">
      <w:pPr>
        <w:pStyle w:val="FootnoteText"/>
      </w:pPr>
      <w:r w:rsidRPr="00F536C1">
        <w:rPr>
          <w:rStyle w:val="FootnoteReference"/>
        </w:rPr>
        <w:footnoteRef/>
      </w:r>
      <w:r w:rsidRPr="00267774">
        <w:t xml:space="preserve"> Waiver Request at 3-4 (stating that the Applicants are submitting the Waiver Request out of an abundance of caution should it be necessary depending on how the Special Warrants are treated by the Commission).</w:t>
      </w:r>
      <w:r w:rsidRPr="00F536C1">
        <w:t xml:space="preserve"> </w:t>
      </w:r>
    </w:p>
  </w:footnote>
  <w:footnote w:id="17">
    <w:p w:rsidR="00DD5B16" w:rsidRPr="00267774" w:rsidP="00DD5B16">
      <w:pPr>
        <w:pStyle w:val="FootnoteText"/>
      </w:pPr>
      <w:r w:rsidRPr="00267774">
        <w:rPr>
          <w:rStyle w:val="FootnoteReference"/>
        </w:rPr>
        <w:footnoteRef/>
      </w:r>
      <w:r w:rsidRPr="00267774">
        <w:t xml:space="preserve"> Waiver Request at 4 (emphasis in original).  It is expected that there will be no controlling interest holder in Fusion Connect at that point.</w:t>
      </w:r>
      <w:r w:rsidR="006377FA">
        <w:t xml:space="preserve">  </w:t>
      </w:r>
      <w:r w:rsidR="006377FA">
        <w:rPr>
          <w:i/>
        </w:rPr>
        <w:t>Id</w:t>
      </w:r>
      <w:r w:rsidR="006377FA">
        <w:t>. at 4, n.6.</w:t>
      </w:r>
      <w:r w:rsidRPr="00267774">
        <w:t xml:space="preserve">  </w:t>
      </w:r>
    </w:p>
  </w:footnote>
  <w:footnote w:id="18">
    <w:p w:rsidR="00DD5B16" w:rsidRPr="00267774" w:rsidP="00DD5B16">
      <w:pPr>
        <w:pStyle w:val="FootnoteText"/>
      </w:pPr>
      <w:r w:rsidRPr="00267774">
        <w:rPr>
          <w:rStyle w:val="FootnoteReference"/>
        </w:rPr>
        <w:footnoteRef/>
      </w:r>
      <w:r w:rsidRPr="00267774">
        <w:t xml:space="preserve"> </w:t>
      </w:r>
      <w:r w:rsidRPr="00267774">
        <w:rPr>
          <w:i/>
        </w:rPr>
        <w:t>Id</w:t>
      </w:r>
      <w:r w:rsidRPr="00267774">
        <w:t>. at 4</w:t>
      </w:r>
      <w:r w:rsidR="0031237C">
        <w:t>,</w:t>
      </w:r>
      <w:r w:rsidRPr="00267774">
        <w:t xml:space="preserve"> n.7.  </w:t>
      </w:r>
      <w:r w:rsidRPr="00267774">
        <w:rPr>
          <w:i/>
        </w:rPr>
        <w:t>See also</w:t>
      </w:r>
      <w:r w:rsidRPr="00267774">
        <w:t xml:space="preserve"> Application at 8</w:t>
      </w:r>
      <w:r w:rsidR="0031237C">
        <w:t>,</w:t>
      </w:r>
      <w:r w:rsidRPr="00267774">
        <w:t xml:space="preserve"> n.15.</w:t>
      </w:r>
    </w:p>
  </w:footnote>
  <w:footnote w:id="19">
    <w:p w:rsidR="00DD5B16" w:rsidRPr="00F536C1" w:rsidP="00DD5B16">
      <w:pPr>
        <w:pStyle w:val="FootnoteText"/>
      </w:pPr>
      <w:r w:rsidRPr="00F536C1">
        <w:rPr>
          <w:rStyle w:val="FootnoteReference"/>
        </w:rPr>
        <w:footnoteRef/>
      </w:r>
      <w:r w:rsidRPr="00F536C1">
        <w:t xml:space="preserve"> Waiver Request at 12.</w:t>
      </w:r>
    </w:p>
  </w:footnote>
  <w:footnote w:id="20">
    <w:p w:rsidR="00DD5B16" w:rsidRPr="00267774" w:rsidP="00DD5B16">
      <w:pPr>
        <w:pStyle w:val="FootnoteText"/>
      </w:pPr>
      <w:r w:rsidRPr="00F536C1">
        <w:rPr>
          <w:rStyle w:val="FootnoteReference"/>
        </w:rPr>
        <w:footnoteRef/>
      </w:r>
      <w:r w:rsidRPr="00F536C1">
        <w:t xml:space="preserve"> Application at 2, 6, 9-10.</w:t>
      </w:r>
    </w:p>
  </w:footnote>
  <w:footnote w:id="21">
    <w:p w:rsidR="00DD5B16" w:rsidRPr="00634060" w:rsidP="00DD5B16">
      <w:pPr>
        <w:pStyle w:val="FootnoteText"/>
      </w:pPr>
      <w:r w:rsidRPr="00021F2D">
        <w:rPr>
          <w:rStyle w:val="FootnoteReference"/>
        </w:rPr>
        <w:footnoteRef/>
      </w:r>
      <w:r w:rsidRPr="00021F2D">
        <w:t xml:space="preserve"> </w:t>
      </w:r>
      <w:r w:rsidRPr="00634060">
        <w:rPr>
          <w:i/>
        </w:rPr>
        <w:t>See</w:t>
      </w:r>
      <w:r w:rsidRPr="00634060">
        <w:t xml:space="preserve"> 47 CFR § 1.45(c).</w:t>
      </w:r>
    </w:p>
  </w:footnote>
  <w:footnote w:id="22">
    <w:p w:rsidR="00DD5B16" w:rsidRPr="00021F2D" w:rsidP="00DD5B16">
      <w:pPr>
        <w:pStyle w:val="FootnoteText"/>
        <w:rPr>
          <w:color w:val="000000"/>
        </w:rPr>
      </w:pPr>
      <w:r w:rsidRPr="00021F2D">
        <w:rPr>
          <w:rStyle w:val="FootnoteReference"/>
          <w:color w:val="000000"/>
        </w:rPr>
        <w:footnoteRef/>
      </w:r>
      <w:r w:rsidRPr="00021F2D">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4" w:name="_Hlt233824"/>
                <w:hyperlink r:id="rId2" w:history="1">
                  <w:r w:rsidRPr="00D216CD">
                    <w:rPr>
                      <w:rStyle w:val="Hyperlink"/>
                      <w:rFonts w:ascii="Arial" w:hAnsi="Arial"/>
                      <w:b/>
                      <w:sz w:val="16"/>
                    </w:rPr>
                    <w:t>h</w:t>
                  </w:r>
                  <w:bookmarkEnd w:id="1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16"/>
    <w:rsid w:val="000072CE"/>
    <w:rsid w:val="00013A8B"/>
    <w:rsid w:val="00021445"/>
    <w:rsid w:val="00021F2D"/>
    <w:rsid w:val="00036039"/>
    <w:rsid w:val="00037F90"/>
    <w:rsid w:val="00063A1E"/>
    <w:rsid w:val="000875BF"/>
    <w:rsid w:val="0009631D"/>
    <w:rsid w:val="00096D8C"/>
    <w:rsid w:val="000C0B65"/>
    <w:rsid w:val="000E3D42"/>
    <w:rsid w:val="000E5884"/>
    <w:rsid w:val="00122BD5"/>
    <w:rsid w:val="001979D9"/>
    <w:rsid w:val="001D6BCF"/>
    <w:rsid w:val="001E01CA"/>
    <w:rsid w:val="002060D9"/>
    <w:rsid w:val="0022664E"/>
    <w:rsid w:val="00226822"/>
    <w:rsid w:val="00260594"/>
    <w:rsid w:val="00267774"/>
    <w:rsid w:val="00285017"/>
    <w:rsid w:val="002A2D2E"/>
    <w:rsid w:val="0031237C"/>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E75F5"/>
    <w:rsid w:val="004F731A"/>
    <w:rsid w:val="00511968"/>
    <w:rsid w:val="0055614C"/>
    <w:rsid w:val="00585942"/>
    <w:rsid w:val="005B2DE2"/>
    <w:rsid w:val="005C010B"/>
    <w:rsid w:val="00607BA5"/>
    <w:rsid w:val="00626EB6"/>
    <w:rsid w:val="00634060"/>
    <w:rsid w:val="006353A3"/>
    <w:rsid w:val="006377FA"/>
    <w:rsid w:val="0064795F"/>
    <w:rsid w:val="006538F7"/>
    <w:rsid w:val="00655D03"/>
    <w:rsid w:val="00683F84"/>
    <w:rsid w:val="006A6A81"/>
    <w:rsid w:val="006B2A63"/>
    <w:rsid w:val="006E26AF"/>
    <w:rsid w:val="006F1A16"/>
    <w:rsid w:val="006F7393"/>
    <w:rsid w:val="0070224F"/>
    <w:rsid w:val="00704B2F"/>
    <w:rsid w:val="007115F7"/>
    <w:rsid w:val="007656E1"/>
    <w:rsid w:val="00773651"/>
    <w:rsid w:val="00785689"/>
    <w:rsid w:val="0079754B"/>
    <w:rsid w:val="007A1E6D"/>
    <w:rsid w:val="00801320"/>
    <w:rsid w:val="00822CE0"/>
    <w:rsid w:val="00831AA2"/>
    <w:rsid w:val="00837C62"/>
    <w:rsid w:val="00841AB1"/>
    <w:rsid w:val="008C22FD"/>
    <w:rsid w:val="008D3514"/>
    <w:rsid w:val="008E581F"/>
    <w:rsid w:val="00910F12"/>
    <w:rsid w:val="00926503"/>
    <w:rsid w:val="00930ECF"/>
    <w:rsid w:val="009463B9"/>
    <w:rsid w:val="0096330C"/>
    <w:rsid w:val="009838BC"/>
    <w:rsid w:val="009B4D8B"/>
    <w:rsid w:val="00A06C90"/>
    <w:rsid w:val="00A45F4F"/>
    <w:rsid w:val="00A600A9"/>
    <w:rsid w:val="00A866AC"/>
    <w:rsid w:val="00AA55B7"/>
    <w:rsid w:val="00AA5B9E"/>
    <w:rsid w:val="00AB2407"/>
    <w:rsid w:val="00AB53DF"/>
    <w:rsid w:val="00AF1348"/>
    <w:rsid w:val="00B07E5C"/>
    <w:rsid w:val="00B326E3"/>
    <w:rsid w:val="00B62EDB"/>
    <w:rsid w:val="00B811F7"/>
    <w:rsid w:val="00BA5DC6"/>
    <w:rsid w:val="00BA6196"/>
    <w:rsid w:val="00BC6D8C"/>
    <w:rsid w:val="00C054CA"/>
    <w:rsid w:val="00C16AF2"/>
    <w:rsid w:val="00C34006"/>
    <w:rsid w:val="00C426B1"/>
    <w:rsid w:val="00C82B6B"/>
    <w:rsid w:val="00C90D6A"/>
    <w:rsid w:val="00CC72B6"/>
    <w:rsid w:val="00D0218D"/>
    <w:rsid w:val="00D216CD"/>
    <w:rsid w:val="00D463D2"/>
    <w:rsid w:val="00D8040C"/>
    <w:rsid w:val="00DA2529"/>
    <w:rsid w:val="00DB130A"/>
    <w:rsid w:val="00DC10A1"/>
    <w:rsid w:val="00DC655F"/>
    <w:rsid w:val="00DC7DA4"/>
    <w:rsid w:val="00DD5B16"/>
    <w:rsid w:val="00DD7EBD"/>
    <w:rsid w:val="00DE59A1"/>
    <w:rsid w:val="00DF62B6"/>
    <w:rsid w:val="00E07225"/>
    <w:rsid w:val="00E155B7"/>
    <w:rsid w:val="00E5409F"/>
    <w:rsid w:val="00E704CE"/>
    <w:rsid w:val="00EC0185"/>
    <w:rsid w:val="00F021FA"/>
    <w:rsid w:val="00F536C1"/>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97BB89-DCE4-4A81-B2BB-C3D307A6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1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DD5B16"/>
  </w:style>
  <w:style w:type="character" w:customStyle="1" w:styleId="HeaderChar">
    <w:name w:val="Header Char"/>
    <w:link w:val="Header"/>
    <w:rsid w:val="00DD5B16"/>
    <w:rPr>
      <w:rFonts w:ascii="Arial" w:hAnsi="Arial" w:cs="Arial"/>
      <w:b/>
      <w:snapToGrid w:val="0"/>
      <w:kern w:val="28"/>
      <w:sz w:val="96"/>
      <w:szCs w:val="96"/>
    </w:rPr>
  </w:style>
  <w:style w:type="paragraph" w:styleId="NoSpacing">
    <w:name w:val="No Spacing"/>
    <w:uiPriority w:val="1"/>
    <w:qFormat/>
    <w:rsid w:val="00DD5B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vid.krech@fcc.gov" TargetMode="External" /><Relationship Id="rId7" Type="http://schemas.openxmlformats.org/officeDocument/2006/relationships/hyperlink" Target="mailto:jim.bird@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