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1A0B38" w:rsidRPr="00100E1F" w:rsidP="001A0B38">
      <w:pPr>
        <w:jc w:val="right"/>
        <w:rPr>
          <w:b/>
          <w:szCs w:val="22"/>
        </w:rPr>
      </w:pPr>
      <w:r w:rsidRPr="00100E1F">
        <w:rPr>
          <w:b/>
          <w:szCs w:val="22"/>
        </w:rPr>
        <w:t xml:space="preserve">DA </w:t>
      </w:r>
      <w:r>
        <w:rPr>
          <w:b/>
          <w:szCs w:val="22"/>
        </w:rPr>
        <w:t>19-</w:t>
      </w:r>
      <w:r w:rsidR="00F55EB2">
        <w:rPr>
          <w:b/>
          <w:szCs w:val="22"/>
        </w:rPr>
        <w:t>1039</w:t>
      </w:r>
    </w:p>
    <w:p w:rsidR="001A0B38" w:rsidRPr="00100E1F" w:rsidP="001A0B38">
      <w:pPr>
        <w:ind w:left="1440" w:firstLine="720"/>
        <w:jc w:val="right"/>
        <w:rPr>
          <w:b/>
          <w:szCs w:val="22"/>
        </w:rPr>
      </w:pPr>
      <w:r>
        <w:rPr>
          <w:b/>
          <w:szCs w:val="22"/>
        </w:rPr>
        <w:t xml:space="preserve">October </w:t>
      </w:r>
      <w:r w:rsidR="00F55EB2">
        <w:rPr>
          <w:b/>
          <w:szCs w:val="22"/>
        </w:rPr>
        <w:t>15</w:t>
      </w:r>
      <w:r w:rsidRPr="00100E1F">
        <w:rPr>
          <w:b/>
          <w:szCs w:val="22"/>
        </w:rPr>
        <w:t>, 2019</w:t>
      </w:r>
    </w:p>
    <w:p w:rsidR="001A0B38" w:rsidRPr="00100E1F" w:rsidP="001A0B38">
      <w:pPr>
        <w:jc w:val="right"/>
        <w:rPr>
          <w:szCs w:val="22"/>
        </w:rPr>
      </w:pPr>
    </w:p>
    <w:p w:rsidR="001A0B38" w:rsidRPr="003461BE" w:rsidP="001A0B38">
      <w:pPr>
        <w:spacing w:after="240"/>
        <w:jc w:val="center"/>
        <w:rPr>
          <w:b/>
        </w:rPr>
      </w:pPr>
      <w:r w:rsidRPr="003461BE">
        <w:rPr>
          <w:b/>
        </w:rPr>
        <w:t>PUBLIC SAFETY AND HOMELAND SECURITY BUREAU ENCOURAGES COMMUNICATIONS SERVICE PROVIDERS TO IMPLEMENT IMPORTANT NETWORK RELIABILITY PRACTICES</w:t>
      </w:r>
    </w:p>
    <w:p w:rsidR="001A0B38" w:rsidP="001A0B38">
      <w:pPr>
        <w:spacing w:before="74"/>
        <w:ind w:left="215" w:right="340"/>
      </w:pPr>
      <w:r w:rsidRPr="00054806">
        <w:rPr>
          <w:spacing w:val="-1"/>
        </w:rPr>
        <w:t>By</w:t>
      </w:r>
      <w:r w:rsidRPr="00054806">
        <w:rPr>
          <w:spacing w:val="-18"/>
        </w:rPr>
        <w:t xml:space="preserve"> </w:t>
      </w:r>
      <w:r w:rsidRPr="0052239D">
        <w:t xml:space="preserve">this Public Notice, the Public Safety and Homeland Security Bureau (Bureau) </w:t>
      </w:r>
      <w:r>
        <w:t>shares</w:t>
      </w:r>
      <w:r w:rsidRPr="0052239D">
        <w:t xml:space="preserve"> lessons learned from </w:t>
      </w:r>
      <w:r>
        <w:t xml:space="preserve">several recent </w:t>
      </w:r>
      <w:r w:rsidRPr="0052239D">
        <w:t xml:space="preserve">major </w:t>
      </w:r>
      <w:r>
        <w:t xml:space="preserve">communications </w:t>
      </w:r>
      <w:r w:rsidRPr="0052239D">
        <w:t>network outages and reminds and encourages communications service providers to review industry best practices to ensure network reliability.</w:t>
      </w:r>
      <w:r>
        <w:rPr>
          <w:rStyle w:val="FootnoteReference"/>
        </w:rPr>
        <w:footnoteReference w:id="3"/>
      </w:r>
      <w:r>
        <w:t xml:space="preserve">  These outages could likely have been prevented or mitigated if the provider</w:t>
      </w:r>
      <w:bookmarkStart w:id="0" w:name="_GoBack"/>
      <w:bookmarkEnd w:id="0"/>
      <w:r>
        <w:t xml:space="preserve">s had followed certain network reliability best practices. </w:t>
      </w:r>
    </w:p>
    <w:p w:rsidR="001A0B38" w:rsidRPr="003461BE" w:rsidP="001A0B38">
      <w:pPr>
        <w:spacing w:before="74"/>
        <w:ind w:left="215" w:right="340"/>
      </w:pPr>
      <w:r>
        <w:rPr>
          <w:w w:val="105"/>
        </w:rPr>
        <w:t>T</w:t>
      </w:r>
      <w:r w:rsidRPr="003461BE">
        <w:rPr>
          <w:w w:val="105"/>
        </w:rPr>
        <w:t xml:space="preserve">he Bureau encourages communications service providers to implement the following industry best practices, as previously recommended by the Federal Communications Commission’s (Commission) Communications Security, Reliability </w:t>
      </w:r>
      <w:r w:rsidRPr="003461BE">
        <w:t>and Interoperability Council (CSRIC):</w:t>
      </w:r>
      <w:r>
        <w:rPr>
          <w:rStyle w:val="FootnoteReference"/>
        </w:rPr>
        <w:footnoteReference w:id="4"/>
      </w:r>
      <w:r w:rsidRPr="003461BE">
        <w:br/>
      </w:r>
    </w:p>
    <w:p w:rsidR="001A0B38" w:rsidRPr="009D00C9" w:rsidP="001A0B38">
      <w:pPr>
        <w:pStyle w:val="ListParagraph"/>
        <w:numPr>
          <w:ilvl w:val="0"/>
          <w:numId w:val="9"/>
        </w:numPr>
        <w:rPr>
          <w:rFonts w:cs="Times New Roman"/>
          <w:sz w:val="22"/>
        </w:rPr>
      </w:pPr>
      <w:bookmarkStart w:id="1" w:name="_Hlk21429109"/>
      <w:r w:rsidRPr="003461BE">
        <w:rPr>
          <w:rFonts w:cs="Times New Roman"/>
          <w:i/>
          <w:sz w:val="22"/>
        </w:rPr>
        <w:t>Ensure Sufficient Circuit Diversity</w:t>
      </w:r>
      <w:r w:rsidRPr="003461BE">
        <w:rPr>
          <w:rFonts w:cs="Times New Roman"/>
          <w:sz w:val="22"/>
        </w:rPr>
        <w:t xml:space="preserve">.  </w:t>
      </w:r>
      <w:r w:rsidRPr="0052239D">
        <w:rPr>
          <w:sz w:val="22"/>
        </w:rPr>
        <w:t>Network operators, service providers</w:t>
      </w:r>
      <w:r>
        <w:rPr>
          <w:rStyle w:val="FootnoteReference"/>
        </w:rPr>
        <w:footnoteReference w:id="5"/>
      </w:r>
      <w:r w:rsidRPr="0052239D">
        <w:rPr>
          <w:sz w:val="22"/>
        </w:rPr>
        <w:t xml:space="preserve"> and public safety entities should periodically audit the physical and logical diversity</w:t>
      </w:r>
      <w:r>
        <w:rPr>
          <w:sz w:val="22"/>
        </w:rPr>
        <w:t>,</w:t>
      </w:r>
      <w:r>
        <w:rPr>
          <w:rStyle w:val="FootnoteReference"/>
        </w:rPr>
        <w:footnoteReference w:id="6"/>
      </w:r>
      <w:r>
        <w:rPr>
          <w:sz w:val="22"/>
        </w:rPr>
        <w:t xml:space="preserve"> including provider diversity,</w:t>
      </w:r>
      <w:r w:rsidRPr="0052239D">
        <w:rPr>
          <w:sz w:val="22"/>
        </w:rPr>
        <w:t xml:space="preserve"> </w:t>
      </w:r>
      <w:r w:rsidRPr="00C130D7">
        <w:rPr>
          <w:sz w:val="22"/>
        </w:rPr>
        <w:t xml:space="preserve">in their networks segment(s) </w:t>
      </w:r>
      <w:r w:rsidRPr="00C41264">
        <w:rPr>
          <w:sz w:val="22"/>
        </w:rPr>
        <w:t xml:space="preserve">to ensure that </w:t>
      </w:r>
      <w:r>
        <w:rPr>
          <w:sz w:val="22"/>
        </w:rPr>
        <w:t>a single outage won’t simultaneously affect different circuits.</w:t>
      </w:r>
      <w:r>
        <w:rPr>
          <w:rStyle w:val="FootnoteReference"/>
        </w:rPr>
        <w:footnoteReference w:id="7"/>
      </w:r>
      <w:r>
        <w:rPr>
          <w:sz w:val="22"/>
        </w:rPr>
        <w:t xml:space="preserve">  Covered </w:t>
      </w:r>
      <w:r w:rsidRPr="009D00C9">
        <w:rPr>
          <w:rFonts w:cs="Times New Roman"/>
          <w:sz w:val="22"/>
        </w:rPr>
        <w:t xml:space="preserve">providers and originating service providers may wish to pursue additional 911-specific actions </w:t>
      </w:r>
      <w:r w:rsidRPr="009D00C9">
        <w:rPr>
          <w:sz w:val="22"/>
        </w:rPr>
        <w:t xml:space="preserve">beyond primary and secondary routing to </w:t>
      </w:r>
      <w:r>
        <w:rPr>
          <w:sz w:val="22"/>
        </w:rPr>
        <w:t xml:space="preserve">911 call centers, or </w:t>
      </w:r>
      <w:r w:rsidRPr="009D00C9">
        <w:rPr>
          <w:sz w:val="22"/>
        </w:rPr>
        <w:t xml:space="preserve">Public Safety Access Points (PSAPs), including </w:t>
      </w:r>
      <w:r>
        <w:rPr>
          <w:sz w:val="22"/>
        </w:rPr>
        <w:t xml:space="preserve">a third option to </w:t>
      </w:r>
      <w:r w:rsidRPr="009D00C9">
        <w:rPr>
          <w:rFonts w:cs="Times New Roman"/>
          <w:sz w:val="22"/>
        </w:rPr>
        <w:t>rout</w:t>
      </w:r>
      <w:r>
        <w:rPr>
          <w:rFonts w:cs="Times New Roman"/>
          <w:sz w:val="22"/>
        </w:rPr>
        <w:t>e</w:t>
      </w:r>
      <w:r w:rsidRPr="009D00C9">
        <w:rPr>
          <w:rFonts w:cs="Times New Roman"/>
          <w:sz w:val="22"/>
        </w:rPr>
        <w:t xml:space="preserve"> 911 calls to administrative lines of destination P</w:t>
      </w:r>
      <w:r>
        <w:rPr>
          <w:rFonts w:cs="Times New Roman"/>
          <w:sz w:val="22"/>
        </w:rPr>
        <w:t>SAPs</w:t>
      </w:r>
      <w:r w:rsidRPr="009D00C9">
        <w:rPr>
          <w:rFonts w:cs="Times New Roman"/>
          <w:sz w:val="22"/>
        </w:rPr>
        <w:t xml:space="preserve"> and </w:t>
      </w:r>
      <w:r>
        <w:rPr>
          <w:rFonts w:cs="Times New Roman"/>
          <w:sz w:val="22"/>
        </w:rPr>
        <w:t xml:space="preserve">fourth option to route </w:t>
      </w:r>
      <w:r w:rsidRPr="009D00C9">
        <w:rPr>
          <w:rFonts w:cs="Times New Roman"/>
          <w:sz w:val="22"/>
        </w:rPr>
        <w:t xml:space="preserve">any remaining and otherwise undeliverable calls to a common national call center.  </w:t>
      </w:r>
    </w:p>
    <w:bookmarkEnd w:id="1"/>
    <w:p w:rsidR="001A0B38" w:rsidRPr="00504381" w:rsidP="001A0B38">
      <w:pPr>
        <w:pStyle w:val="ListParagraph"/>
        <w:numPr>
          <w:ilvl w:val="0"/>
          <w:numId w:val="9"/>
        </w:numPr>
        <w:rPr>
          <w:rFonts w:cs="Times New Roman"/>
          <w:sz w:val="22"/>
        </w:rPr>
      </w:pPr>
      <w:r w:rsidRPr="009D00C9">
        <w:rPr>
          <w:rFonts w:cs="Times New Roman"/>
          <w:i/>
          <w:sz w:val="22"/>
        </w:rPr>
        <w:t>Make Spare Equipment Available</w:t>
      </w:r>
      <w:r w:rsidRPr="00504381">
        <w:rPr>
          <w:rFonts w:cs="Times New Roman"/>
          <w:sz w:val="22"/>
        </w:rPr>
        <w:t xml:space="preserve">.  </w:t>
      </w:r>
      <w:r w:rsidRPr="0052239D">
        <w:rPr>
          <w:sz w:val="22"/>
        </w:rPr>
        <w:t>Network operators and service providers</w:t>
      </w:r>
      <w:r w:rsidRPr="0052239D">
        <w:rPr>
          <w:iCs/>
          <w:sz w:val="22"/>
        </w:rPr>
        <w:t xml:space="preserve"> should ensure that </w:t>
      </w:r>
      <w:r w:rsidRPr="0052239D">
        <w:rPr>
          <w:iCs/>
          <w:sz w:val="22"/>
        </w:rPr>
        <w:t>spare equipment for critical network system</w:t>
      </w:r>
      <w:r>
        <w:rPr>
          <w:iCs/>
          <w:sz w:val="22"/>
        </w:rPr>
        <w:t>s</w:t>
      </w:r>
      <w:r w:rsidRPr="0052239D">
        <w:rPr>
          <w:iCs/>
          <w:sz w:val="22"/>
        </w:rPr>
        <w:t xml:space="preserve"> is readily available for replacement purposes.</w:t>
      </w:r>
      <w:r>
        <w:rPr>
          <w:rStyle w:val="FootnoteReference"/>
          <w:iCs/>
        </w:rPr>
        <w:footnoteReference w:id="8"/>
      </w:r>
      <w:r w:rsidRPr="0052239D">
        <w:rPr>
          <w:iCs/>
          <w:sz w:val="22"/>
        </w:rPr>
        <w:t xml:space="preserve"> </w:t>
      </w:r>
      <w:r w:rsidRPr="009D00C9">
        <w:rPr>
          <w:rFonts w:cs="Times New Roman"/>
          <w:iCs/>
          <w:sz w:val="22"/>
        </w:rPr>
        <w:t xml:space="preserve"> </w:t>
      </w:r>
      <w:r w:rsidRPr="009D00C9">
        <w:rPr>
          <w:rFonts w:cs="Times New Roman"/>
          <w:sz w:val="22"/>
        </w:rPr>
        <w:t xml:space="preserve">Network operators and service providers may wish to </w:t>
      </w:r>
      <w:r w:rsidRPr="00504381">
        <w:rPr>
          <w:rFonts w:cs="Times New Roman"/>
          <w:sz w:val="22"/>
        </w:rPr>
        <w:t>take steps to ensure that critical spare equipment is maintained in multiple geographic locations, thereby reducing delivery times if the equipment is needed on short notice.</w:t>
      </w:r>
    </w:p>
    <w:p w:rsidR="001A0B38" w:rsidRPr="003461BE" w:rsidP="001A0B38">
      <w:pPr>
        <w:pStyle w:val="ListParagraph"/>
        <w:numPr>
          <w:ilvl w:val="0"/>
          <w:numId w:val="9"/>
        </w:numPr>
        <w:rPr>
          <w:rFonts w:cs="Times New Roman"/>
          <w:sz w:val="22"/>
        </w:rPr>
      </w:pPr>
      <w:bookmarkStart w:id="2" w:name="_Hlk21079990"/>
      <w:r w:rsidRPr="00504381">
        <w:rPr>
          <w:rFonts w:cs="Times New Roman"/>
          <w:i/>
          <w:sz w:val="22"/>
        </w:rPr>
        <w:t>Perform Work During Maintenance Windows</w:t>
      </w:r>
      <w:r w:rsidRPr="00504381">
        <w:rPr>
          <w:rFonts w:cs="Times New Roman"/>
          <w:sz w:val="22"/>
        </w:rPr>
        <w:t xml:space="preserve">.  </w:t>
      </w:r>
      <w:r w:rsidRPr="0052239D">
        <w:rPr>
          <w:sz w:val="22"/>
        </w:rPr>
        <w:t xml:space="preserve">Network operators and service providers should </w:t>
      </w:r>
      <w:r w:rsidRPr="0052239D">
        <w:rPr>
          <w:iCs/>
          <w:sz w:val="22"/>
        </w:rPr>
        <w:t xml:space="preserve">perform work on in-service equipment during </w:t>
      </w:r>
      <w:r>
        <w:rPr>
          <w:iCs/>
          <w:sz w:val="22"/>
        </w:rPr>
        <w:t>maintenance windows (thus during low traffic periods)</w:t>
      </w:r>
      <w:r w:rsidRPr="0052239D">
        <w:rPr>
          <w:iCs/>
          <w:sz w:val="22"/>
        </w:rPr>
        <w:t>.</w:t>
      </w:r>
      <w:r>
        <w:rPr>
          <w:rStyle w:val="FootnoteReference"/>
        </w:rPr>
        <w:footnoteReference w:id="9"/>
      </w:r>
      <w:r w:rsidRPr="003461BE">
        <w:rPr>
          <w:rFonts w:cs="Times New Roman"/>
          <w:iCs/>
          <w:sz w:val="22"/>
        </w:rPr>
        <w:t xml:space="preserve"> </w:t>
      </w:r>
      <w:r>
        <w:rPr>
          <w:rFonts w:cs="Times New Roman"/>
          <w:iCs/>
          <w:sz w:val="22"/>
        </w:rPr>
        <w:t>These entities</w:t>
      </w:r>
      <w:r w:rsidRPr="003461BE">
        <w:rPr>
          <w:rFonts w:cs="Times New Roman"/>
          <w:iCs/>
          <w:sz w:val="22"/>
        </w:rPr>
        <w:t xml:space="preserve"> may wish </w:t>
      </w:r>
      <w:r>
        <w:rPr>
          <w:rFonts w:cs="Times New Roman"/>
          <w:iCs/>
          <w:sz w:val="22"/>
        </w:rPr>
        <w:t xml:space="preserve">to implement </w:t>
      </w:r>
      <w:r w:rsidRPr="003461BE">
        <w:rPr>
          <w:rFonts w:cs="Times New Roman"/>
          <w:iCs/>
          <w:sz w:val="22"/>
        </w:rPr>
        <w:t xml:space="preserve">this practice, especially when making network configuration changes or scheduling procedures </w:t>
      </w:r>
      <w:r w:rsidRPr="003461BE">
        <w:rPr>
          <w:rFonts w:cs="Times New Roman"/>
          <w:sz w:val="22"/>
        </w:rPr>
        <w:t xml:space="preserve">that could affect service to a significant number of subscribers. </w:t>
      </w:r>
      <w:bookmarkEnd w:id="2"/>
    </w:p>
    <w:p w:rsidR="001A0B38" w:rsidRPr="003461BE" w:rsidP="001A0B38"/>
    <w:p w:rsidR="001A0B38" w:rsidRPr="003461BE" w:rsidP="001A0B38">
      <w:pPr>
        <w:ind w:left="180"/>
      </w:pPr>
      <w:r w:rsidRPr="003461BE">
        <w:t>In addition, the Bureau assesses that the following network operator and service provider practices could prevent or mitigate similar outages in the future:</w:t>
      </w:r>
      <w:r>
        <w:rPr>
          <w:rStyle w:val="FootnoteReference"/>
        </w:rPr>
        <w:footnoteReference w:id="10"/>
      </w:r>
      <w:r w:rsidRPr="003461BE">
        <w:t xml:space="preserve">  </w:t>
      </w:r>
    </w:p>
    <w:p w:rsidR="001A0B38" w:rsidRPr="003461BE" w:rsidP="001A0B38">
      <w:pPr>
        <w:ind w:left="180" w:firstLine="540"/>
      </w:pPr>
    </w:p>
    <w:p w:rsidR="001A0B38" w:rsidRPr="003461BE" w:rsidP="001A0B38">
      <w:pPr>
        <w:pStyle w:val="ListParagraph"/>
        <w:numPr>
          <w:ilvl w:val="0"/>
          <w:numId w:val="10"/>
        </w:numPr>
        <w:rPr>
          <w:rFonts w:cs="Times New Roman"/>
          <w:sz w:val="22"/>
        </w:rPr>
      </w:pPr>
      <w:bookmarkStart w:id="3" w:name="_Hlk21080152"/>
      <w:r w:rsidRPr="003461BE">
        <w:rPr>
          <w:rFonts w:cs="Times New Roman"/>
          <w:sz w:val="22"/>
        </w:rPr>
        <w:t xml:space="preserve">Implementing software to detect equipment performance degradation, including by monitoring memory and processor utilization, so that parts likely to fail can be identified and replaced prior to </w:t>
      </w:r>
      <w:r>
        <w:rPr>
          <w:rFonts w:cs="Times New Roman"/>
          <w:sz w:val="22"/>
        </w:rPr>
        <w:t xml:space="preserve">their </w:t>
      </w:r>
      <w:r w:rsidRPr="003461BE">
        <w:rPr>
          <w:rFonts w:cs="Times New Roman"/>
          <w:sz w:val="22"/>
        </w:rPr>
        <w:t>failure.</w:t>
      </w:r>
    </w:p>
    <w:bookmarkEnd w:id="3"/>
    <w:p w:rsidR="001A0B38" w:rsidRPr="003461BE" w:rsidP="001A0B38">
      <w:pPr>
        <w:pStyle w:val="ListParagraph"/>
        <w:numPr>
          <w:ilvl w:val="0"/>
          <w:numId w:val="10"/>
        </w:numPr>
        <w:rPr>
          <w:rFonts w:cs="Times New Roman"/>
          <w:sz w:val="22"/>
        </w:rPr>
      </w:pPr>
      <w:r w:rsidRPr="003461BE">
        <w:rPr>
          <w:rFonts w:cs="Times New Roman"/>
          <w:sz w:val="22"/>
        </w:rPr>
        <w:t xml:space="preserve">Turning off or disabling system features that are not in use. </w:t>
      </w:r>
    </w:p>
    <w:p w:rsidR="001A0B38" w:rsidRPr="003461BE" w:rsidP="001A0B38">
      <w:pPr>
        <w:pStyle w:val="ListParagraph"/>
        <w:numPr>
          <w:ilvl w:val="0"/>
          <w:numId w:val="10"/>
        </w:numPr>
        <w:rPr>
          <w:rFonts w:cs="Times New Roman"/>
          <w:sz w:val="22"/>
        </w:rPr>
      </w:pPr>
      <w:r w:rsidRPr="003461BE">
        <w:rPr>
          <w:rFonts w:cs="Times New Roman"/>
          <w:sz w:val="22"/>
        </w:rPr>
        <w:t xml:space="preserve">Implementing standard operating procedures for network repair </w:t>
      </w:r>
      <w:r>
        <w:rPr>
          <w:rFonts w:cs="Times New Roman"/>
          <w:sz w:val="22"/>
        </w:rPr>
        <w:t xml:space="preserve">that take effect </w:t>
      </w:r>
      <w:r w:rsidRPr="003461BE">
        <w:rPr>
          <w:rFonts w:cs="Times New Roman"/>
          <w:sz w:val="22"/>
        </w:rPr>
        <w:t>when normal networking monitoring procedures are inoperable or otherwise unavailable.</w:t>
      </w:r>
    </w:p>
    <w:p w:rsidR="001A0B38" w:rsidRPr="003461BE" w:rsidP="001A0B38">
      <w:pPr>
        <w:spacing w:line="242" w:lineRule="auto"/>
        <w:ind w:left="215" w:right="477" w:firstLine="648"/>
      </w:pPr>
      <w:r w:rsidRPr="003461BE">
        <w:t xml:space="preserve"> </w:t>
      </w:r>
    </w:p>
    <w:p w:rsidR="001A0B38" w:rsidP="001A0B38">
      <w:pPr>
        <w:ind w:left="180"/>
      </w:pPr>
      <w:r w:rsidRPr="003461BE">
        <w:rPr>
          <w:iCs/>
        </w:rPr>
        <w:t xml:space="preserve">The Bureau has a </w:t>
      </w:r>
      <w:hyperlink r:id="rId5" w:history="1">
        <w:r w:rsidRPr="003461BE">
          <w:rPr>
            <w:iCs/>
          </w:rPr>
          <w:t>website</w:t>
        </w:r>
      </w:hyperlink>
      <w:r w:rsidRPr="003461BE">
        <w:rPr>
          <w:iCs/>
        </w:rPr>
        <w:t xml:space="preserve"> at </w:t>
      </w:r>
      <w:hyperlink r:id="rId5" w:history="1">
        <w:r w:rsidRPr="003461BE">
          <w:rPr>
            <w:rStyle w:val="Hyperlink"/>
          </w:rPr>
          <w:t>https://www.fcc.gov/network-reliability-resources</w:t>
        </w:r>
      </w:hyperlink>
      <w:r w:rsidRPr="003461BE">
        <w:t xml:space="preserve"> </w:t>
      </w:r>
      <w:r w:rsidRPr="003461BE">
        <w:rPr>
          <w:iCs/>
        </w:rPr>
        <w:t>where we share lessons learned from major communications network outages and encourage service providers to review industry best practices to ensure network reliability, including 911 call reliability, at all times.</w:t>
      </w:r>
    </w:p>
    <w:p w:rsidR="001A0B38" w:rsidP="001A0B38">
      <w:pPr>
        <w:ind w:left="180"/>
      </w:pPr>
    </w:p>
    <w:p w:rsidR="001A0B38" w:rsidP="001A0B38">
      <w:pPr>
        <w:ind w:left="180"/>
        <w:rPr>
          <w:iCs/>
        </w:rPr>
      </w:pPr>
      <w:r w:rsidRPr="003461BE">
        <w:rPr>
          <w:iCs/>
        </w:rPr>
        <w:t>For more information, contact J</w:t>
      </w:r>
      <w:r>
        <w:rPr>
          <w:iCs/>
        </w:rPr>
        <w:t xml:space="preserve">ulia Tu, Engineer, </w:t>
      </w:r>
      <w:r w:rsidRPr="003461BE">
        <w:rPr>
          <w:iCs/>
        </w:rPr>
        <w:t>Cybersecurity and Communications Reliability Division, Public Safety and Homeland Security Bureau, (202) 418-</w:t>
      </w:r>
      <w:r>
        <w:rPr>
          <w:iCs/>
        </w:rPr>
        <w:t>0731</w:t>
      </w:r>
      <w:r w:rsidRPr="003461BE">
        <w:rPr>
          <w:iCs/>
        </w:rPr>
        <w:t xml:space="preserve">, </w:t>
      </w:r>
      <w:hyperlink r:id="rId6" w:history="1">
        <w:r w:rsidRPr="00235236">
          <w:rPr>
            <w:rStyle w:val="Hyperlink"/>
            <w:iCs/>
          </w:rPr>
          <w:t>julia.tu@fcc.gov</w:t>
        </w:r>
      </w:hyperlink>
      <w:r w:rsidRPr="003461BE">
        <w:rPr>
          <w:iCs/>
        </w:rPr>
        <w:t xml:space="preserve">, or Saswat Misra, Attorney, Cybersecurity and Communications Reliability Division, Public Safety and Homeland Security Bureau, (202) 418-0944, </w:t>
      </w:r>
      <w:hyperlink r:id="rId7" w:history="1">
        <w:r w:rsidRPr="00235236">
          <w:rPr>
            <w:rStyle w:val="Hyperlink"/>
            <w:iCs/>
          </w:rPr>
          <w:t>Saswat.misra@fcc.gov</w:t>
        </w:r>
      </w:hyperlink>
      <w:r>
        <w:rPr>
          <w:iCs/>
        </w:rPr>
        <w:t xml:space="preserve"> </w:t>
      </w:r>
    </w:p>
    <w:p w:rsidR="001A0B38" w:rsidRPr="003461BE" w:rsidP="001A0B38">
      <w:pPr>
        <w:ind w:left="180"/>
      </w:pPr>
    </w:p>
    <w:p w:rsidR="001A0B38" w:rsidRPr="003461BE" w:rsidP="001A0B38">
      <w:pPr>
        <w:ind w:left="180"/>
      </w:pPr>
      <w:r w:rsidRPr="003461BE">
        <w:rPr>
          <w:iCs/>
        </w:rPr>
        <w:t>The Public Safety and Homeland Security Bureau issues this Public Notice under delegated authority pursuant to sections 0.191 and 0.392 of the Commission’s rules, 47 CFR §§ 0.191, 0.392.</w:t>
      </w:r>
      <w:r w:rsidRPr="003461BE">
        <w:t xml:space="preserve"> </w:t>
      </w:r>
    </w:p>
    <w:p w:rsidR="001A0B38" w:rsidRPr="00100E1F" w:rsidP="001A0B38">
      <w:pPr>
        <w:autoSpaceDE w:val="0"/>
        <w:autoSpaceDN w:val="0"/>
        <w:adjustRightInd w:val="0"/>
        <w:rPr>
          <w:color w:val="010101"/>
          <w:szCs w:val="22"/>
        </w:rPr>
      </w:pPr>
    </w:p>
    <w:p w:rsidR="001A0B38" w:rsidP="00CD2829">
      <w:pPr>
        <w:jc w:val="center"/>
        <w:rPr>
          <w:b/>
          <w:szCs w:val="22"/>
        </w:rPr>
      </w:pPr>
    </w:p>
    <w:p w:rsidR="001A0B38" w:rsidP="00CD2829">
      <w:pPr>
        <w:jc w:val="center"/>
        <w:rPr>
          <w:b/>
          <w:szCs w:val="22"/>
        </w:rPr>
      </w:pPr>
    </w:p>
    <w:p w:rsidR="00CD2829" w:rsidRPr="009B57FF" w:rsidP="00CD2829">
      <w:pPr>
        <w:jc w:val="center"/>
        <w:rPr>
          <w:b/>
          <w:szCs w:val="22"/>
        </w:rPr>
      </w:pPr>
      <w:r w:rsidRPr="009B57FF">
        <w:rPr>
          <w:b/>
          <w:szCs w:val="22"/>
        </w:rPr>
        <w:t>– FCC –</w:t>
      </w:r>
    </w:p>
    <w:sectPr w:rsidSect="000E588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7CDD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60AA1">
      <w:r>
        <w:separator/>
      </w:r>
    </w:p>
  </w:footnote>
  <w:footnote w:type="continuationSeparator" w:id="1">
    <w:p w:rsidR="00D60AA1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D60AA1" w:rsidP="00910F12">
      <w:pPr>
        <w:jc w:val="right"/>
        <w:rPr>
          <w:sz w:val="20"/>
        </w:rPr>
      </w:pPr>
    </w:p>
  </w:footnote>
  <w:footnote w:id="3">
    <w:p w:rsidR="001A0B38" w:rsidRPr="008612E5" w:rsidP="001A0B38">
      <w:pPr>
        <w:pStyle w:val="FootnoteText"/>
        <w:tabs>
          <w:tab w:val="left" w:pos="720"/>
        </w:tabs>
        <w:rPr>
          <w:u w:val="single"/>
        </w:rPr>
      </w:pPr>
      <w:r w:rsidRPr="008612E5">
        <w:rPr>
          <w:rStyle w:val="FootnoteReference"/>
          <w:sz w:val="20"/>
        </w:rPr>
        <w:footnoteRef/>
      </w:r>
      <w:r w:rsidRPr="008612E5">
        <w:t xml:space="preserve"> </w:t>
      </w:r>
      <w:r w:rsidRPr="008612E5">
        <w:rPr>
          <w:i/>
        </w:rPr>
        <w:t>See</w:t>
      </w:r>
      <w:r w:rsidRPr="008612E5">
        <w:t xml:space="preserve">, </w:t>
      </w:r>
      <w:r w:rsidRPr="008612E5">
        <w:rPr>
          <w:i/>
        </w:rPr>
        <w:t>e.g</w:t>
      </w:r>
      <w:r w:rsidRPr="008612E5">
        <w:t xml:space="preserve">., </w:t>
      </w:r>
      <w:r w:rsidRPr="008612E5">
        <w:rPr>
          <w:i/>
        </w:rPr>
        <w:t xml:space="preserve">December 27, 2018 CenturyLink Network Outage Report </w:t>
      </w:r>
      <w:r w:rsidRPr="008612E5">
        <w:t xml:space="preserve">(PSHSB 2019), </w:t>
      </w:r>
      <w:hyperlink r:id="rId1" w:history="1">
        <w:r w:rsidRPr="008612E5">
          <w:rPr>
            <w:rStyle w:val="Hyperlink"/>
          </w:rPr>
          <w:t>https://docs.fcc.gov/public/attachments/DOC-359134A1.pdf</w:t>
        </w:r>
      </w:hyperlink>
      <w:r w:rsidRPr="008612E5">
        <w:rPr>
          <w:rStyle w:val="Hyperlink"/>
        </w:rPr>
        <w:t xml:space="preserve"> </w:t>
      </w:r>
      <w:r w:rsidRPr="008612E5">
        <w:t>(</w:t>
      </w:r>
      <w:r w:rsidRPr="00F55EB2">
        <w:rPr>
          <w:i/>
        </w:rPr>
        <w:t>CenturyLink Report</w:t>
      </w:r>
      <w:r w:rsidRPr="008612E5">
        <w:t>).</w:t>
      </w:r>
    </w:p>
  </w:footnote>
  <w:footnote w:id="4">
    <w:p w:rsidR="001A0B38" w:rsidRPr="008612E5" w:rsidP="001A0B38">
      <w:pPr>
        <w:pStyle w:val="FootnoteText"/>
        <w:tabs>
          <w:tab w:val="left" w:pos="720"/>
        </w:tabs>
      </w:pPr>
      <w:r w:rsidRPr="008612E5">
        <w:rPr>
          <w:rStyle w:val="FootnoteReference"/>
          <w:sz w:val="20"/>
        </w:rPr>
        <w:footnoteRef/>
      </w:r>
      <w:r w:rsidRPr="008612E5">
        <w:t xml:space="preserve"> CSRIC is an advisory committee of the Commission.  Its mission is to make recommendations to the Commission to promote the security, reliability and resiliency of the Nation’s communications systems. </w:t>
      </w:r>
      <w:r w:rsidRPr="008612E5">
        <w:rPr>
          <w:i/>
        </w:rPr>
        <w:t>See</w:t>
      </w:r>
      <w:r w:rsidRPr="008612E5">
        <w:t xml:space="preserve"> FCC, Communications Security, Reliability, and Interoperability Council VII,  </w:t>
      </w:r>
      <w:hyperlink r:id="rId2" w:history="1">
        <w:r w:rsidRPr="008612E5">
          <w:rPr>
            <w:rStyle w:val="Hyperlink"/>
          </w:rPr>
          <w:t>https://www.fcc.gov/about-fcc/advisory-committees/communications-security-reliability-and-interoperability-council-0</w:t>
        </w:r>
      </w:hyperlink>
      <w:r w:rsidRPr="008612E5">
        <w:rPr>
          <w:rStyle w:val="Hyperlink"/>
        </w:rPr>
        <w:t xml:space="preserve"> (last visited Oct. 4, 2019).</w:t>
      </w:r>
    </w:p>
  </w:footnote>
  <w:footnote w:id="5">
    <w:p w:rsidR="003776E9">
      <w:pPr>
        <w:pStyle w:val="FootnoteText"/>
      </w:pPr>
      <w:r>
        <w:rPr>
          <w:rStyle w:val="FootnoteReference"/>
        </w:rPr>
        <w:footnoteRef/>
      </w:r>
      <w:r w:rsidR="00A872AF">
        <w:t xml:space="preserve"> Here, and in the following CSRIC best practices, “s</w:t>
      </w:r>
      <w:r>
        <w:t>ervice providers</w:t>
      </w:r>
      <w:r w:rsidR="00A872AF">
        <w:t xml:space="preserve">” includes both </w:t>
      </w:r>
      <w:r>
        <w:t xml:space="preserve">covered and </w:t>
      </w:r>
      <w:r w:rsidR="00A872AF">
        <w:t>originating</w:t>
      </w:r>
      <w:r>
        <w:t xml:space="preserve"> service providers. </w:t>
      </w:r>
      <w:r w:rsidRPr="008612E5" w:rsidR="00A872AF">
        <w:t>“</w:t>
      </w:r>
      <w:r w:rsidR="00A872AF">
        <w:t>C</w:t>
      </w:r>
      <w:r w:rsidRPr="008612E5" w:rsidR="00A872AF">
        <w:t>overed 911 service providers,”</w:t>
      </w:r>
      <w:r w:rsidR="00A872AF">
        <w:t xml:space="preserve"> or co</w:t>
      </w:r>
      <w:r w:rsidRPr="008612E5" w:rsidR="00A872AF">
        <w:rPr>
          <w:spacing w:val="-2"/>
        </w:rPr>
        <w:t xml:space="preserve">mmunications service providers that directly serve 911 call centers, </w:t>
      </w:r>
      <w:r w:rsidRPr="008612E5" w:rsidR="00A872AF">
        <w:t>are defined as “any entity that:  [p]</w:t>
      </w:r>
      <w:r w:rsidRPr="008612E5" w:rsidR="00A872AF">
        <w:t>rovides</w:t>
      </w:r>
      <w:r w:rsidRPr="008612E5" w:rsidR="00A872AF">
        <w:t xml:space="preserve"> 911, E911, or NG911 capabilities such as call routing, automatic location information (ALI), automatic number identification (ANI), or the functional equivalent of those capabilities, directly to a public safety answering point (PSAP) . . . or that [o]</w:t>
      </w:r>
      <w:r w:rsidRPr="008612E5" w:rsidR="00A872AF">
        <w:t>perates</w:t>
      </w:r>
      <w:r w:rsidRPr="008612E5" w:rsidR="00A872AF">
        <w:t xml:space="preserve"> one or more central offices that directly serve a PSAP.”  47 CFR §</w:t>
      </w:r>
      <w:r w:rsidR="00A872AF">
        <w:t xml:space="preserve"> </w:t>
      </w:r>
      <w:r w:rsidRPr="009E1476" w:rsidR="00A872AF">
        <w:t>12.4(a)(4)(</w:t>
      </w:r>
      <w:r w:rsidRPr="009E1476" w:rsidR="00A872AF">
        <w:t>i</w:t>
      </w:r>
      <w:r w:rsidRPr="009E1476" w:rsidR="00A872AF">
        <w:t xml:space="preserve">)(A)-(B). </w:t>
      </w:r>
      <w:r w:rsidR="00A872AF">
        <w:t xml:space="preserve"> </w:t>
      </w:r>
      <w:r w:rsidRPr="008612E5" w:rsidR="00A872AF">
        <w:rPr>
          <w:spacing w:val="-2"/>
        </w:rPr>
        <w:t>Originating service providers offer</w:t>
      </w:r>
      <w:r w:rsidRPr="008612E5" w:rsidR="00A872AF">
        <w:rPr>
          <w:noProof/>
        </w:rPr>
        <w:t xml:space="preserve"> the capability to originate 911 calls, but unlike covered 911 service providers, do not themselves deliver those calls and associated number or location information to the PSAP.  </w:t>
      </w:r>
      <w:r w:rsidRPr="008612E5" w:rsidR="00A872AF">
        <w:rPr>
          <w:i/>
          <w:noProof/>
        </w:rPr>
        <w:t>See</w:t>
      </w:r>
      <w:r w:rsidRPr="008612E5" w:rsidR="00A872AF">
        <w:rPr>
          <w:i/>
        </w:rPr>
        <w:t xml:space="preserve"> </w:t>
      </w:r>
      <w:r w:rsidRPr="008612E5" w:rsidR="00A872AF">
        <w:t>47 CFR § 12.4(a)(4)(ii)(B)</w:t>
      </w:r>
      <w:r w:rsidR="00A872AF">
        <w:t>.</w:t>
      </w:r>
    </w:p>
  </w:footnote>
  <w:footnote w:id="6">
    <w:p w:rsidR="001A0B38" w:rsidRPr="008612E5" w:rsidP="001A0B38">
      <w:pPr>
        <w:pStyle w:val="FootnoteText"/>
        <w:tabs>
          <w:tab w:val="left" w:pos="720"/>
        </w:tabs>
      </w:pPr>
      <w:r w:rsidRPr="008612E5">
        <w:rPr>
          <w:rStyle w:val="FootnoteReference"/>
          <w:sz w:val="20"/>
        </w:rPr>
        <w:footnoteRef/>
      </w:r>
      <w:r w:rsidRPr="008612E5">
        <w:t xml:space="preserve"> </w:t>
      </w:r>
      <w:r w:rsidRPr="008612E5">
        <w:rPr>
          <w:i/>
        </w:rPr>
        <w:t>See also</w:t>
      </w:r>
      <w:r w:rsidRPr="008612E5">
        <w:t xml:space="preserve"> 47 CFR. §12.4(c) (requiring that covered 911 service providers certify certain activities related to ensuring circuit diversity).</w:t>
      </w:r>
    </w:p>
  </w:footnote>
  <w:footnote w:id="7">
    <w:p w:rsidR="001A0B38" w:rsidRPr="008612E5" w:rsidP="001A0B38">
      <w:pPr>
        <w:pStyle w:val="FootnoteText"/>
        <w:tabs>
          <w:tab w:val="left" w:pos="720"/>
        </w:tabs>
      </w:pPr>
      <w:r w:rsidRPr="008612E5">
        <w:rPr>
          <w:rStyle w:val="FootnoteReference"/>
          <w:sz w:val="20"/>
        </w:rPr>
        <w:footnoteRef/>
      </w:r>
      <w:r w:rsidRPr="008612E5">
        <w:t xml:space="preserve"> </w:t>
      </w:r>
      <w:r w:rsidRPr="008612E5">
        <w:rPr>
          <w:i/>
        </w:rPr>
        <w:t>See</w:t>
      </w:r>
      <w:r w:rsidRPr="008612E5">
        <w:t xml:space="preserve"> CSRIC Best Practice 11-9-0532, </w:t>
      </w:r>
      <w:hyperlink r:id="rId3" w:history="1">
        <w:r w:rsidRPr="008612E5">
          <w:rPr>
            <w:rStyle w:val="Hyperlink"/>
          </w:rPr>
          <w:t>https://opendata.fcc.gov/Public-Safety/CSRIC-Best-Practices/qb45-rw2t/data</w:t>
        </w:r>
      </w:hyperlink>
      <w:r w:rsidRPr="008612E5">
        <w:t xml:space="preserve"> (last visited September 10, 2019).</w:t>
      </w:r>
    </w:p>
  </w:footnote>
  <w:footnote w:id="8">
    <w:p w:rsidR="001A0B38" w:rsidRPr="008612E5" w:rsidP="001A0B38">
      <w:pPr>
        <w:pStyle w:val="FootnoteText"/>
      </w:pPr>
      <w:r w:rsidRPr="008612E5">
        <w:rPr>
          <w:rStyle w:val="FootnoteReference"/>
          <w:sz w:val="20"/>
        </w:rPr>
        <w:footnoteRef/>
      </w:r>
      <w:r w:rsidRPr="008612E5">
        <w:t xml:space="preserve"> </w:t>
      </w:r>
      <w:r w:rsidRPr="008612E5">
        <w:rPr>
          <w:i/>
        </w:rPr>
        <w:t>See</w:t>
      </w:r>
      <w:r w:rsidRPr="008612E5">
        <w:t xml:space="preserve"> CSRIC Best Practice 11-10-5083, </w:t>
      </w:r>
      <w:hyperlink r:id="rId3" w:history="1">
        <w:r w:rsidRPr="008612E5">
          <w:rPr>
            <w:rStyle w:val="Hyperlink"/>
          </w:rPr>
          <w:t>https://opendata.fcc.gov/Public-Safety/CSRIC-Best-Practices/qb45-rw2t/data</w:t>
        </w:r>
      </w:hyperlink>
      <w:r w:rsidRPr="008612E5">
        <w:t xml:space="preserve"> (last visited September 10, 2019).</w:t>
      </w:r>
    </w:p>
  </w:footnote>
  <w:footnote w:id="9">
    <w:p w:rsidR="001A0B38" w:rsidRPr="008612E5" w:rsidP="001A0B38">
      <w:pPr>
        <w:pStyle w:val="FootnoteText"/>
      </w:pPr>
      <w:r w:rsidRPr="008612E5">
        <w:rPr>
          <w:rStyle w:val="FootnoteReference"/>
          <w:sz w:val="20"/>
        </w:rPr>
        <w:footnoteRef/>
      </w:r>
      <w:r w:rsidRPr="008612E5">
        <w:t xml:space="preserve"> </w:t>
      </w:r>
      <w:r w:rsidRPr="008612E5">
        <w:rPr>
          <w:i/>
        </w:rPr>
        <w:t>See</w:t>
      </w:r>
      <w:r w:rsidRPr="008612E5">
        <w:t xml:space="preserve"> CSRIC Best Practice 11-10-0693, </w:t>
      </w:r>
      <w:hyperlink r:id="rId3" w:history="1">
        <w:r w:rsidRPr="008612E5">
          <w:rPr>
            <w:rStyle w:val="Hyperlink"/>
          </w:rPr>
          <w:t>https://opendata.fcc.gov/Public-Safety/CSRIC-Best-Practices/qb45-rw2t/data</w:t>
        </w:r>
      </w:hyperlink>
      <w:r w:rsidRPr="008612E5">
        <w:t xml:space="preserve"> (last visited September 10, 2019).</w:t>
      </w:r>
    </w:p>
  </w:footnote>
  <w:footnote w:id="10">
    <w:p w:rsidR="001A0B38" w:rsidRPr="008612E5" w:rsidP="001A0B38">
      <w:pPr>
        <w:pStyle w:val="FootnoteText"/>
      </w:pPr>
      <w:r w:rsidRPr="008612E5">
        <w:rPr>
          <w:rStyle w:val="FootnoteReference"/>
          <w:sz w:val="20"/>
        </w:rPr>
        <w:footnoteRef/>
      </w:r>
      <w:r w:rsidRPr="008612E5">
        <w:t xml:space="preserve"> </w:t>
      </w:r>
      <w:r w:rsidRPr="008612E5">
        <w:rPr>
          <w:i/>
        </w:rPr>
        <w:t>See</w:t>
      </w:r>
      <w:r w:rsidRPr="008612E5">
        <w:t xml:space="preserve">, </w:t>
      </w:r>
      <w:r w:rsidRPr="008612E5">
        <w:rPr>
          <w:i/>
        </w:rPr>
        <w:t>e.g.</w:t>
      </w:r>
      <w:r w:rsidRPr="008612E5">
        <w:t>, CenturyLink Report.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6800E0">
      <w:rPr>
        <w:b/>
      </w:rPr>
      <w:t>DA 19-</w:t>
    </w:r>
    <w:r w:rsidR="006A00C0">
      <w:rPr>
        <w:b/>
      </w:rPr>
      <w:t>187</w:t>
    </w:r>
  </w:p>
  <w:p w:rsidR="009838BC" w:rsidRPr="009838BC" w:rsidP="009838B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9346095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1905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4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4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4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4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1D027C96"/>
    <w:multiLevelType w:val="hybridMultilevel"/>
    <w:tmpl w:val="BDEA3660"/>
    <w:lvl w:ilvl="0">
      <w:start w:val="1"/>
      <w:numFmt w:val="bullet"/>
      <w:lvlText w:val=""/>
      <w:lvlJc w:val="left"/>
      <w:pPr>
        <w:ind w:left="575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295" w:hanging="360"/>
      </w:pPr>
    </w:lvl>
    <w:lvl w:ilvl="2" w:tentative="1">
      <w:start w:val="1"/>
      <w:numFmt w:val="lowerRoman"/>
      <w:lvlText w:val="%3."/>
      <w:lvlJc w:val="right"/>
      <w:pPr>
        <w:ind w:left="2015" w:hanging="180"/>
      </w:pPr>
    </w:lvl>
    <w:lvl w:ilvl="3" w:tentative="1">
      <w:start w:val="1"/>
      <w:numFmt w:val="decimal"/>
      <w:lvlText w:val="%4."/>
      <w:lvlJc w:val="left"/>
      <w:pPr>
        <w:ind w:left="2735" w:hanging="360"/>
      </w:pPr>
    </w:lvl>
    <w:lvl w:ilvl="4" w:tentative="1">
      <w:start w:val="1"/>
      <w:numFmt w:val="lowerLetter"/>
      <w:lvlText w:val="%5."/>
      <w:lvlJc w:val="left"/>
      <w:pPr>
        <w:ind w:left="3455" w:hanging="360"/>
      </w:pPr>
    </w:lvl>
    <w:lvl w:ilvl="5" w:tentative="1">
      <w:start w:val="1"/>
      <w:numFmt w:val="lowerRoman"/>
      <w:lvlText w:val="%6."/>
      <w:lvlJc w:val="right"/>
      <w:pPr>
        <w:ind w:left="4175" w:hanging="180"/>
      </w:pPr>
    </w:lvl>
    <w:lvl w:ilvl="6" w:tentative="1">
      <w:start w:val="1"/>
      <w:numFmt w:val="decimal"/>
      <w:lvlText w:val="%7."/>
      <w:lvlJc w:val="left"/>
      <w:pPr>
        <w:ind w:left="4895" w:hanging="360"/>
      </w:pPr>
    </w:lvl>
    <w:lvl w:ilvl="7" w:tentative="1">
      <w:start w:val="1"/>
      <w:numFmt w:val="lowerLetter"/>
      <w:lvlText w:val="%8."/>
      <w:lvlJc w:val="left"/>
      <w:pPr>
        <w:ind w:left="5615" w:hanging="360"/>
      </w:pPr>
    </w:lvl>
    <w:lvl w:ilvl="8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292C2DE1"/>
    <w:multiLevelType w:val="hybridMultilevel"/>
    <w:tmpl w:val="3BCEA61A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B540F"/>
    <w:multiLevelType w:val="hybridMultilevel"/>
    <w:tmpl w:val="277E6E3E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9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1DE"/>
    <w:rsid w:val="000072CE"/>
    <w:rsid w:val="00013A8B"/>
    <w:rsid w:val="000211DE"/>
    <w:rsid w:val="00021445"/>
    <w:rsid w:val="00027E2B"/>
    <w:rsid w:val="00030373"/>
    <w:rsid w:val="00036039"/>
    <w:rsid w:val="00037F90"/>
    <w:rsid w:val="00054806"/>
    <w:rsid w:val="000875BF"/>
    <w:rsid w:val="00096D8C"/>
    <w:rsid w:val="000C0B65"/>
    <w:rsid w:val="000D5373"/>
    <w:rsid w:val="000E0A35"/>
    <w:rsid w:val="000E3D42"/>
    <w:rsid w:val="000E5884"/>
    <w:rsid w:val="000F1E4F"/>
    <w:rsid w:val="00100E1F"/>
    <w:rsid w:val="00122BD5"/>
    <w:rsid w:val="0016383E"/>
    <w:rsid w:val="001979D9"/>
    <w:rsid w:val="001A0B38"/>
    <w:rsid w:val="001B5F51"/>
    <w:rsid w:val="001C4A13"/>
    <w:rsid w:val="001D6BCF"/>
    <w:rsid w:val="001D79E4"/>
    <w:rsid w:val="001E01CA"/>
    <w:rsid w:val="001F1BA4"/>
    <w:rsid w:val="00202631"/>
    <w:rsid w:val="002060D9"/>
    <w:rsid w:val="00226357"/>
    <w:rsid w:val="00226822"/>
    <w:rsid w:val="00235236"/>
    <w:rsid w:val="00247239"/>
    <w:rsid w:val="00255A98"/>
    <w:rsid w:val="00260594"/>
    <w:rsid w:val="00270C72"/>
    <w:rsid w:val="0027652A"/>
    <w:rsid w:val="00285017"/>
    <w:rsid w:val="002A2D2E"/>
    <w:rsid w:val="002C59D1"/>
    <w:rsid w:val="002F767D"/>
    <w:rsid w:val="003209ED"/>
    <w:rsid w:val="00343749"/>
    <w:rsid w:val="003461BE"/>
    <w:rsid w:val="00357D50"/>
    <w:rsid w:val="003610BE"/>
    <w:rsid w:val="003776E9"/>
    <w:rsid w:val="003925DC"/>
    <w:rsid w:val="003B0550"/>
    <w:rsid w:val="003B694F"/>
    <w:rsid w:val="003C135D"/>
    <w:rsid w:val="003F171C"/>
    <w:rsid w:val="003F1E65"/>
    <w:rsid w:val="003F471E"/>
    <w:rsid w:val="003F4E42"/>
    <w:rsid w:val="0040026D"/>
    <w:rsid w:val="004102E2"/>
    <w:rsid w:val="0041213D"/>
    <w:rsid w:val="00412FC5"/>
    <w:rsid w:val="00422276"/>
    <w:rsid w:val="004242F1"/>
    <w:rsid w:val="00443187"/>
    <w:rsid w:val="00445A00"/>
    <w:rsid w:val="00451B0F"/>
    <w:rsid w:val="0045649E"/>
    <w:rsid w:val="0046125F"/>
    <w:rsid w:val="00464812"/>
    <w:rsid w:val="00485CBD"/>
    <w:rsid w:val="00487524"/>
    <w:rsid w:val="00496106"/>
    <w:rsid w:val="004A6227"/>
    <w:rsid w:val="004B13E6"/>
    <w:rsid w:val="004C12D0"/>
    <w:rsid w:val="004C2EE3"/>
    <w:rsid w:val="004E4A22"/>
    <w:rsid w:val="004E72A3"/>
    <w:rsid w:val="005030A5"/>
    <w:rsid w:val="00504381"/>
    <w:rsid w:val="00511968"/>
    <w:rsid w:val="00511EB0"/>
    <w:rsid w:val="00520B30"/>
    <w:rsid w:val="0052239D"/>
    <w:rsid w:val="00522D0D"/>
    <w:rsid w:val="005533A4"/>
    <w:rsid w:val="0055614C"/>
    <w:rsid w:val="00562315"/>
    <w:rsid w:val="00584C7B"/>
    <w:rsid w:val="00587769"/>
    <w:rsid w:val="005A4C0E"/>
    <w:rsid w:val="005D0DEE"/>
    <w:rsid w:val="005D5D6E"/>
    <w:rsid w:val="005E016A"/>
    <w:rsid w:val="005E7016"/>
    <w:rsid w:val="00607BA5"/>
    <w:rsid w:val="0061122F"/>
    <w:rsid w:val="00614D15"/>
    <w:rsid w:val="00623A99"/>
    <w:rsid w:val="00626EB6"/>
    <w:rsid w:val="006312A6"/>
    <w:rsid w:val="006353A3"/>
    <w:rsid w:val="00655D03"/>
    <w:rsid w:val="00670FD3"/>
    <w:rsid w:val="00671EA6"/>
    <w:rsid w:val="006765B2"/>
    <w:rsid w:val="006800E0"/>
    <w:rsid w:val="00683F84"/>
    <w:rsid w:val="006848B6"/>
    <w:rsid w:val="00693769"/>
    <w:rsid w:val="006A00C0"/>
    <w:rsid w:val="006A6A81"/>
    <w:rsid w:val="006B75D4"/>
    <w:rsid w:val="006E26AF"/>
    <w:rsid w:val="006E304B"/>
    <w:rsid w:val="006F525A"/>
    <w:rsid w:val="006F7393"/>
    <w:rsid w:val="0070224F"/>
    <w:rsid w:val="00705CED"/>
    <w:rsid w:val="007115F7"/>
    <w:rsid w:val="0071628D"/>
    <w:rsid w:val="00717203"/>
    <w:rsid w:val="00721512"/>
    <w:rsid w:val="00755129"/>
    <w:rsid w:val="007704C5"/>
    <w:rsid w:val="00777F6A"/>
    <w:rsid w:val="00785689"/>
    <w:rsid w:val="0079754B"/>
    <w:rsid w:val="007A1D56"/>
    <w:rsid w:val="007A1E6D"/>
    <w:rsid w:val="007B7FA9"/>
    <w:rsid w:val="007E1FDB"/>
    <w:rsid w:val="007E6BFE"/>
    <w:rsid w:val="007F7845"/>
    <w:rsid w:val="008220E0"/>
    <w:rsid w:val="00822CE0"/>
    <w:rsid w:val="00837C62"/>
    <w:rsid w:val="00841AB1"/>
    <w:rsid w:val="0084577E"/>
    <w:rsid w:val="00852348"/>
    <w:rsid w:val="00856554"/>
    <w:rsid w:val="008612E5"/>
    <w:rsid w:val="00866D5F"/>
    <w:rsid w:val="008C0D3B"/>
    <w:rsid w:val="008C22FD"/>
    <w:rsid w:val="008C62A7"/>
    <w:rsid w:val="008E10FE"/>
    <w:rsid w:val="008F4847"/>
    <w:rsid w:val="00904F5C"/>
    <w:rsid w:val="00910F12"/>
    <w:rsid w:val="0092541D"/>
    <w:rsid w:val="00926503"/>
    <w:rsid w:val="00930ECF"/>
    <w:rsid w:val="00951A0B"/>
    <w:rsid w:val="00964567"/>
    <w:rsid w:val="009720DB"/>
    <w:rsid w:val="009838BC"/>
    <w:rsid w:val="009B57FF"/>
    <w:rsid w:val="009D00C9"/>
    <w:rsid w:val="009E1476"/>
    <w:rsid w:val="00A037BF"/>
    <w:rsid w:val="00A045D6"/>
    <w:rsid w:val="00A071EA"/>
    <w:rsid w:val="00A45F4F"/>
    <w:rsid w:val="00A600A9"/>
    <w:rsid w:val="00A64459"/>
    <w:rsid w:val="00A644C9"/>
    <w:rsid w:val="00A82464"/>
    <w:rsid w:val="00A866AC"/>
    <w:rsid w:val="00A872AF"/>
    <w:rsid w:val="00AA55B7"/>
    <w:rsid w:val="00AA5B9E"/>
    <w:rsid w:val="00AA7558"/>
    <w:rsid w:val="00AB2407"/>
    <w:rsid w:val="00AB419D"/>
    <w:rsid w:val="00AB53DF"/>
    <w:rsid w:val="00AE3857"/>
    <w:rsid w:val="00AE57D5"/>
    <w:rsid w:val="00AF62CE"/>
    <w:rsid w:val="00B07E5C"/>
    <w:rsid w:val="00B20363"/>
    <w:rsid w:val="00B257A6"/>
    <w:rsid w:val="00B27266"/>
    <w:rsid w:val="00B326E3"/>
    <w:rsid w:val="00B50F12"/>
    <w:rsid w:val="00B62A90"/>
    <w:rsid w:val="00B67E69"/>
    <w:rsid w:val="00B70F61"/>
    <w:rsid w:val="00B811F7"/>
    <w:rsid w:val="00B84905"/>
    <w:rsid w:val="00BA5DC6"/>
    <w:rsid w:val="00BA6196"/>
    <w:rsid w:val="00BB245A"/>
    <w:rsid w:val="00BB3231"/>
    <w:rsid w:val="00BC6D8C"/>
    <w:rsid w:val="00BF5275"/>
    <w:rsid w:val="00BF5C6C"/>
    <w:rsid w:val="00C00DEE"/>
    <w:rsid w:val="00C130D7"/>
    <w:rsid w:val="00C16AF2"/>
    <w:rsid w:val="00C34006"/>
    <w:rsid w:val="00C40D57"/>
    <w:rsid w:val="00C41264"/>
    <w:rsid w:val="00C426B1"/>
    <w:rsid w:val="00C76813"/>
    <w:rsid w:val="00C82B6B"/>
    <w:rsid w:val="00C84EC7"/>
    <w:rsid w:val="00C90D6A"/>
    <w:rsid w:val="00CB5203"/>
    <w:rsid w:val="00CC1657"/>
    <w:rsid w:val="00CC31BE"/>
    <w:rsid w:val="00CC375B"/>
    <w:rsid w:val="00CC72B6"/>
    <w:rsid w:val="00CD2829"/>
    <w:rsid w:val="00CD78E3"/>
    <w:rsid w:val="00D0218D"/>
    <w:rsid w:val="00D02779"/>
    <w:rsid w:val="00D12B26"/>
    <w:rsid w:val="00D216CD"/>
    <w:rsid w:val="00D602E8"/>
    <w:rsid w:val="00D60AA1"/>
    <w:rsid w:val="00D72B08"/>
    <w:rsid w:val="00D77947"/>
    <w:rsid w:val="00D8279B"/>
    <w:rsid w:val="00D93481"/>
    <w:rsid w:val="00D9477F"/>
    <w:rsid w:val="00DA2529"/>
    <w:rsid w:val="00DB0112"/>
    <w:rsid w:val="00DB0368"/>
    <w:rsid w:val="00DB0C6E"/>
    <w:rsid w:val="00DB130A"/>
    <w:rsid w:val="00DB1758"/>
    <w:rsid w:val="00DB72EA"/>
    <w:rsid w:val="00DC10A1"/>
    <w:rsid w:val="00DC19C0"/>
    <w:rsid w:val="00DC21ED"/>
    <w:rsid w:val="00DC655F"/>
    <w:rsid w:val="00DD7EBD"/>
    <w:rsid w:val="00DE2EE0"/>
    <w:rsid w:val="00DF62B6"/>
    <w:rsid w:val="00E07225"/>
    <w:rsid w:val="00E155B7"/>
    <w:rsid w:val="00E213D9"/>
    <w:rsid w:val="00E30991"/>
    <w:rsid w:val="00E36E41"/>
    <w:rsid w:val="00E5409F"/>
    <w:rsid w:val="00E57BE5"/>
    <w:rsid w:val="00E626B7"/>
    <w:rsid w:val="00E928AF"/>
    <w:rsid w:val="00E94980"/>
    <w:rsid w:val="00EA15B0"/>
    <w:rsid w:val="00EC0185"/>
    <w:rsid w:val="00EC33A2"/>
    <w:rsid w:val="00ED7CDD"/>
    <w:rsid w:val="00EE1465"/>
    <w:rsid w:val="00EE270D"/>
    <w:rsid w:val="00EE494C"/>
    <w:rsid w:val="00F021FA"/>
    <w:rsid w:val="00F05DE6"/>
    <w:rsid w:val="00F43A7C"/>
    <w:rsid w:val="00F54651"/>
    <w:rsid w:val="00F55EB2"/>
    <w:rsid w:val="00F57ACA"/>
    <w:rsid w:val="00F61446"/>
    <w:rsid w:val="00F62E97"/>
    <w:rsid w:val="00F64209"/>
    <w:rsid w:val="00F730D1"/>
    <w:rsid w:val="00F77F83"/>
    <w:rsid w:val="00F93BF5"/>
    <w:rsid w:val="00F96F63"/>
    <w:rsid w:val="00FA7A76"/>
    <w:rsid w:val="00FB6401"/>
    <w:rsid w:val="00FB6DEC"/>
    <w:rsid w:val="00FD223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AF8AD9F-4AD0-4825-BBC6-A20DA218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B38"/>
    <w:rPr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aliases w:val="Footnote Text Char Char,Footnote Text Char1,Footnote Text Char2,Footnote Text Char2 Char Char,Footnote Text Char2 Char1 Char1 Char Char,Footnote Text Char3 Char1 Char Char,Footnote Text Char3 Char1 Char Char Char Char,f"/>
    <w:link w:val="FootnoteTextChar"/>
    <w:uiPriority w:val="99"/>
    <w:rsid w:val="000E3D42"/>
    <w:pPr>
      <w:spacing w:after="120"/>
    </w:pPr>
  </w:style>
  <w:style w:type="character" w:styleId="FootnoteReference">
    <w:name w:val="footnote reference"/>
    <w:aliases w:val="(NECG) Footnote Reference,Appel note de bas de p,FR,Footnote Reference/,Style 12,Style 124,Style 13,Style 17,Style 3,Style 6,fr,o"/>
    <w:uiPriority w:val="99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11D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B7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2E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2EA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2EA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2EA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22D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4980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77F6A"/>
    <w:rPr>
      <w:color w:val="605E5C"/>
      <w:shd w:val="clear" w:color="auto" w:fill="E1DFDD"/>
    </w:rPr>
  </w:style>
  <w:style w:type="character" w:customStyle="1" w:styleId="HeaderChar">
    <w:name w:val="Header Char"/>
    <w:link w:val="Header"/>
    <w:rsid w:val="001A0B38"/>
    <w:rPr>
      <w:rFonts w:ascii="Arial" w:hAnsi="Arial" w:cs="Arial"/>
      <w:b/>
      <w:snapToGrid w:val="0"/>
      <w:kern w:val="28"/>
      <w:sz w:val="96"/>
      <w:szCs w:val="96"/>
    </w:rPr>
  </w:style>
  <w:style w:type="character" w:customStyle="1" w:styleId="FootnoteTextChar">
    <w:name w:val="Footnote Text Char"/>
    <w:aliases w:val="Footnote Text Char Char Char,Footnote Text Char1 Char,Footnote Text Char2 Char,Footnote Text Char2 Char Char Char,Footnote Text Char2 Char1 Char1 Char Char Char,Footnote Text Char3 Char1 Char Char Char,f Char"/>
    <w:link w:val="FootnoteText"/>
    <w:uiPriority w:val="99"/>
    <w:rsid w:val="001A0B38"/>
  </w:style>
  <w:style w:type="paragraph" w:styleId="ListParagraph">
    <w:name w:val="List Paragraph"/>
    <w:basedOn w:val="Normal"/>
    <w:uiPriority w:val="34"/>
    <w:qFormat/>
    <w:rsid w:val="001A0B38"/>
    <w:pPr>
      <w:widowControl w:val="0"/>
    </w:pPr>
    <w:rPr>
      <w:rFonts w:eastAsiaTheme="minorHAnsi" w:cstheme="minorBidi"/>
      <w:sz w:val="20"/>
      <w:szCs w:val="22"/>
    </w:rPr>
  </w:style>
  <w:style w:type="paragraph" w:customStyle="1" w:styleId="psection-3">
    <w:name w:val="psection-3"/>
    <w:basedOn w:val="Normal"/>
    <w:rsid w:val="001A0B3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2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www.fcc.gov/network-reliability-resources" TargetMode="External" /><Relationship Id="rId6" Type="http://schemas.openxmlformats.org/officeDocument/2006/relationships/hyperlink" Target="mailto:julia.tu@fcc.gov" TargetMode="External" /><Relationship Id="rId7" Type="http://schemas.openxmlformats.org/officeDocument/2006/relationships/hyperlink" Target="mailto:Saswat.misra@fcc.gov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docs.fcc.gov/public/attachments/DOC-359134A1.pdf" TargetMode="External" /><Relationship Id="rId2" Type="http://schemas.openxmlformats.org/officeDocument/2006/relationships/hyperlink" Target="https://www.fcc.gov/about-fcc/advisory-committees/communications-security-reliability-and-interoperability-council-0" TargetMode="External" /><Relationship Id="rId3" Type="http://schemas.openxmlformats.org/officeDocument/2006/relationships/hyperlink" Target="https://opendata.fcc.gov/Public-Safety/CSRIC-Best-Practices/qb45-rw2t/data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Portrait.dot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