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A7F29" w:rsidRPr="006A7F29" w:rsidP="003763BD" w14:paraId="059766EC" w14:textId="7EA38DD8">
      <w:pPr>
        <w:widowControl/>
        <w:jc w:val="center"/>
        <w:rPr>
          <w:b/>
        </w:rPr>
      </w:pPr>
      <w:r w:rsidRPr="006A7F29">
        <w:rPr>
          <w:rFonts w:ascii="Times New Roman Bold" w:hAnsi="Times New Roman Bold"/>
          <w:b/>
          <w:kern w:val="0"/>
          <w:szCs w:val="22"/>
        </w:rPr>
        <w:t>Before</w:t>
      </w:r>
      <w:r w:rsidRPr="006A7F29">
        <w:rPr>
          <w:b/>
        </w:rPr>
        <w:t xml:space="preserve"> </w:t>
      </w:r>
      <w:r w:rsidRPr="006A7F29" w:rsidR="00053100">
        <w:rPr>
          <w:b/>
        </w:rPr>
        <w:t>t</w:t>
      </w:r>
      <w:r w:rsidR="003763BD">
        <w:rPr>
          <w:b/>
        </w:rPr>
        <w:t>he</w:t>
      </w:r>
    </w:p>
    <w:p w:rsidR="006A7F29" w:rsidRPr="006A7F29" w:rsidP="003763BD" w14:paraId="1C54164C" w14:textId="77777777">
      <w:pPr>
        <w:widowControl/>
        <w:jc w:val="center"/>
        <w:rPr>
          <w:rFonts w:ascii="Times New Roman Bold" w:hAnsi="Times New Roman Bold"/>
          <w:b/>
          <w:bCs/>
          <w:caps/>
          <w:szCs w:val="22"/>
        </w:rPr>
      </w:pPr>
      <w:r w:rsidRPr="006A7F29">
        <w:rPr>
          <w:rFonts w:ascii="Times New Roman Bold" w:hAnsi="Times New Roman Bold"/>
          <w:b/>
          <w:bCs/>
          <w:caps/>
          <w:szCs w:val="22"/>
        </w:rPr>
        <w:t>F</w:t>
      </w:r>
      <w:r w:rsidRPr="006A7F29">
        <w:rPr>
          <w:rFonts w:ascii="Times New Roman Bold" w:hAnsi="Times New Roman Bold"/>
          <w:b/>
          <w:bCs/>
          <w:szCs w:val="22"/>
        </w:rPr>
        <w:t>ederal Communications Commission</w:t>
      </w:r>
    </w:p>
    <w:p w:rsidR="006A7F29" w:rsidRPr="006A7F29" w:rsidP="003763BD" w14:paraId="60E81BAD" w14:textId="77777777">
      <w:pPr>
        <w:widowControl/>
        <w:jc w:val="center"/>
        <w:rPr>
          <w:rFonts w:ascii="Times New Roman Bold" w:hAnsi="Times New Roman Bold"/>
          <w:b/>
          <w:bCs/>
          <w:caps/>
          <w:szCs w:val="22"/>
        </w:rPr>
      </w:pPr>
      <w:r w:rsidRPr="006A7F29">
        <w:rPr>
          <w:rFonts w:ascii="Times New Roman Bold" w:hAnsi="Times New Roman Bold"/>
          <w:b/>
          <w:bCs/>
          <w:szCs w:val="22"/>
        </w:rPr>
        <w:t>Washington, D.C. 20554</w:t>
      </w:r>
    </w:p>
    <w:p w:rsidR="006A7F29" w:rsidRPr="006A7F29" w:rsidP="003763BD" w14:paraId="437AB349" w14:textId="77777777">
      <w:pPr>
        <w:widowControl/>
      </w:pPr>
    </w:p>
    <w:p w:rsidR="006A7F29" w:rsidRPr="006A7F29" w:rsidP="003763BD" w14:paraId="553CBF86" w14:textId="77777777">
      <w:pPr>
        <w:widowControl/>
      </w:pPr>
    </w:p>
    <w:tbl>
      <w:tblPr>
        <w:tblW w:w="0" w:type="auto"/>
        <w:tblLayout w:type="fixed"/>
        <w:tblLook w:val="0000"/>
      </w:tblPr>
      <w:tblGrid>
        <w:gridCol w:w="4698"/>
        <w:gridCol w:w="630"/>
        <w:gridCol w:w="4248"/>
      </w:tblGrid>
      <w:tr w14:paraId="5CC868A2" w14:textId="77777777" w:rsidTr="00A04313">
        <w:tblPrEx>
          <w:tblW w:w="0" w:type="auto"/>
          <w:tblLayout w:type="fixed"/>
          <w:tblLook w:val="0000"/>
        </w:tblPrEx>
        <w:tc>
          <w:tcPr>
            <w:tcW w:w="4698" w:type="dxa"/>
          </w:tcPr>
          <w:p w:rsidR="006A7F29" w:rsidRPr="006A7F29" w:rsidP="003763BD" w14:paraId="168C66E0" w14:textId="77777777">
            <w:pPr>
              <w:widowControl/>
              <w:tabs>
                <w:tab w:val="center" w:pos="4680"/>
              </w:tabs>
              <w:suppressAutoHyphens/>
              <w:rPr>
                <w:spacing w:val="-2"/>
              </w:rPr>
            </w:pPr>
            <w:r w:rsidRPr="006A7F29">
              <w:rPr>
                <w:spacing w:val="-2"/>
              </w:rPr>
              <w:t>In the Matter of</w:t>
            </w:r>
          </w:p>
          <w:p w:rsidR="006A7F29" w:rsidRPr="006A7F29" w:rsidP="003763BD" w14:paraId="23536822" w14:textId="77777777">
            <w:pPr>
              <w:widowControl/>
              <w:tabs>
                <w:tab w:val="center" w:pos="4680"/>
              </w:tabs>
              <w:suppressAutoHyphens/>
              <w:rPr>
                <w:spacing w:val="-2"/>
              </w:rPr>
            </w:pPr>
          </w:p>
          <w:p w:rsidR="006A7F29" w:rsidRPr="006A7F29" w:rsidP="003763BD" w14:paraId="51CEA223" w14:textId="77777777">
            <w:pPr>
              <w:widowControl/>
              <w:tabs>
                <w:tab w:val="center" w:pos="4680"/>
              </w:tabs>
              <w:suppressAutoHyphens/>
              <w:rPr>
                <w:spacing w:val="-2"/>
                <w:szCs w:val="22"/>
              </w:rPr>
            </w:pPr>
            <w:r w:rsidRPr="006A7F29">
              <w:rPr>
                <w:spacing w:val="-2"/>
                <w:szCs w:val="22"/>
              </w:rPr>
              <w:t>Improving Wireless Emergency Alerts and Community-Initiated Alerting</w:t>
            </w:r>
          </w:p>
          <w:p w:rsidR="006A7F29" w:rsidRPr="006A7F29" w:rsidP="003763BD" w14:paraId="7F2F04FC" w14:textId="77777777">
            <w:pPr>
              <w:widowControl/>
              <w:tabs>
                <w:tab w:val="center" w:pos="4680"/>
              </w:tabs>
              <w:suppressAutoHyphens/>
              <w:rPr>
                <w:spacing w:val="-2"/>
              </w:rPr>
            </w:pPr>
          </w:p>
          <w:p w:rsidR="006A7F29" w:rsidRPr="006A7F29" w:rsidP="003763BD" w14:paraId="49DF2371" w14:textId="77777777">
            <w:pPr>
              <w:widowControl/>
              <w:tabs>
                <w:tab w:val="center" w:pos="4680"/>
              </w:tabs>
              <w:suppressAutoHyphens/>
              <w:rPr>
                <w:spacing w:val="-2"/>
              </w:rPr>
            </w:pPr>
            <w:r w:rsidRPr="006A7F29">
              <w:rPr>
                <w:spacing w:val="-2"/>
                <w:szCs w:val="22"/>
              </w:rPr>
              <w:t>Amendments to Part 11 of the Commission’s Rules Regarding the Emergency Alert System</w:t>
            </w:r>
          </w:p>
        </w:tc>
        <w:tc>
          <w:tcPr>
            <w:tcW w:w="630" w:type="dxa"/>
          </w:tcPr>
          <w:p w:rsidR="006A7F29" w:rsidRPr="006A7F29" w:rsidP="003763BD" w14:paraId="105F9579" w14:textId="77777777">
            <w:pPr>
              <w:widowControl/>
              <w:tabs>
                <w:tab w:val="center" w:pos="4680"/>
              </w:tabs>
              <w:suppressAutoHyphens/>
              <w:rPr>
                <w:b/>
                <w:spacing w:val="-2"/>
              </w:rPr>
            </w:pPr>
            <w:r w:rsidRPr="006A7F29">
              <w:rPr>
                <w:b/>
                <w:spacing w:val="-2"/>
              </w:rPr>
              <w:t>)</w:t>
            </w:r>
          </w:p>
          <w:p w:rsidR="006A7F29" w:rsidRPr="006A7F29" w:rsidP="003763BD" w14:paraId="3DF5FA41" w14:textId="77777777">
            <w:pPr>
              <w:widowControl/>
              <w:tabs>
                <w:tab w:val="center" w:pos="4680"/>
              </w:tabs>
              <w:suppressAutoHyphens/>
              <w:rPr>
                <w:b/>
                <w:spacing w:val="-2"/>
              </w:rPr>
            </w:pPr>
            <w:r w:rsidRPr="006A7F29">
              <w:rPr>
                <w:b/>
                <w:spacing w:val="-2"/>
              </w:rPr>
              <w:t>)</w:t>
            </w:r>
          </w:p>
          <w:p w:rsidR="006A7F29" w:rsidRPr="006A7F29" w:rsidP="003763BD" w14:paraId="208E6B67" w14:textId="77777777">
            <w:pPr>
              <w:widowControl/>
              <w:tabs>
                <w:tab w:val="center" w:pos="4680"/>
              </w:tabs>
              <w:suppressAutoHyphens/>
              <w:rPr>
                <w:b/>
                <w:spacing w:val="-2"/>
              </w:rPr>
            </w:pPr>
            <w:r w:rsidRPr="006A7F29">
              <w:rPr>
                <w:b/>
                <w:spacing w:val="-2"/>
              </w:rPr>
              <w:t>)</w:t>
            </w:r>
          </w:p>
          <w:p w:rsidR="006A7F29" w:rsidRPr="006A7F29" w:rsidP="003763BD" w14:paraId="12BB1574" w14:textId="77777777">
            <w:pPr>
              <w:widowControl/>
              <w:tabs>
                <w:tab w:val="center" w:pos="4680"/>
              </w:tabs>
              <w:suppressAutoHyphens/>
              <w:rPr>
                <w:b/>
                <w:spacing w:val="-2"/>
              </w:rPr>
            </w:pPr>
            <w:r w:rsidRPr="006A7F29">
              <w:rPr>
                <w:b/>
                <w:spacing w:val="-2"/>
              </w:rPr>
              <w:t>)</w:t>
            </w:r>
          </w:p>
          <w:p w:rsidR="006A7F29" w:rsidRPr="006A7F29" w:rsidP="003763BD" w14:paraId="2E32BE1C" w14:textId="77777777">
            <w:pPr>
              <w:widowControl/>
              <w:tabs>
                <w:tab w:val="center" w:pos="4680"/>
              </w:tabs>
              <w:suppressAutoHyphens/>
              <w:rPr>
                <w:b/>
                <w:spacing w:val="-2"/>
              </w:rPr>
            </w:pPr>
            <w:r w:rsidRPr="006A7F29">
              <w:rPr>
                <w:b/>
                <w:spacing w:val="-2"/>
              </w:rPr>
              <w:t>)</w:t>
            </w:r>
          </w:p>
          <w:p w:rsidR="006A7F29" w:rsidRPr="006A7F29" w:rsidP="003763BD" w14:paraId="6BB41023" w14:textId="77777777">
            <w:pPr>
              <w:widowControl/>
              <w:tabs>
                <w:tab w:val="center" w:pos="4680"/>
              </w:tabs>
              <w:suppressAutoHyphens/>
              <w:rPr>
                <w:b/>
                <w:spacing w:val="-2"/>
              </w:rPr>
            </w:pPr>
            <w:r w:rsidRPr="006A7F29">
              <w:rPr>
                <w:b/>
                <w:spacing w:val="-2"/>
              </w:rPr>
              <w:t>)</w:t>
            </w:r>
          </w:p>
          <w:p w:rsidR="006A7F29" w:rsidRPr="006A7F29" w:rsidP="003763BD" w14:paraId="48CBF889" w14:textId="6D3FBC71">
            <w:pPr>
              <w:widowControl/>
              <w:tabs>
                <w:tab w:val="center" w:pos="4680"/>
              </w:tabs>
              <w:suppressAutoHyphens/>
              <w:rPr>
                <w:spacing w:val="-2"/>
              </w:rPr>
            </w:pPr>
            <w:r w:rsidRPr="006A7F29">
              <w:rPr>
                <w:b/>
                <w:spacing w:val="-2"/>
              </w:rPr>
              <w:t>)</w:t>
            </w:r>
          </w:p>
        </w:tc>
        <w:tc>
          <w:tcPr>
            <w:tcW w:w="4248" w:type="dxa"/>
          </w:tcPr>
          <w:p w:rsidR="006A7F29" w:rsidRPr="006A7F29" w:rsidP="003763BD" w14:paraId="540A79AF" w14:textId="77777777">
            <w:pPr>
              <w:widowControl/>
              <w:tabs>
                <w:tab w:val="center" w:pos="4680"/>
              </w:tabs>
              <w:suppressAutoHyphens/>
              <w:rPr>
                <w:spacing w:val="-2"/>
              </w:rPr>
            </w:pPr>
          </w:p>
          <w:p w:rsidR="006A7F29" w:rsidRPr="006A7F29" w:rsidP="003763BD" w14:paraId="30EB0737" w14:textId="77777777">
            <w:pPr>
              <w:widowControl/>
              <w:tabs>
                <w:tab w:val="center" w:pos="4680"/>
              </w:tabs>
              <w:suppressAutoHyphens/>
              <w:rPr>
                <w:spacing w:val="-2"/>
              </w:rPr>
            </w:pPr>
          </w:p>
          <w:p w:rsidR="006A7F29" w:rsidRPr="006A7F29" w:rsidP="003763BD" w14:paraId="43809E40" w14:textId="77777777">
            <w:pPr>
              <w:widowControl/>
              <w:tabs>
                <w:tab w:val="center" w:pos="4680"/>
              </w:tabs>
              <w:suppressAutoHyphens/>
              <w:rPr>
                <w:spacing w:val="-2"/>
                <w:szCs w:val="22"/>
              </w:rPr>
            </w:pPr>
            <w:r w:rsidRPr="006A7F29">
              <w:rPr>
                <w:spacing w:val="-2"/>
                <w:szCs w:val="22"/>
              </w:rPr>
              <w:t>PS Docket No. 15-91</w:t>
            </w:r>
          </w:p>
          <w:p w:rsidR="006A7F29" w:rsidRPr="006A7F29" w:rsidP="003763BD" w14:paraId="3843CBDA" w14:textId="77777777">
            <w:pPr>
              <w:widowControl/>
              <w:tabs>
                <w:tab w:val="center" w:pos="4680"/>
              </w:tabs>
              <w:suppressAutoHyphens/>
              <w:rPr>
                <w:spacing w:val="-2"/>
              </w:rPr>
            </w:pPr>
          </w:p>
          <w:p w:rsidR="006A7F29" w:rsidRPr="006A7F29" w:rsidP="003763BD" w14:paraId="1BF0326E" w14:textId="77777777">
            <w:pPr>
              <w:widowControl/>
              <w:tabs>
                <w:tab w:val="center" w:pos="4680"/>
              </w:tabs>
              <w:suppressAutoHyphens/>
              <w:rPr>
                <w:spacing w:val="-2"/>
              </w:rPr>
            </w:pPr>
          </w:p>
          <w:p w:rsidR="006A7F29" w:rsidRPr="006A7F29" w:rsidP="003763BD" w14:paraId="68CB5D55" w14:textId="77777777">
            <w:pPr>
              <w:widowControl/>
              <w:tabs>
                <w:tab w:val="center" w:pos="4680"/>
              </w:tabs>
              <w:suppressAutoHyphens/>
              <w:rPr>
                <w:spacing w:val="-2"/>
              </w:rPr>
            </w:pPr>
            <w:r w:rsidRPr="006A7F29">
              <w:rPr>
                <w:spacing w:val="-2"/>
                <w:szCs w:val="22"/>
              </w:rPr>
              <w:t>PS Docket No. 15-94</w:t>
            </w:r>
          </w:p>
        </w:tc>
      </w:tr>
    </w:tbl>
    <w:p w:rsidR="006A7F29" w:rsidRPr="006A7F29" w:rsidP="003763BD" w14:paraId="0F62F821" w14:textId="77777777">
      <w:pPr>
        <w:widowControl/>
      </w:pPr>
    </w:p>
    <w:p w:rsidR="006A7F29" w:rsidRPr="006A7F29" w:rsidP="003763BD" w14:paraId="62D5C554" w14:textId="77777777">
      <w:pPr>
        <w:widowControl/>
        <w:jc w:val="center"/>
        <w:rPr>
          <w:rFonts w:ascii="Times New Roman Bold" w:hAnsi="Times New Roman Bold"/>
          <w:b/>
          <w:bCs/>
          <w:caps/>
          <w:szCs w:val="22"/>
        </w:rPr>
      </w:pPr>
      <w:r w:rsidRPr="006A7F29">
        <w:rPr>
          <w:rFonts w:ascii="Times New Roman Bold" w:hAnsi="Times New Roman Bold"/>
          <w:b/>
          <w:bCs/>
          <w:caps/>
          <w:szCs w:val="22"/>
        </w:rPr>
        <w:t>ORDER</w:t>
      </w:r>
    </w:p>
    <w:p w:rsidR="006A7F29" w:rsidRPr="006A7F29" w:rsidP="003763BD" w14:paraId="3E002253" w14:textId="77777777">
      <w:pPr>
        <w:widowControl/>
        <w:tabs>
          <w:tab w:val="left" w:pos="-720"/>
        </w:tabs>
        <w:suppressAutoHyphens/>
        <w:spacing w:line="227" w:lineRule="auto"/>
        <w:rPr>
          <w:spacing w:val="-2"/>
        </w:rPr>
      </w:pPr>
    </w:p>
    <w:p w:rsidR="006A7F29" w:rsidRPr="006A7F29" w:rsidP="003763BD" w14:paraId="263198D4" w14:textId="024903DA">
      <w:pPr>
        <w:widowControl/>
        <w:tabs>
          <w:tab w:val="left" w:pos="720"/>
          <w:tab w:val="right" w:pos="9360"/>
        </w:tabs>
        <w:suppressAutoHyphens/>
        <w:spacing w:line="227" w:lineRule="auto"/>
        <w:rPr>
          <w:spacing w:val="-2"/>
        </w:rPr>
      </w:pPr>
      <w:r w:rsidRPr="006A7F29">
        <w:rPr>
          <w:b/>
          <w:spacing w:val="-2"/>
        </w:rPr>
        <w:t>Adopted:  October</w:t>
      </w:r>
      <w:r w:rsidR="00CE4A7D">
        <w:rPr>
          <w:b/>
          <w:spacing w:val="-2"/>
        </w:rPr>
        <w:t xml:space="preserve"> 16</w:t>
      </w:r>
      <w:r w:rsidRPr="006A7F29">
        <w:rPr>
          <w:b/>
          <w:spacing w:val="-2"/>
        </w:rPr>
        <w:t>, 2019</w:t>
      </w:r>
      <w:r w:rsidRPr="006A7F29">
        <w:rPr>
          <w:b/>
          <w:spacing w:val="-2"/>
        </w:rPr>
        <w:tab/>
        <w:t xml:space="preserve">Released:  October </w:t>
      </w:r>
      <w:r w:rsidR="00CE4A7D">
        <w:rPr>
          <w:b/>
          <w:spacing w:val="-2"/>
        </w:rPr>
        <w:t>16</w:t>
      </w:r>
      <w:r w:rsidRPr="006A7F29">
        <w:rPr>
          <w:b/>
          <w:spacing w:val="-2"/>
        </w:rPr>
        <w:t>, 2019</w:t>
      </w:r>
    </w:p>
    <w:p w:rsidR="006A7F29" w:rsidRPr="006A7F29" w:rsidP="003763BD" w14:paraId="57C0CC37" w14:textId="77777777">
      <w:pPr>
        <w:widowControl/>
      </w:pPr>
    </w:p>
    <w:p w:rsidR="006A7F29" w:rsidRPr="006A7F29" w:rsidP="003763BD" w14:paraId="1A673399" w14:textId="77777777">
      <w:pPr>
        <w:widowControl/>
        <w:rPr>
          <w:spacing w:val="-2"/>
        </w:rPr>
      </w:pPr>
      <w:r w:rsidRPr="006A7F29">
        <w:t xml:space="preserve">By the </w:t>
      </w:r>
      <w:r w:rsidRPr="006A7F29">
        <w:rPr>
          <w:spacing w:val="-2"/>
          <w:szCs w:val="22"/>
        </w:rPr>
        <w:t>Deputy Chief, Public Safety and Homeland Security Bureau</w:t>
      </w:r>
      <w:r w:rsidRPr="006A7F29">
        <w:rPr>
          <w:spacing w:val="-2"/>
        </w:rPr>
        <w:t>:</w:t>
      </w:r>
    </w:p>
    <w:p w:rsidR="006A7F29" w:rsidP="003763BD" w14:paraId="0433315A" w14:textId="77777777">
      <w:pPr>
        <w:keepNext/>
        <w:widowControl/>
        <w:tabs>
          <w:tab w:val="left" w:pos="720"/>
        </w:tabs>
        <w:suppressAutoHyphens/>
        <w:spacing w:after="120"/>
        <w:outlineLvl w:val="0"/>
        <w:rPr>
          <w:spacing w:val="-2"/>
        </w:rPr>
      </w:pPr>
    </w:p>
    <w:p w:rsidR="006A7F29" w:rsidP="003763BD" w14:paraId="3AF90916" w14:textId="77D73403">
      <w:pPr>
        <w:pStyle w:val="Heading1"/>
        <w:widowControl/>
        <w:rPr>
          <w:szCs w:val="22"/>
        </w:rPr>
      </w:pPr>
      <w:r w:rsidRPr="006A7F29">
        <w:rPr>
          <w:szCs w:val="22"/>
        </w:rPr>
        <w:t>introduction</w:t>
      </w:r>
    </w:p>
    <w:p w:rsidR="006A7F29" w:rsidRPr="00CC4FC4" w:rsidP="003763BD" w14:paraId="7EDE5E17" w14:textId="42A488FB">
      <w:pPr>
        <w:widowControl/>
        <w:numPr>
          <w:ilvl w:val="0"/>
          <w:numId w:val="2"/>
        </w:numPr>
        <w:tabs>
          <w:tab w:val="clear" w:pos="1080"/>
          <w:tab w:val="num" w:pos="1440"/>
        </w:tabs>
        <w:spacing w:after="120"/>
        <w:rPr>
          <w:b/>
          <w:caps/>
          <w:szCs w:val="22"/>
        </w:rPr>
      </w:pPr>
      <w:r w:rsidRPr="00CC4FC4">
        <w:rPr>
          <w:szCs w:val="22"/>
        </w:rPr>
        <w:t>In this Order, the Public Safety and Homeland Security Bureau (Bureau) of the Federal</w:t>
      </w:r>
      <w:r w:rsidRPr="006A7F29">
        <w:t xml:space="preserve"> </w:t>
      </w:r>
      <w:r w:rsidRPr="00CC4FC4">
        <w:rPr>
          <w:szCs w:val="22"/>
        </w:rPr>
        <w:t>Communications</w:t>
      </w:r>
      <w:r w:rsidRPr="006A7F29">
        <w:t xml:space="preserve"> Commission (Commission) </w:t>
      </w:r>
      <w:r w:rsidRPr="00CC4FC4">
        <w:rPr>
          <w:szCs w:val="22"/>
        </w:rPr>
        <w:t>grants</w:t>
      </w:r>
      <w:r w:rsidRPr="006A7F29">
        <w:t xml:space="preserve"> a limited waiver of the Commission’s Wireless </w:t>
      </w:r>
      <w:r w:rsidRPr="00CC4FC4">
        <w:rPr>
          <w:szCs w:val="22"/>
        </w:rPr>
        <w:t>Emergency</w:t>
      </w:r>
      <w:r w:rsidRPr="006A7F29">
        <w:t xml:space="preserve"> Alerts (WEA) rules to permit Participating Commercial Mobile Service (CMS) Providers</w:t>
      </w:r>
      <w:r>
        <w:rPr>
          <w:vertAlign w:val="superscript"/>
        </w:rPr>
        <w:footnoteReference w:id="3"/>
      </w:r>
      <w:r w:rsidRPr="006A7F29">
        <w:t xml:space="preserve"> to participate in an end-to-end WEA test that the </w:t>
      </w:r>
      <w:r w:rsidRPr="003763BD">
        <w:t>City of Los Angeles, California, Emergency Management Department</w:t>
      </w:r>
      <w:r w:rsidR="00A6225F">
        <w:t xml:space="preserve"> (LA Emergency Management Department)</w:t>
      </w:r>
      <w:r w:rsidRPr="003763BD">
        <w:t xml:space="preserve">, </w:t>
      </w:r>
      <w:r w:rsidRPr="006A7F29">
        <w:t xml:space="preserve">proposes to conduct on </w:t>
      </w:r>
      <w:r w:rsidRPr="003763BD">
        <w:t>November 16, 2019</w:t>
      </w:r>
      <w:r w:rsidRPr="006A7F29">
        <w:t xml:space="preserve"> at 10:00 a.m. Pacific Daylight Time (PDT), within the City of Los Angeles.</w:t>
      </w:r>
      <w:r>
        <w:rPr>
          <w:vertAlign w:val="superscript"/>
        </w:rPr>
        <w:footnoteReference w:id="4"/>
      </w:r>
      <w:r w:rsidRPr="006A7F29">
        <w:t xml:space="preserve">  For the reasons discussed below we grant the </w:t>
      </w:r>
      <w:r w:rsidR="00A6225F">
        <w:t>LA</w:t>
      </w:r>
      <w:r w:rsidRPr="006A7F29">
        <w:t xml:space="preserve"> Emergency Management Department request</w:t>
      </w:r>
      <w:r w:rsidR="00A6225F">
        <w:t>,</w:t>
      </w:r>
      <w:r w:rsidRPr="006A7F29">
        <w:t xml:space="preserve"> subject to certain conditions.</w:t>
      </w:r>
    </w:p>
    <w:p w:rsidR="006A7F29" w:rsidRPr="006A7F29" w:rsidP="003763BD" w14:paraId="33CC950A" w14:textId="77777777">
      <w:pPr>
        <w:widowControl/>
        <w:kinsoku w:val="0"/>
        <w:overflowPunct w:val="0"/>
        <w:spacing w:before="5"/>
        <w:ind w:left="134"/>
        <w:rPr>
          <w:snapToGrid/>
          <w:kern w:val="0"/>
          <w:szCs w:val="22"/>
        </w:rPr>
      </w:pPr>
    </w:p>
    <w:p w:rsidR="006A7F29" w:rsidRPr="006A7F29" w:rsidP="003763BD" w14:paraId="4A7E5DB3" w14:textId="77777777">
      <w:pPr>
        <w:keepNext/>
        <w:widowControl/>
        <w:numPr>
          <w:ilvl w:val="0"/>
          <w:numId w:val="3"/>
        </w:numPr>
        <w:tabs>
          <w:tab w:val="left" w:pos="720"/>
        </w:tabs>
        <w:suppressAutoHyphens/>
        <w:spacing w:after="120"/>
        <w:outlineLvl w:val="0"/>
        <w:rPr>
          <w:b/>
          <w:caps/>
          <w:szCs w:val="22"/>
        </w:rPr>
      </w:pPr>
      <w:r w:rsidRPr="006A7F29">
        <w:rPr>
          <w:b/>
          <w:caps/>
          <w:szCs w:val="22"/>
        </w:rPr>
        <w:t>background</w:t>
      </w:r>
    </w:p>
    <w:p w:rsidR="006A7F29" w:rsidRPr="006A7F29" w:rsidP="003763BD" w14:paraId="6CDD774A" w14:textId="77777777">
      <w:pPr>
        <w:widowControl/>
        <w:numPr>
          <w:ilvl w:val="0"/>
          <w:numId w:val="2"/>
        </w:numPr>
        <w:tabs>
          <w:tab w:val="clear" w:pos="1080"/>
          <w:tab w:val="num" w:pos="1440"/>
        </w:tabs>
        <w:spacing w:after="120"/>
        <w:rPr>
          <w:szCs w:val="22"/>
        </w:rPr>
      </w:pPr>
      <w:r w:rsidRPr="006A7F29">
        <w:rPr>
          <w:szCs w:val="22"/>
        </w:rPr>
        <w:t>The WEA system allows authorized government entities to send geographically targeted emergency alerts to commercial wireless subscribers who have WEA-capable mobile devices, and whose commercial wireless service providers are Participating CMS Providers.</w:t>
      </w:r>
      <w:r>
        <w:rPr>
          <w:szCs w:val="22"/>
          <w:vertAlign w:val="superscript"/>
        </w:rPr>
        <w:footnoteReference w:id="5"/>
      </w:r>
      <w:r w:rsidRPr="006A7F29">
        <w:rPr>
          <w:szCs w:val="22"/>
        </w:rPr>
        <w:t xml:space="preserve">  The Commission’s rules prohibit use of the WEA Attention Signal except during actual emergencies, authorized tests, and certain public service announcements.</w:t>
      </w:r>
      <w:r>
        <w:rPr>
          <w:szCs w:val="22"/>
          <w:vertAlign w:val="superscript"/>
        </w:rPr>
        <w:footnoteReference w:id="6"/>
      </w:r>
      <w:r w:rsidRPr="006A7F29">
        <w:rPr>
          <w:szCs w:val="22"/>
        </w:rPr>
        <w:t xml:space="preserve">  Additionally, the Commission’s rules allow testing of WEA functionality </w:t>
      </w:r>
      <w:r w:rsidRPr="006A7F29">
        <w:rPr>
          <w:szCs w:val="22"/>
        </w:rPr>
        <w:t>only in limited circumstances that currently do not include end-to-end WEA tests to the public.</w:t>
      </w:r>
      <w:r>
        <w:rPr>
          <w:szCs w:val="22"/>
          <w:vertAlign w:val="superscript"/>
        </w:rPr>
        <w:footnoteReference w:id="7"/>
      </w:r>
      <w:r w:rsidRPr="006A7F29">
        <w:rPr>
          <w:szCs w:val="22"/>
        </w:rPr>
        <w:t xml:space="preserve">  On November 1, 2016 the Commission adopted a Report and Order that amends the WEA testing rules to permit emergency managers to conduct end-to-end WEA tests to the public, without obtaining a waiver, to assess how WEA works within their jurisdictions.</w:t>
      </w:r>
      <w:r>
        <w:rPr>
          <w:szCs w:val="22"/>
          <w:vertAlign w:val="superscript"/>
        </w:rPr>
        <w:footnoteReference w:id="8"/>
      </w:r>
      <w:r w:rsidRPr="006A7F29">
        <w:rPr>
          <w:szCs w:val="22"/>
        </w:rPr>
        <w:t xml:space="preserve">  The rules allowing such State/Local WEA Tests became effective on May 1, 2019</w:t>
      </w:r>
      <w:r>
        <w:rPr>
          <w:szCs w:val="22"/>
          <w:vertAlign w:val="superscript"/>
        </w:rPr>
        <w:footnoteReference w:id="9"/>
      </w:r>
      <w:r w:rsidRPr="006A7F29">
        <w:rPr>
          <w:szCs w:val="22"/>
          <w:vertAlign w:val="superscript"/>
        </w:rPr>
        <w:t xml:space="preserve"> </w:t>
      </w:r>
      <w:r w:rsidRPr="006A7F29">
        <w:rPr>
          <w:szCs w:val="22"/>
        </w:rPr>
        <w:t>but the Department of Homeland Security’s Federal Emergency Management Agency (FEMA), which administers the Integrated Public Alert and Warning System (IPAWS) infrastructure through which all alerts are authenticated, validated, and delivered to Participating CMS Providers, has informed the Bureau that IPAWS will not be ready to support additional features, including State/Local WEA tests, pending further necessary technical changes to IPAWS.</w:t>
      </w:r>
      <w:r>
        <w:rPr>
          <w:szCs w:val="22"/>
          <w:vertAlign w:val="superscript"/>
        </w:rPr>
        <w:footnoteReference w:id="10"/>
      </w:r>
      <w:r w:rsidRPr="006A7F29">
        <w:rPr>
          <w:szCs w:val="22"/>
        </w:rPr>
        <w:t xml:space="preserve">  Accordingly, alert originators wishing to conduct end-to-end WEA tests prior to IPAWS’s readiness to support State/Local WEA Tests must continue to request a waiver to use existing WEA message classifications to permit the alerts to be transmitted to the public.</w:t>
      </w:r>
    </w:p>
    <w:p w:rsidR="006A7F29" w:rsidRPr="006A7F29" w:rsidP="003763BD" w14:paraId="073634DE" w14:textId="3F988C65">
      <w:pPr>
        <w:widowControl/>
        <w:numPr>
          <w:ilvl w:val="0"/>
          <w:numId w:val="2"/>
        </w:numPr>
        <w:tabs>
          <w:tab w:val="clear" w:pos="1080"/>
          <w:tab w:val="num" w:pos="1440"/>
        </w:tabs>
        <w:spacing w:after="120"/>
        <w:rPr>
          <w:color w:val="000000"/>
          <w:szCs w:val="22"/>
        </w:rPr>
      </w:pPr>
      <w:r>
        <w:rPr>
          <w:szCs w:val="22"/>
        </w:rPr>
        <w:t>According to the LA Emergency Management Department, t</w:t>
      </w:r>
      <w:r w:rsidRPr="006A7F29">
        <w:rPr>
          <w:szCs w:val="22"/>
        </w:rPr>
        <w:t xml:space="preserve">he proposed test will be conducted in support of the </w:t>
      </w:r>
      <w:r w:rsidRPr="006A7F29">
        <w:rPr>
          <w:color w:val="000000"/>
          <w:szCs w:val="22"/>
        </w:rPr>
        <w:t xml:space="preserve">City of Los Angeles Fire Department’s wildfire evacuation exercise and will serve two purposes: (1) </w:t>
      </w:r>
      <w:r w:rsidRPr="003763BD">
        <w:rPr>
          <w:szCs w:val="22"/>
        </w:rPr>
        <w:t>assess</w:t>
      </w:r>
      <w:r w:rsidRPr="006A7F29">
        <w:rPr>
          <w:color w:val="000000"/>
          <w:szCs w:val="22"/>
        </w:rPr>
        <w:t xml:space="preserve"> the </w:t>
      </w:r>
      <w:r w:rsidR="002178D2">
        <w:rPr>
          <w:color w:val="000000"/>
          <w:szCs w:val="22"/>
        </w:rPr>
        <w:t xml:space="preserve">LA </w:t>
      </w:r>
      <w:r w:rsidRPr="006A7F29">
        <w:rPr>
          <w:color w:val="000000"/>
          <w:szCs w:val="22"/>
        </w:rPr>
        <w:t xml:space="preserve">Emergency Management Department’s ability to successfully execute the WEA process, and (2) promote wildfire and evacuation preparedness for high-risk communities.  </w:t>
      </w:r>
      <w:r w:rsidRPr="006A7F29">
        <w:rPr>
          <w:szCs w:val="22"/>
        </w:rPr>
        <w:t xml:space="preserve">The </w:t>
      </w:r>
      <w:r w:rsidR="0011351E">
        <w:rPr>
          <w:szCs w:val="22"/>
        </w:rPr>
        <w:t>LA Emergency Management Department</w:t>
      </w:r>
      <w:r w:rsidRPr="006A7F29">
        <w:rPr>
          <w:szCs w:val="22"/>
        </w:rPr>
        <w:t xml:space="preserve"> letter states that Los Angeles is threatened by increasingly intense and persistent wildfires, particularly in the Wildland Urban Interface areas.</w:t>
      </w:r>
      <w:r>
        <w:rPr>
          <w:szCs w:val="22"/>
          <w:vertAlign w:val="superscript"/>
        </w:rPr>
        <w:footnoteReference w:id="11"/>
      </w:r>
      <w:r w:rsidRPr="006A7F29">
        <w:rPr>
          <w:szCs w:val="22"/>
        </w:rPr>
        <w:t xml:space="preserve">  According to the letter, </w:t>
      </w:r>
      <w:r w:rsidRPr="006A7F29">
        <w:rPr>
          <w:color w:val="000000"/>
          <w:szCs w:val="22"/>
        </w:rPr>
        <w:t>this WEA test target area is not only at the highest risk of wildfire but also is an area in which both delivery of emergency messages and evacuation of residents is difficult.</w:t>
      </w:r>
      <w:r>
        <w:rPr>
          <w:szCs w:val="22"/>
          <w:vertAlign w:val="superscript"/>
        </w:rPr>
        <w:footnoteReference w:id="12"/>
      </w:r>
      <w:r w:rsidRPr="006A7F29">
        <w:rPr>
          <w:color w:val="000000"/>
          <w:szCs w:val="22"/>
        </w:rPr>
        <w:t xml:space="preserve">  The Emergency Management Department also notes in the letter that high fire danger weather “Red Flag” warnings issued by the National Weather Service and fire meteorologists of the Los Angeles Fire Department are becoming more frequent and lengthy.  Red Flag conditions cause electric utilities to preemptively turn off power in high-risk areas during high-risk weather conditions.</w:t>
      </w:r>
    </w:p>
    <w:p w:rsidR="006A7F29" w:rsidRPr="006A7F29" w:rsidP="003763BD" w14:paraId="4596DA2D" w14:textId="5A4ED349">
      <w:pPr>
        <w:widowControl/>
        <w:numPr>
          <w:ilvl w:val="0"/>
          <w:numId w:val="2"/>
        </w:numPr>
        <w:tabs>
          <w:tab w:val="clear" w:pos="1080"/>
          <w:tab w:val="num" w:pos="1440"/>
        </w:tabs>
        <w:spacing w:after="120"/>
        <w:rPr>
          <w:szCs w:val="22"/>
        </w:rPr>
      </w:pPr>
      <w:r w:rsidRPr="006A7F29">
        <w:rPr>
          <w:szCs w:val="22"/>
        </w:rPr>
        <w:t>The proposed WEA test will be conducted within Los Angeles.</w:t>
      </w:r>
      <w:r>
        <w:rPr>
          <w:szCs w:val="22"/>
          <w:vertAlign w:val="superscript"/>
        </w:rPr>
        <w:footnoteReference w:id="13"/>
      </w:r>
      <w:r w:rsidRPr="006A7F29">
        <w:rPr>
          <w:szCs w:val="22"/>
        </w:rPr>
        <w:t xml:space="preserve">  The proposed WEA test message to be delivered to mobile devices is: </w:t>
      </w:r>
      <w:bookmarkStart w:id="0" w:name="_Hlk22107890"/>
      <w:r w:rsidRPr="006A7F29">
        <w:rPr>
          <w:szCs w:val="22"/>
        </w:rPr>
        <w:t xml:space="preserve">TEST:  City of LA emergency alert system test.  Info and survey at </w:t>
      </w:r>
      <w:r w:rsidRPr="006A7F29">
        <w:rPr>
          <w:szCs w:val="22"/>
          <w:u w:val="single"/>
        </w:rPr>
        <w:t>https://arcg.is/1OTXWv</w:t>
      </w:r>
      <w:bookmarkEnd w:id="0"/>
      <w:r w:rsidRPr="006A7F29">
        <w:rPr>
          <w:szCs w:val="22"/>
          <w:u w:val="single"/>
        </w:rPr>
        <w:t>.</w:t>
      </w:r>
      <w:r>
        <w:rPr>
          <w:szCs w:val="22"/>
          <w:vertAlign w:val="superscript"/>
        </w:rPr>
        <w:footnoteReference w:id="14"/>
      </w:r>
    </w:p>
    <w:p w:rsidR="006A7F29" w:rsidRPr="006A7F29" w:rsidP="003763BD" w14:paraId="473CCCA9" w14:textId="01D00350">
      <w:pPr>
        <w:widowControl/>
        <w:numPr>
          <w:ilvl w:val="0"/>
          <w:numId w:val="2"/>
        </w:numPr>
        <w:tabs>
          <w:tab w:val="clear" w:pos="1080"/>
          <w:tab w:val="num" w:pos="1440"/>
        </w:tabs>
        <w:spacing w:after="120"/>
        <w:rPr>
          <w:szCs w:val="22"/>
        </w:rPr>
      </w:pPr>
      <w:r w:rsidRPr="006A7F29">
        <w:rPr>
          <w:szCs w:val="22"/>
        </w:rPr>
        <w:t xml:space="preserve">The </w:t>
      </w:r>
      <w:r w:rsidR="0011351E">
        <w:rPr>
          <w:szCs w:val="22"/>
        </w:rPr>
        <w:t>LA Emergency Management Department</w:t>
      </w:r>
      <w:r w:rsidRPr="006A7F29">
        <w:rPr>
          <w:szCs w:val="22"/>
        </w:rPr>
        <w:t xml:space="preserve"> </w:t>
      </w:r>
      <w:r w:rsidR="0011351E">
        <w:rPr>
          <w:szCs w:val="22"/>
        </w:rPr>
        <w:t>letter</w:t>
      </w:r>
      <w:r w:rsidRPr="006A7F29">
        <w:rPr>
          <w:szCs w:val="22"/>
        </w:rPr>
        <w:t xml:space="preserve"> outlines an extensive media campaign for the city and surrounding jurisdictions.</w:t>
      </w:r>
      <w:r>
        <w:rPr>
          <w:szCs w:val="22"/>
          <w:vertAlign w:val="superscript"/>
        </w:rPr>
        <w:footnoteReference w:id="15"/>
      </w:r>
      <w:r w:rsidRPr="006A7F29">
        <w:rPr>
          <w:szCs w:val="22"/>
        </w:rPr>
        <w:t xml:space="preserve">  This effort will include the Los Angeles Fire Department engaging the public in the target areas through Neighborhood Councils and City Council Members.</w:t>
      </w:r>
      <w:r>
        <w:rPr>
          <w:szCs w:val="22"/>
          <w:vertAlign w:val="superscript"/>
        </w:rPr>
        <w:footnoteReference w:id="16"/>
      </w:r>
      <w:r w:rsidRPr="006A7F29">
        <w:rPr>
          <w:szCs w:val="22"/>
        </w:rPr>
        <w:t xml:space="preserve">  The department will also conduct two town hall meetings to educate the public on emergency preparedness, IPAWS, WEA, and details of the exercise.</w:t>
      </w:r>
      <w:r>
        <w:rPr>
          <w:szCs w:val="22"/>
          <w:vertAlign w:val="superscript"/>
        </w:rPr>
        <w:footnoteReference w:id="17"/>
      </w:r>
      <w:r w:rsidRPr="006A7F29">
        <w:rPr>
          <w:szCs w:val="22"/>
        </w:rPr>
        <w:t xml:space="preserve">  Both the </w:t>
      </w:r>
      <w:r w:rsidR="002178D2">
        <w:rPr>
          <w:szCs w:val="22"/>
        </w:rPr>
        <w:t xml:space="preserve">LA </w:t>
      </w:r>
      <w:r w:rsidRPr="006A7F29">
        <w:rPr>
          <w:szCs w:val="22"/>
        </w:rPr>
        <w:t>Emergency Management Department and the Los Angeles Fire Department will use social media to inform the City's 911 and 311 services of the exercise details.</w:t>
      </w:r>
      <w:r>
        <w:rPr>
          <w:szCs w:val="22"/>
          <w:vertAlign w:val="superscript"/>
        </w:rPr>
        <w:footnoteReference w:id="18"/>
      </w:r>
      <w:r w:rsidRPr="006A7F29">
        <w:rPr>
          <w:szCs w:val="22"/>
        </w:rPr>
        <w:t xml:space="preserve">   The </w:t>
      </w:r>
      <w:r w:rsidR="002178D2">
        <w:rPr>
          <w:szCs w:val="22"/>
        </w:rPr>
        <w:t xml:space="preserve">LA </w:t>
      </w:r>
      <w:r w:rsidRPr="006A7F29">
        <w:rPr>
          <w:szCs w:val="22"/>
        </w:rPr>
        <w:t xml:space="preserve">Emergency Management Department notes that it will inform the Los Angeles County Operational Area, adjacent jurisdictions, and law enforcement and transportation officials (California Highway Patrol, </w:t>
      </w:r>
      <w:r w:rsidRPr="006A7F29">
        <w:rPr>
          <w:szCs w:val="22"/>
        </w:rPr>
        <w:t>CalTrans</w:t>
      </w:r>
      <w:r w:rsidRPr="006A7F29">
        <w:rPr>
          <w:szCs w:val="22"/>
        </w:rPr>
        <w:t>, etc.) of the exercise details.</w:t>
      </w:r>
      <w:r w:rsidRPr="006A7F29">
        <w:rPr>
          <w:szCs w:val="22"/>
          <w:vertAlign w:val="superscript"/>
        </w:rPr>
        <w:t xml:space="preserve"> </w:t>
      </w:r>
      <w:r>
        <w:rPr>
          <w:szCs w:val="22"/>
          <w:vertAlign w:val="superscript"/>
        </w:rPr>
        <w:footnoteReference w:id="19"/>
      </w:r>
      <w:r w:rsidRPr="006A7F29">
        <w:rPr>
          <w:szCs w:val="22"/>
        </w:rPr>
        <w:t xml:space="preserve"> </w:t>
      </w:r>
      <w:bookmarkStart w:id="1" w:name="_Hlk21554316"/>
      <w:r w:rsidRPr="006A7F29">
        <w:rPr>
          <w:szCs w:val="22"/>
        </w:rPr>
        <w:t xml:space="preserve"> The </w:t>
      </w:r>
      <w:r w:rsidR="002178D2">
        <w:rPr>
          <w:szCs w:val="22"/>
        </w:rPr>
        <w:t xml:space="preserve">LA </w:t>
      </w:r>
      <w:r w:rsidRPr="006A7F29">
        <w:rPr>
          <w:szCs w:val="22"/>
        </w:rPr>
        <w:t>Emergency Management Department also represents it will coordinate with test area CMS Providers before the test.</w:t>
      </w:r>
      <w:bookmarkEnd w:id="1"/>
      <w:r>
        <w:rPr>
          <w:szCs w:val="22"/>
          <w:vertAlign w:val="superscript"/>
        </w:rPr>
        <w:footnoteReference w:id="20"/>
      </w:r>
    </w:p>
    <w:p w:rsidR="006A7F29" w:rsidRPr="006A7F29" w:rsidP="003763BD" w14:paraId="028440D8" w14:textId="77777777">
      <w:pPr>
        <w:keepNext/>
        <w:widowControl/>
        <w:numPr>
          <w:ilvl w:val="0"/>
          <w:numId w:val="3"/>
        </w:numPr>
        <w:tabs>
          <w:tab w:val="left" w:pos="720"/>
        </w:tabs>
        <w:suppressAutoHyphens/>
        <w:spacing w:after="120"/>
        <w:outlineLvl w:val="0"/>
        <w:rPr>
          <w:b/>
          <w:caps/>
          <w:szCs w:val="22"/>
        </w:rPr>
      </w:pPr>
      <w:r w:rsidRPr="006A7F29">
        <w:rPr>
          <w:b/>
          <w:caps/>
          <w:szCs w:val="22"/>
        </w:rPr>
        <w:t>discussion</w:t>
      </w:r>
    </w:p>
    <w:p w:rsidR="006A7F29" w:rsidRPr="006A7F29" w:rsidP="003763BD" w14:paraId="26B862F5" w14:textId="4BF666EB">
      <w:pPr>
        <w:widowControl/>
        <w:numPr>
          <w:ilvl w:val="0"/>
          <w:numId w:val="2"/>
        </w:numPr>
        <w:tabs>
          <w:tab w:val="clear" w:pos="1080"/>
          <w:tab w:val="num" w:pos="1440"/>
        </w:tabs>
        <w:spacing w:after="120"/>
        <w:rPr>
          <w:szCs w:val="22"/>
        </w:rPr>
      </w:pPr>
      <w:r w:rsidRPr="006A7F29">
        <w:rPr>
          <w:szCs w:val="22"/>
        </w:rPr>
        <w:t>A provision of the Commission’s rules “may</w:t>
      </w:r>
      <w:r w:rsidRPr="006A7F29">
        <w:rPr>
          <w:spacing w:val="-5"/>
          <w:szCs w:val="22"/>
        </w:rPr>
        <w:t xml:space="preserve"> </w:t>
      </w:r>
      <w:r w:rsidRPr="006A7F29">
        <w:rPr>
          <w:szCs w:val="22"/>
        </w:rPr>
        <w:t>be</w:t>
      </w:r>
      <w:r w:rsidRPr="006A7F29">
        <w:rPr>
          <w:spacing w:val="-5"/>
          <w:szCs w:val="22"/>
        </w:rPr>
        <w:t xml:space="preserve"> </w:t>
      </w:r>
      <w:r w:rsidRPr="006A7F29">
        <w:rPr>
          <w:spacing w:val="-1"/>
          <w:szCs w:val="22"/>
        </w:rPr>
        <w:t>waived</w:t>
      </w:r>
      <w:r w:rsidRPr="006A7F29">
        <w:rPr>
          <w:spacing w:val="-4"/>
          <w:szCs w:val="22"/>
        </w:rPr>
        <w:t xml:space="preserve"> </w:t>
      </w:r>
      <w:r w:rsidRPr="006A7F29">
        <w:rPr>
          <w:szCs w:val="22"/>
        </w:rPr>
        <w:t>by</w:t>
      </w:r>
      <w:r w:rsidRPr="006A7F29">
        <w:rPr>
          <w:spacing w:val="-4"/>
          <w:szCs w:val="22"/>
        </w:rPr>
        <w:t xml:space="preserve"> </w:t>
      </w:r>
      <w:r w:rsidRPr="006A7F29">
        <w:rPr>
          <w:szCs w:val="22"/>
        </w:rPr>
        <w:t>the</w:t>
      </w:r>
      <w:r w:rsidRPr="006A7F29">
        <w:rPr>
          <w:spacing w:val="-4"/>
          <w:szCs w:val="22"/>
        </w:rPr>
        <w:t xml:space="preserve"> </w:t>
      </w:r>
      <w:r w:rsidRPr="006A7F29">
        <w:rPr>
          <w:spacing w:val="-1"/>
          <w:szCs w:val="22"/>
        </w:rPr>
        <w:t>Commission</w:t>
      </w:r>
      <w:r w:rsidRPr="006A7F29">
        <w:rPr>
          <w:spacing w:val="-4"/>
          <w:szCs w:val="22"/>
        </w:rPr>
        <w:t xml:space="preserve"> </w:t>
      </w:r>
      <w:r w:rsidRPr="006A7F29">
        <w:rPr>
          <w:szCs w:val="22"/>
        </w:rPr>
        <w:t>on</w:t>
      </w:r>
      <w:r w:rsidRPr="006A7F29">
        <w:rPr>
          <w:spacing w:val="-4"/>
          <w:szCs w:val="22"/>
        </w:rPr>
        <w:t xml:space="preserve"> </w:t>
      </w:r>
      <w:r w:rsidRPr="006A7F29">
        <w:rPr>
          <w:szCs w:val="22"/>
        </w:rPr>
        <w:t>its</w:t>
      </w:r>
      <w:r w:rsidRPr="006A7F29">
        <w:rPr>
          <w:spacing w:val="-4"/>
          <w:szCs w:val="22"/>
        </w:rPr>
        <w:t xml:space="preserve"> </w:t>
      </w:r>
      <w:r w:rsidRPr="006A7F29">
        <w:rPr>
          <w:szCs w:val="22"/>
        </w:rPr>
        <w:t>own</w:t>
      </w:r>
      <w:r w:rsidRPr="006A7F29">
        <w:rPr>
          <w:spacing w:val="27"/>
          <w:szCs w:val="22"/>
        </w:rPr>
        <w:t xml:space="preserve"> </w:t>
      </w:r>
      <w:r w:rsidRPr="006A7F29">
        <w:rPr>
          <w:spacing w:val="-1"/>
          <w:szCs w:val="22"/>
        </w:rPr>
        <w:t>motion</w:t>
      </w:r>
      <w:r w:rsidRPr="006A7F29">
        <w:rPr>
          <w:spacing w:val="-3"/>
          <w:szCs w:val="22"/>
        </w:rPr>
        <w:t xml:space="preserve"> </w:t>
      </w:r>
      <w:r w:rsidRPr="006A7F29">
        <w:rPr>
          <w:szCs w:val="22"/>
        </w:rPr>
        <w:t>or</w:t>
      </w:r>
      <w:r w:rsidRPr="006A7F29">
        <w:rPr>
          <w:spacing w:val="-3"/>
          <w:szCs w:val="22"/>
        </w:rPr>
        <w:t xml:space="preserve"> </w:t>
      </w:r>
      <w:r w:rsidRPr="006A7F29">
        <w:rPr>
          <w:szCs w:val="22"/>
        </w:rPr>
        <w:t>on</w:t>
      </w:r>
      <w:r w:rsidRPr="006A7F29">
        <w:rPr>
          <w:spacing w:val="-3"/>
          <w:szCs w:val="22"/>
        </w:rPr>
        <w:t xml:space="preserve"> </w:t>
      </w:r>
      <w:r w:rsidRPr="006A7F29">
        <w:rPr>
          <w:szCs w:val="22"/>
        </w:rPr>
        <w:t>petition</w:t>
      </w:r>
      <w:r w:rsidRPr="006A7F29">
        <w:rPr>
          <w:spacing w:val="-3"/>
          <w:szCs w:val="22"/>
        </w:rPr>
        <w:t xml:space="preserve"> </w:t>
      </w:r>
      <w:r w:rsidRPr="006A7F29">
        <w:rPr>
          <w:spacing w:val="-1"/>
          <w:szCs w:val="22"/>
        </w:rPr>
        <w:t>if</w:t>
      </w:r>
      <w:r w:rsidRPr="006A7F29">
        <w:rPr>
          <w:spacing w:val="-3"/>
          <w:szCs w:val="22"/>
        </w:rPr>
        <w:t xml:space="preserve"> </w:t>
      </w:r>
      <w:r w:rsidRPr="006A7F29">
        <w:rPr>
          <w:szCs w:val="22"/>
        </w:rPr>
        <w:t>good</w:t>
      </w:r>
      <w:r w:rsidRPr="006A7F29">
        <w:rPr>
          <w:spacing w:val="-2"/>
          <w:szCs w:val="22"/>
        </w:rPr>
        <w:t xml:space="preserve"> </w:t>
      </w:r>
      <w:r w:rsidRPr="006A7F29">
        <w:rPr>
          <w:szCs w:val="22"/>
        </w:rPr>
        <w:t>cause</w:t>
      </w:r>
      <w:r w:rsidRPr="006A7F29">
        <w:rPr>
          <w:spacing w:val="-4"/>
          <w:szCs w:val="22"/>
        </w:rPr>
        <w:t xml:space="preserve"> </w:t>
      </w:r>
      <w:r w:rsidRPr="006A7F29">
        <w:rPr>
          <w:szCs w:val="22"/>
        </w:rPr>
        <w:t>therefor</w:t>
      </w:r>
      <w:r w:rsidRPr="006A7F29">
        <w:rPr>
          <w:spacing w:val="-4"/>
          <w:szCs w:val="22"/>
        </w:rPr>
        <w:t xml:space="preserve"> </w:t>
      </w:r>
      <w:r w:rsidRPr="006A7F29">
        <w:rPr>
          <w:spacing w:val="-1"/>
          <w:szCs w:val="22"/>
        </w:rPr>
        <w:t>is</w:t>
      </w:r>
      <w:r w:rsidRPr="006A7F29">
        <w:rPr>
          <w:spacing w:val="-3"/>
          <w:szCs w:val="22"/>
        </w:rPr>
        <w:t xml:space="preserve"> </w:t>
      </w:r>
      <w:r w:rsidRPr="006A7F29">
        <w:rPr>
          <w:spacing w:val="-1"/>
          <w:szCs w:val="22"/>
        </w:rPr>
        <w:t>shown.”</w:t>
      </w:r>
      <w:r>
        <w:rPr>
          <w:spacing w:val="-1"/>
          <w:szCs w:val="22"/>
          <w:vertAlign w:val="superscript"/>
        </w:rPr>
        <w:footnoteReference w:id="21"/>
      </w:r>
      <w:r w:rsidRPr="006A7F29">
        <w:rPr>
          <w:szCs w:val="22"/>
        </w:rPr>
        <w:t xml:space="preserve">  The</w:t>
      </w:r>
      <w:r w:rsidRPr="006A7F29">
        <w:rPr>
          <w:spacing w:val="-4"/>
          <w:szCs w:val="22"/>
        </w:rPr>
        <w:t xml:space="preserve"> </w:t>
      </w:r>
      <w:r w:rsidRPr="006A7F29">
        <w:rPr>
          <w:szCs w:val="22"/>
        </w:rPr>
        <w:t>Commission</w:t>
      </w:r>
      <w:r w:rsidRPr="006A7F29">
        <w:rPr>
          <w:spacing w:val="-3"/>
          <w:szCs w:val="22"/>
        </w:rPr>
        <w:t xml:space="preserve"> </w:t>
      </w:r>
      <w:r w:rsidRPr="006A7F29">
        <w:rPr>
          <w:szCs w:val="22"/>
        </w:rPr>
        <w:t>may</w:t>
      </w:r>
      <w:r w:rsidRPr="006A7F29">
        <w:rPr>
          <w:spacing w:val="-4"/>
          <w:szCs w:val="22"/>
        </w:rPr>
        <w:t xml:space="preserve"> </w:t>
      </w:r>
      <w:r w:rsidRPr="006A7F29">
        <w:rPr>
          <w:szCs w:val="22"/>
        </w:rPr>
        <w:t>find</w:t>
      </w:r>
      <w:r w:rsidRPr="006A7F29">
        <w:rPr>
          <w:spacing w:val="-3"/>
          <w:szCs w:val="22"/>
        </w:rPr>
        <w:t xml:space="preserve"> </w:t>
      </w:r>
      <w:r w:rsidRPr="006A7F29">
        <w:rPr>
          <w:szCs w:val="22"/>
        </w:rPr>
        <w:t>good</w:t>
      </w:r>
      <w:r w:rsidRPr="006A7F29">
        <w:rPr>
          <w:spacing w:val="-2"/>
          <w:szCs w:val="22"/>
        </w:rPr>
        <w:t xml:space="preserve"> </w:t>
      </w:r>
      <w:r w:rsidRPr="006A7F29">
        <w:rPr>
          <w:szCs w:val="22"/>
        </w:rPr>
        <w:t>cause to extend</w:t>
      </w:r>
      <w:r w:rsidRPr="006A7F29">
        <w:rPr>
          <w:spacing w:val="-6"/>
          <w:szCs w:val="22"/>
        </w:rPr>
        <w:t xml:space="preserve"> </w:t>
      </w:r>
      <w:r w:rsidRPr="006A7F29">
        <w:rPr>
          <w:szCs w:val="22"/>
        </w:rPr>
        <w:t>a</w:t>
      </w:r>
      <w:r w:rsidRPr="006A7F29">
        <w:rPr>
          <w:spacing w:val="-7"/>
          <w:szCs w:val="22"/>
        </w:rPr>
        <w:t xml:space="preserve"> </w:t>
      </w:r>
      <w:r w:rsidRPr="006A7F29">
        <w:rPr>
          <w:spacing w:val="-1"/>
          <w:szCs w:val="22"/>
        </w:rPr>
        <w:t>waiver</w:t>
      </w:r>
      <w:r w:rsidRPr="006A7F29">
        <w:rPr>
          <w:spacing w:val="-6"/>
          <w:szCs w:val="22"/>
        </w:rPr>
        <w:t xml:space="preserve">, </w:t>
      </w:r>
      <w:r w:rsidRPr="006A7F29">
        <w:rPr>
          <w:szCs w:val="22"/>
        </w:rPr>
        <w:t>“if</w:t>
      </w:r>
      <w:r w:rsidRPr="006A7F29">
        <w:rPr>
          <w:spacing w:val="-6"/>
          <w:szCs w:val="22"/>
        </w:rPr>
        <w:t xml:space="preserve"> </w:t>
      </w:r>
      <w:r w:rsidRPr="006A7F29">
        <w:rPr>
          <w:spacing w:val="-1"/>
          <w:szCs w:val="22"/>
        </w:rPr>
        <w:t>special</w:t>
      </w:r>
      <w:r w:rsidRPr="006A7F29">
        <w:rPr>
          <w:spacing w:val="-5"/>
          <w:szCs w:val="22"/>
        </w:rPr>
        <w:t xml:space="preserve"> </w:t>
      </w:r>
      <w:r w:rsidRPr="006A7F29">
        <w:rPr>
          <w:szCs w:val="22"/>
        </w:rPr>
        <w:t>circumstances</w:t>
      </w:r>
      <w:r w:rsidRPr="006A7F29">
        <w:rPr>
          <w:spacing w:val="-5"/>
          <w:szCs w:val="22"/>
        </w:rPr>
        <w:t xml:space="preserve"> </w:t>
      </w:r>
      <w:r w:rsidRPr="006A7F29">
        <w:rPr>
          <w:spacing w:val="-1"/>
          <w:szCs w:val="22"/>
        </w:rPr>
        <w:t>warrant</w:t>
      </w:r>
      <w:r w:rsidRPr="006A7F29">
        <w:rPr>
          <w:spacing w:val="-5"/>
          <w:szCs w:val="22"/>
        </w:rPr>
        <w:t xml:space="preserve"> </w:t>
      </w:r>
      <w:r w:rsidRPr="006A7F29">
        <w:rPr>
          <w:szCs w:val="22"/>
        </w:rPr>
        <w:t>a</w:t>
      </w:r>
      <w:r w:rsidRPr="006A7F29">
        <w:rPr>
          <w:spacing w:val="-5"/>
          <w:szCs w:val="22"/>
        </w:rPr>
        <w:t xml:space="preserve"> </w:t>
      </w:r>
      <w:r w:rsidRPr="006A7F29">
        <w:rPr>
          <w:spacing w:val="-1"/>
          <w:szCs w:val="22"/>
        </w:rPr>
        <w:t>deviation</w:t>
      </w:r>
      <w:r w:rsidRPr="006A7F29">
        <w:rPr>
          <w:spacing w:val="-6"/>
          <w:szCs w:val="22"/>
        </w:rPr>
        <w:t xml:space="preserve"> </w:t>
      </w:r>
      <w:r w:rsidRPr="006A7F29">
        <w:rPr>
          <w:szCs w:val="22"/>
        </w:rPr>
        <w:t>from</w:t>
      </w:r>
      <w:r w:rsidRPr="006A7F29">
        <w:rPr>
          <w:spacing w:val="-5"/>
          <w:szCs w:val="22"/>
        </w:rPr>
        <w:t xml:space="preserve"> </w:t>
      </w:r>
      <w:r w:rsidRPr="006A7F29">
        <w:rPr>
          <w:szCs w:val="22"/>
        </w:rPr>
        <w:t>the</w:t>
      </w:r>
      <w:r w:rsidRPr="006A7F29">
        <w:rPr>
          <w:spacing w:val="-6"/>
          <w:szCs w:val="22"/>
        </w:rPr>
        <w:t xml:space="preserve"> </w:t>
      </w:r>
      <w:r w:rsidRPr="006A7F29">
        <w:rPr>
          <w:szCs w:val="22"/>
        </w:rPr>
        <w:t>general</w:t>
      </w:r>
      <w:r w:rsidRPr="006A7F29">
        <w:rPr>
          <w:spacing w:val="-5"/>
          <w:szCs w:val="22"/>
        </w:rPr>
        <w:t xml:space="preserve"> </w:t>
      </w:r>
      <w:r w:rsidRPr="006A7F29">
        <w:rPr>
          <w:szCs w:val="22"/>
        </w:rPr>
        <w:t>rule</w:t>
      </w:r>
      <w:r w:rsidRPr="006A7F29">
        <w:rPr>
          <w:spacing w:val="-5"/>
          <w:szCs w:val="22"/>
        </w:rPr>
        <w:t xml:space="preserve"> </w:t>
      </w:r>
      <w:r w:rsidRPr="006A7F29">
        <w:rPr>
          <w:spacing w:val="-1"/>
          <w:szCs w:val="22"/>
        </w:rPr>
        <w:t>and</w:t>
      </w:r>
      <w:r w:rsidRPr="006A7F29">
        <w:rPr>
          <w:spacing w:val="-5"/>
          <w:szCs w:val="22"/>
        </w:rPr>
        <w:t xml:space="preserve"> </w:t>
      </w:r>
      <w:r w:rsidRPr="006A7F29">
        <w:rPr>
          <w:spacing w:val="-1"/>
          <w:szCs w:val="22"/>
        </w:rPr>
        <w:t>such</w:t>
      </w:r>
      <w:r w:rsidRPr="006A7F29">
        <w:rPr>
          <w:spacing w:val="-6"/>
          <w:szCs w:val="22"/>
        </w:rPr>
        <w:t xml:space="preserve"> </w:t>
      </w:r>
      <w:r w:rsidRPr="006A7F29">
        <w:rPr>
          <w:szCs w:val="22"/>
        </w:rPr>
        <w:t xml:space="preserve">deviation </w:t>
      </w:r>
      <w:r w:rsidRPr="006A7F29">
        <w:rPr>
          <w:spacing w:val="-1"/>
          <w:szCs w:val="22"/>
        </w:rPr>
        <w:t>will</w:t>
      </w:r>
      <w:r w:rsidRPr="006A7F29">
        <w:rPr>
          <w:spacing w:val="-4"/>
          <w:szCs w:val="22"/>
        </w:rPr>
        <w:t xml:space="preserve"> </w:t>
      </w:r>
      <w:r w:rsidRPr="006A7F29">
        <w:rPr>
          <w:spacing w:val="-1"/>
          <w:szCs w:val="22"/>
        </w:rPr>
        <w:t>serve</w:t>
      </w:r>
      <w:r w:rsidRPr="006A7F29">
        <w:rPr>
          <w:spacing w:val="-4"/>
          <w:szCs w:val="22"/>
        </w:rPr>
        <w:t xml:space="preserve"> </w:t>
      </w:r>
      <w:r w:rsidRPr="006A7F29">
        <w:rPr>
          <w:szCs w:val="22"/>
        </w:rPr>
        <w:t>the</w:t>
      </w:r>
      <w:r w:rsidRPr="006A7F29">
        <w:rPr>
          <w:spacing w:val="-5"/>
          <w:szCs w:val="22"/>
        </w:rPr>
        <w:t xml:space="preserve"> </w:t>
      </w:r>
      <w:r w:rsidRPr="006A7F29">
        <w:rPr>
          <w:szCs w:val="22"/>
        </w:rPr>
        <w:t>public</w:t>
      </w:r>
      <w:r w:rsidRPr="006A7F29">
        <w:rPr>
          <w:spacing w:val="-3"/>
          <w:szCs w:val="22"/>
        </w:rPr>
        <w:t xml:space="preserve"> </w:t>
      </w:r>
      <w:r w:rsidRPr="006A7F29">
        <w:rPr>
          <w:spacing w:val="-1"/>
          <w:szCs w:val="22"/>
        </w:rPr>
        <w:t>interest.”</w:t>
      </w:r>
      <w:r>
        <w:rPr>
          <w:spacing w:val="-1"/>
          <w:szCs w:val="22"/>
          <w:vertAlign w:val="superscript"/>
        </w:rPr>
        <w:footnoteReference w:id="22"/>
      </w:r>
      <w:r w:rsidRPr="006A7F29">
        <w:rPr>
          <w:spacing w:val="-1"/>
          <w:szCs w:val="22"/>
        </w:rPr>
        <w:t xml:space="preserve">  We</w:t>
      </w:r>
      <w:r w:rsidRPr="006A7F29">
        <w:rPr>
          <w:szCs w:val="22"/>
        </w:rPr>
        <w:t xml:space="preserve"> conclude that there is good cause to grant the </w:t>
      </w:r>
      <w:r w:rsidR="0011351E">
        <w:rPr>
          <w:szCs w:val="22"/>
        </w:rPr>
        <w:t>LA Emergency Management Department</w:t>
      </w:r>
      <w:r w:rsidRPr="006A7F29">
        <w:rPr>
          <w:szCs w:val="22"/>
        </w:rPr>
        <w:t>’</w:t>
      </w:r>
      <w:r w:rsidR="0011351E">
        <w:rPr>
          <w:szCs w:val="22"/>
        </w:rPr>
        <w:t>s</w:t>
      </w:r>
      <w:r w:rsidRPr="006A7F29">
        <w:rPr>
          <w:szCs w:val="22"/>
        </w:rPr>
        <w:t xml:space="preserve"> waiver request for the WEA end-to-end test.</w:t>
      </w:r>
    </w:p>
    <w:p w:rsidR="006A7F29" w:rsidRPr="006A7F29" w:rsidP="003763BD" w14:paraId="0AB9053C" w14:textId="45AA0E3B">
      <w:pPr>
        <w:widowControl/>
        <w:numPr>
          <w:ilvl w:val="0"/>
          <w:numId w:val="2"/>
        </w:numPr>
        <w:tabs>
          <w:tab w:val="clear" w:pos="1080"/>
          <w:tab w:val="num" w:pos="1440"/>
        </w:tabs>
        <w:spacing w:after="120"/>
        <w:rPr>
          <w:szCs w:val="22"/>
        </w:rPr>
      </w:pPr>
      <w:r w:rsidRPr="006A7F29">
        <w:rPr>
          <w:szCs w:val="22"/>
        </w:rPr>
        <w:t xml:space="preserve">Because of the elevated threat of wildfires in Los Angeles, we are persuaded by the statements in the </w:t>
      </w:r>
      <w:r w:rsidR="0011351E">
        <w:rPr>
          <w:szCs w:val="22"/>
        </w:rPr>
        <w:t>LA Emergency Management Department</w:t>
      </w:r>
      <w:r w:rsidRPr="006A7F29">
        <w:rPr>
          <w:szCs w:val="22"/>
        </w:rPr>
        <w:t xml:space="preserve"> </w:t>
      </w:r>
      <w:r w:rsidR="0011351E">
        <w:rPr>
          <w:szCs w:val="22"/>
        </w:rPr>
        <w:t>letter</w:t>
      </w:r>
      <w:r w:rsidRPr="006A7F29">
        <w:rPr>
          <w:szCs w:val="22"/>
        </w:rPr>
        <w:t xml:space="preserve"> that the proposed test will help to educate the public about WEA and wildfire preparedness and improve the proficiency of local emergency management officials in sending WEA messages to the public.</w:t>
      </w:r>
      <w:r>
        <w:rPr>
          <w:szCs w:val="22"/>
          <w:vertAlign w:val="superscript"/>
        </w:rPr>
        <w:footnoteReference w:id="23"/>
      </w:r>
      <w:r w:rsidRPr="006A7F29">
        <w:rPr>
          <w:szCs w:val="22"/>
        </w:rPr>
        <w:t xml:space="preserve">  We also find persuasive the fact that the WEA test will accompany other wildfire preparedness and safety outreach efforts.</w:t>
      </w:r>
      <w:r>
        <w:rPr>
          <w:szCs w:val="22"/>
          <w:vertAlign w:val="superscript"/>
        </w:rPr>
        <w:footnoteReference w:id="24"/>
      </w:r>
      <w:r w:rsidRPr="006A7F29">
        <w:rPr>
          <w:szCs w:val="22"/>
        </w:rPr>
        <w:t xml:space="preserve">  Accordingly, rather than wait until IPAWS is ready to support State/Local WEA Tests, we believe the public interest will be served by authorizing the test now and, therefore, grant a limited waiver of the Commission’s WEA rules to conduct the test in the targeted area of Los Angeles.</w:t>
      </w:r>
      <w:r>
        <w:rPr>
          <w:szCs w:val="22"/>
          <w:vertAlign w:val="superscript"/>
        </w:rPr>
        <w:footnoteReference w:id="25"/>
      </w:r>
    </w:p>
    <w:p w:rsidR="006A7F29" w:rsidRPr="006A7F29" w:rsidP="003763BD" w14:paraId="770A8A10" w14:textId="58CC549D">
      <w:pPr>
        <w:widowControl/>
        <w:numPr>
          <w:ilvl w:val="0"/>
          <w:numId w:val="2"/>
        </w:numPr>
        <w:tabs>
          <w:tab w:val="clear" w:pos="1080"/>
          <w:tab w:val="num" w:pos="1440"/>
        </w:tabs>
        <w:spacing w:after="120"/>
        <w:rPr>
          <w:szCs w:val="22"/>
        </w:rPr>
      </w:pPr>
      <w:r w:rsidRPr="006A7F29">
        <w:rPr>
          <w:szCs w:val="22"/>
        </w:rPr>
        <w:t>To ensure that the public is not misled into believing that the test is an actual warning</w:t>
      </w:r>
      <w:r w:rsidR="00A6225F">
        <w:rPr>
          <w:szCs w:val="22"/>
        </w:rPr>
        <w:t>,</w:t>
      </w:r>
      <w:r w:rsidRPr="006A7F29">
        <w:rPr>
          <w:szCs w:val="22"/>
        </w:rPr>
        <w:t xml:space="preserve"> we condition this waiver on the full implementation of the multimedia campaign and outreach plan described in the </w:t>
      </w:r>
      <w:r w:rsidR="0011351E">
        <w:rPr>
          <w:szCs w:val="22"/>
        </w:rPr>
        <w:t>LA Emergency Management Department</w:t>
      </w:r>
      <w:r w:rsidRPr="006A7F29">
        <w:rPr>
          <w:szCs w:val="22"/>
        </w:rPr>
        <w:t xml:space="preserve"> </w:t>
      </w:r>
      <w:r w:rsidR="0011351E">
        <w:rPr>
          <w:szCs w:val="22"/>
        </w:rPr>
        <w:t>letter</w:t>
      </w:r>
      <w:r w:rsidRPr="006A7F29">
        <w:rPr>
          <w:szCs w:val="22"/>
        </w:rPr>
        <w:t xml:space="preserve">, including outreach to the public, press, and relevant government agencies, and to inform the public that multiple test messages may be sent. </w:t>
      </w:r>
    </w:p>
    <w:p w:rsidR="006A7F29" w:rsidRPr="006A7F29" w:rsidP="003763BD" w14:paraId="6A5F7BA6" w14:textId="6907B233">
      <w:pPr>
        <w:widowControl/>
        <w:numPr>
          <w:ilvl w:val="0"/>
          <w:numId w:val="2"/>
        </w:numPr>
        <w:tabs>
          <w:tab w:val="clear" w:pos="1080"/>
          <w:tab w:val="num" w:pos="1440"/>
        </w:tabs>
        <w:spacing w:after="120"/>
        <w:rPr>
          <w:szCs w:val="22"/>
        </w:rPr>
      </w:pPr>
      <w:r w:rsidRPr="006A7F29">
        <w:rPr>
          <w:szCs w:val="22"/>
        </w:rPr>
        <w:t xml:space="preserve">The test may only be conducted on November 16, 2019, at 10:00 a.m. PDT, as referenced in the </w:t>
      </w:r>
      <w:r w:rsidR="0011351E">
        <w:rPr>
          <w:szCs w:val="22"/>
        </w:rPr>
        <w:t>LA Emergency Management Department</w:t>
      </w:r>
      <w:r w:rsidRPr="006A7F29">
        <w:rPr>
          <w:szCs w:val="22"/>
        </w:rPr>
        <w:t xml:space="preserve"> </w:t>
      </w:r>
      <w:r w:rsidR="0011351E">
        <w:rPr>
          <w:szCs w:val="22"/>
        </w:rPr>
        <w:t>letter</w:t>
      </w:r>
      <w:r w:rsidRPr="006A7F29">
        <w:rPr>
          <w:szCs w:val="22"/>
        </w:rPr>
        <w:t>, and must be limited to the purposes of the test and be consistent with the representations made in the letter, specifically:</w:t>
      </w:r>
    </w:p>
    <w:p w:rsidR="006A7F29" w:rsidRPr="006A7F29" w:rsidP="003763BD" w14:paraId="6C17889C" w14:textId="77777777">
      <w:pPr>
        <w:keepNext/>
        <w:widowControl/>
        <w:numPr>
          <w:ilvl w:val="1"/>
          <w:numId w:val="7"/>
        </w:numPr>
        <w:tabs>
          <w:tab w:val="left" w:pos="1800"/>
        </w:tabs>
        <w:ind w:left="1195" w:right="619"/>
        <w:rPr>
          <w:snapToGrid/>
          <w:kern w:val="0"/>
          <w:szCs w:val="22"/>
        </w:rPr>
      </w:pPr>
      <w:r w:rsidRPr="006A7F29">
        <w:rPr>
          <w:snapToGrid/>
          <w:kern w:val="0"/>
          <w:szCs w:val="22"/>
        </w:rPr>
        <w:t>the</w:t>
      </w:r>
      <w:r w:rsidRPr="006A7F29">
        <w:rPr>
          <w:snapToGrid/>
          <w:spacing w:val="-6"/>
          <w:kern w:val="0"/>
          <w:szCs w:val="22"/>
        </w:rPr>
        <w:t xml:space="preserve"> </w:t>
      </w:r>
      <w:r w:rsidRPr="006A7F29">
        <w:rPr>
          <w:snapToGrid/>
          <w:spacing w:val="-1"/>
          <w:kern w:val="0"/>
          <w:szCs w:val="22"/>
        </w:rPr>
        <w:t>test</w:t>
      </w:r>
      <w:r w:rsidRPr="006A7F29">
        <w:rPr>
          <w:snapToGrid/>
          <w:spacing w:val="-5"/>
          <w:kern w:val="0"/>
          <w:szCs w:val="22"/>
        </w:rPr>
        <w:t xml:space="preserve"> </w:t>
      </w:r>
      <w:r w:rsidRPr="006A7F29">
        <w:rPr>
          <w:snapToGrid/>
          <w:kern w:val="0"/>
          <w:szCs w:val="22"/>
        </w:rPr>
        <w:t>is</w:t>
      </w:r>
      <w:r w:rsidRPr="006A7F29">
        <w:rPr>
          <w:snapToGrid/>
          <w:spacing w:val="-6"/>
          <w:kern w:val="0"/>
          <w:szCs w:val="22"/>
        </w:rPr>
        <w:t xml:space="preserve"> </w:t>
      </w:r>
      <w:r w:rsidRPr="006A7F29">
        <w:rPr>
          <w:snapToGrid/>
          <w:kern w:val="0"/>
          <w:szCs w:val="22"/>
        </w:rPr>
        <w:t>necessary</w:t>
      </w:r>
      <w:r w:rsidRPr="006A7F29">
        <w:rPr>
          <w:snapToGrid/>
          <w:spacing w:val="-4"/>
          <w:kern w:val="0"/>
          <w:szCs w:val="22"/>
        </w:rPr>
        <w:t xml:space="preserve"> </w:t>
      </w:r>
      <w:r w:rsidRPr="006A7F29">
        <w:rPr>
          <w:snapToGrid/>
          <w:kern w:val="0"/>
          <w:szCs w:val="22"/>
        </w:rPr>
        <w:t>to</w:t>
      </w:r>
      <w:r w:rsidRPr="006A7F29">
        <w:rPr>
          <w:snapToGrid/>
          <w:spacing w:val="-5"/>
          <w:kern w:val="0"/>
          <w:szCs w:val="22"/>
        </w:rPr>
        <w:t xml:space="preserve"> assess and thereby e</w:t>
      </w:r>
      <w:r w:rsidRPr="006A7F29">
        <w:rPr>
          <w:snapToGrid/>
          <w:color w:val="000000"/>
          <w:kern w:val="0"/>
          <w:szCs w:val="22"/>
        </w:rPr>
        <w:t>nsure that emergency management officials in Los Angeles have a clear understanding of how alerts would perform in their city, and the public becomes familiar with the format of WEA messaging</w:t>
      </w:r>
      <w:r w:rsidRPr="006A7F29">
        <w:rPr>
          <w:snapToGrid/>
          <w:spacing w:val="-1"/>
          <w:kern w:val="0"/>
          <w:szCs w:val="22"/>
        </w:rPr>
        <w:t>;</w:t>
      </w:r>
    </w:p>
    <w:p w:rsidR="006A7F29" w:rsidRPr="006A7F29" w:rsidP="003763BD" w14:paraId="5DE0CBCB" w14:textId="77777777">
      <w:pPr>
        <w:widowControl/>
        <w:spacing w:before="2"/>
        <w:rPr>
          <w:szCs w:val="22"/>
        </w:rPr>
      </w:pPr>
    </w:p>
    <w:p w:rsidR="006A7F29" w:rsidRPr="006A7F29" w:rsidP="003763BD" w14:paraId="13F72628" w14:textId="674C44FD">
      <w:pPr>
        <w:widowControl/>
        <w:numPr>
          <w:ilvl w:val="1"/>
          <w:numId w:val="7"/>
        </w:numPr>
        <w:tabs>
          <w:tab w:val="left" w:pos="1800"/>
        </w:tabs>
        <w:ind w:left="1195" w:right="619"/>
        <w:rPr>
          <w:snapToGrid/>
          <w:kern w:val="0"/>
          <w:szCs w:val="22"/>
        </w:rPr>
      </w:pPr>
      <w:r w:rsidRPr="006A7F29">
        <w:rPr>
          <w:snapToGrid/>
          <w:kern w:val="0"/>
          <w:szCs w:val="22"/>
        </w:rPr>
        <w:t xml:space="preserve">the </w:t>
      </w:r>
      <w:r w:rsidR="0011351E">
        <w:rPr>
          <w:snapToGrid/>
          <w:kern w:val="0"/>
          <w:szCs w:val="22"/>
        </w:rPr>
        <w:t>LA Emergency Management Department</w:t>
      </w:r>
      <w:r w:rsidRPr="006A7F29">
        <w:rPr>
          <w:snapToGrid/>
          <w:kern w:val="0"/>
          <w:szCs w:val="22"/>
        </w:rPr>
        <w:t xml:space="preserve"> will coordinate with the relevant Participating CMS Providers and</w:t>
      </w:r>
      <w:r w:rsidRPr="006A7F29">
        <w:rPr>
          <w:snapToGrid/>
          <w:spacing w:val="-7"/>
          <w:kern w:val="0"/>
          <w:szCs w:val="22"/>
        </w:rPr>
        <w:t xml:space="preserve"> </w:t>
      </w:r>
      <w:r w:rsidRPr="006A7F29">
        <w:rPr>
          <w:snapToGrid/>
          <w:kern w:val="0"/>
          <w:szCs w:val="22"/>
        </w:rPr>
        <w:t>first</w:t>
      </w:r>
      <w:r w:rsidRPr="006A7F29">
        <w:rPr>
          <w:snapToGrid/>
          <w:spacing w:val="-5"/>
          <w:kern w:val="0"/>
          <w:szCs w:val="22"/>
        </w:rPr>
        <w:t xml:space="preserve"> </w:t>
      </w:r>
      <w:r w:rsidRPr="006A7F29">
        <w:rPr>
          <w:snapToGrid/>
          <w:spacing w:val="-1"/>
          <w:kern w:val="0"/>
          <w:szCs w:val="22"/>
        </w:rPr>
        <w:t>responder</w:t>
      </w:r>
      <w:r w:rsidRPr="006A7F29">
        <w:rPr>
          <w:snapToGrid/>
          <w:spacing w:val="-6"/>
          <w:kern w:val="0"/>
          <w:szCs w:val="22"/>
        </w:rPr>
        <w:t xml:space="preserve"> </w:t>
      </w:r>
      <w:r w:rsidRPr="006A7F29">
        <w:rPr>
          <w:snapToGrid/>
          <w:kern w:val="0"/>
          <w:szCs w:val="22"/>
        </w:rPr>
        <w:t>organizations</w:t>
      </w:r>
      <w:r w:rsidRPr="006A7F29">
        <w:rPr>
          <w:snapToGrid/>
          <w:spacing w:val="-5"/>
          <w:kern w:val="0"/>
          <w:szCs w:val="22"/>
        </w:rPr>
        <w:t xml:space="preserve"> </w:t>
      </w:r>
      <w:r w:rsidRPr="006A7F29">
        <w:rPr>
          <w:snapToGrid/>
          <w:spacing w:val="-1"/>
          <w:kern w:val="0"/>
          <w:szCs w:val="22"/>
        </w:rPr>
        <w:t>such</w:t>
      </w:r>
      <w:r w:rsidRPr="006A7F29">
        <w:rPr>
          <w:snapToGrid/>
          <w:spacing w:val="-6"/>
          <w:kern w:val="0"/>
          <w:szCs w:val="22"/>
        </w:rPr>
        <w:t xml:space="preserve"> </w:t>
      </w:r>
      <w:r w:rsidRPr="006A7F29">
        <w:rPr>
          <w:snapToGrid/>
          <w:spacing w:val="-1"/>
          <w:kern w:val="0"/>
          <w:szCs w:val="22"/>
        </w:rPr>
        <w:t>as police</w:t>
      </w:r>
      <w:r w:rsidRPr="006A7F29">
        <w:rPr>
          <w:snapToGrid/>
          <w:spacing w:val="-6"/>
          <w:kern w:val="0"/>
          <w:szCs w:val="22"/>
        </w:rPr>
        <w:t xml:space="preserve"> </w:t>
      </w:r>
      <w:r w:rsidRPr="006A7F29">
        <w:rPr>
          <w:snapToGrid/>
          <w:kern w:val="0"/>
          <w:szCs w:val="22"/>
        </w:rPr>
        <w:t>and</w:t>
      </w:r>
      <w:r w:rsidRPr="006A7F29">
        <w:rPr>
          <w:snapToGrid/>
          <w:spacing w:val="-5"/>
          <w:kern w:val="0"/>
          <w:szCs w:val="22"/>
        </w:rPr>
        <w:t xml:space="preserve"> </w:t>
      </w:r>
      <w:r w:rsidRPr="006A7F29">
        <w:rPr>
          <w:snapToGrid/>
          <w:kern w:val="0"/>
          <w:szCs w:val="22"/>
        </w:rPr>
        <w:t>fire</w:t>
      </w:r>
      <w:r w:rsidRPr="006A7F29">
        <w:rPr>
          <w:snapToGrid/>
          <w:spacing w:val="-4"/>
          <w:kern w:val="0"/>
          <w:szCs w:val="22"/>
        </w:rPr>
        <w:t xml:space="preserve"> </w:t>
      </w:r>
      <w:r w:rsidRPr="006A7F29">
        <w:rPr>
          <w:snapToGrid/>
          <w:spacing w:val="-1"/>
          <w:kern w:val="0"/>
          <w:szCs w:val="22"/>
        </w:rPr>
        <w:t>agencies</w:t>
      </w:r>
      <w:r w:rsidRPr="006A7F29">
        <w:rPr>
          <w:snapToGrid/>
          <w:spacing w:val="-6"/>
          <w:kern w:val="0"/>
          <w:szCs w:val="22"/>
        </w:rPr>
        <w:t xml:space="preserve"> </w:t>
      </w:r>
      <w:r w:rsidRPr="006A7F29">
        <w:rPr>
          <w:snapToGrid/>
          <w:kern w:val="0"/>
          <w:szCs w:val="22"/>
        </w:rPr>
        <w:t xml:space="preserve">and 911 Public Safety Answering Points </w:t>
      </w:r>
      <w:r w:rsidRPr="006A7F29">
        <w:rPr>
          <w:snapToGrid/>
          <w:spacing w:val="-5"/>
          <w:kern w:val="0"/>
          <w:szCs w:val="22"/>
        </w:rPr>
        <w:t xml:space="preserve">within the city and surrounding jurisdictions </w:t>
      </w:r>
      <w:r w:rsidRPr="006A7F29">
        <w:rPr>
          <w:snapToGrid/>
          <w:kern w:val="0"/>
          <w:szCs w:val="22"/>
        </w:rPr>
        <w:t>to</w:t>
      </w:r>
      <w:r w:rsidRPr="006A7F29">
        <w:rPr>
          <w:snapToGrid/>
          <w:spacing w:val="-5"/>
          <w:kern w:val="0"/>
          <w:szCs w:val="22"/>
        </w:rPr>
        <w:t xml:space="preserve"> </w:t>
      </w:r>
      <w:r w:rsidRPr="006A7F29">
        <w:rPr>
          <w:snapToGrid/>
          <w:kern w:val="0"/>
          <w:szCs w:val="22"/>
        </w:rPr>
        <w:t>ensure</w:t>
      </w:r>
      <w:r w:rsidRPr="006A7F29">
        <w:rPr>
          <w:snapToGrid/>
          <w:spacing w:val="-5"/>
          <w:kern w:val="0"/>
          <w:szCs w:val="22"/>
        </w:rPr>
        <w:t xml:space="preserve"> </w:t>
      </w:r>
      <w:r w:rsidRPr="006A7F29">
        <w:rPr>
          <w:snapToGrid/>
          <w:spacing w:val="-1"/>
          <w:kern w:val="0"/>
          <w:szCs w:val="22"/>
        </w:rPr>
        <w:t>that</w:t>
      </w:r>
      <w:r w:rsidRPr="006A7F29">
        <w:rPr>
          <w:snapToGrid/>
          <w:spacing w:val="-4"/>
          <w:kern w:val="0"/>
          <w:szCs w:val="22"/>
        </w:rPr>
        <w:t xml:space="preserve"> </w:t>
      </w:r>
      <w:r w:rsidRPr="006A7F29">
        <w:rPr>
          <w:snapToGrid/>
          <w:kern w:val="0"/>
          <w:szCs w:val="22"/>
        </w:rPr>
        <w:t>they</w:t>
      </w:r>
      <w:r w:rsidRPr="006A7F29">
        <w:rPr>
          <w:snapToGrid/>
          <w:spacing w:val="-6"/>
          <w:kern w:val="0"/>
          <w:szCs w:val="22"/>
        </w:rPr>
        <w:t xml:space="preserve"> </w:t>
      </w:r>
      <w:r w:rsidRPr="006A7F29">
        <w:rPr>
          <w:snapToGrid/>
          <w:kern w:val="0"/>
          <w:szCs w:val="22"/>
        </w:rPr>
        <w:t>are</w:t>
      </w:r>
      <w:r w:rsidRPr="006A7F29">
        <w:rPr>
          <w:snapToGrid/>
          <w:spacing w:val="-5"/>
          <w:kern w:val="0"/>
          <w:szCs w:val="22"/>
        </w:rPr>
        <w:t xml:space="preserve"> </w:t>
      </w:r>
      <w:r w:rsidRPr="006A7F29">
        <w:rPr>
          <w:snapToGrid/>
          <w:spacing w:val="-1"/>
          <w:kern w:val="0"/>
          <w:szCs w:val="22"/>
        </w:rPr>
        <w:t>aware of th</w:t>
      </w:r>
      <w:r w:rsidRPr="006A7F29">
        <w:rPr>
          <w:snapToGrid/>
          <w:kern w:val="0"/>
          <w:szCs w:val="22"/>
        </w:rPr>
        <w:t>e</w:t>
      </w:r>
      <w:r w:rsidRPr="006A7F29">
        <w:rPr>
          <w:snapToGrid/>
          <w:spacing w:val="-4"/>
          <w:kern w:val="0"/>
          <w:szCs w:val="22"/>
        </w:rPr>
        <w:t xml:space="preserve"> </w:t>
      </w:r>
      <w:r w:rsidRPr="006A7F29">
        <w:rPr>
          <w:snapToGrid/>
          <w:spacing w:val="-1"/>
          <w:kern w:val="0"/>
          <w:szCs w:val="22"/>
        </w:rPr>
        <w:t>test</w:t>
      </w:r>
      <w:r w:rsidRPr="006A7F29">
        <w:rPr>
          <w:snapToGrid/>
          <w:spacing w:val="-4"/>
          <w:kern w:val="0"/>
          <w:szCs w:val="22"/>
        </w:rPr>
        <w:t xml:space="preserve"> </w:t>
      </w:r>
      <w:r w:rsidRPr="006A7F29">
        <w:rPr>
          <w:snapToGrid/>
          <w:kern w:val="0"/>
          <w:szCs w:val="22"/>
        </w:rPr>
        <w:t>and</w:t>
      </w:r>
      <w:r w:rsidRPr="006A7F29">
        <w:rPr>
          <w:snapToGrid/>
          <w:spacing w:val="-4"/>
          <w:kern w:val="0"/>
          <w:szCs w:val="22"/>
        </w:rPr>
        <w:t xml:space="preserve"> </w:t>
      </w:r>
      <w:r w:rsidRPr="006A7F29">
        <w:rPr>
          <w:snapToGrid/>
          <w:kern w:val="0"/>
          <w:szCs w:val="22"/>
        </w:rPr>
        <w:t>can</w:t>
      </w:r>
      <w:r w:rsidRPr="006A7F29">
        <w:rPr>
          <w:snapToGrid/>
          <w:spacing w:val="-4"/>
          <w:kern w:val="0"/>
          <w:szCs w:val="22"/>
        </w:rPr>
        <w:t xml:space="preserve"> </w:t>
      </w:r>
      <w:r w:rsidRPr="006A7F29">
        <w:rPr>
          <w:snapToGrid/>
          <w:kern w:val="0"/>
          <w:szCs w:val="22"/>
        </w:rPr>
        <w:t>confirm</w:t>
      </w:r>
      <w:r w:rsidRPr="006A7F29">
        <w:rPr>
          <w:snapToGrid/>
          <w:spacing w:val="-4"/>
          <w:kern w:val="0"/>
          <w:szCs w:val="22"/>
        </w:rPr>
        <w:t xml:space="preserve"> </w:t>
      </w:r>
      <w:r w:rsidRPr="006A7F29">
        <w:rPr>
          <w:snapToGrid/>
          <w:kern w:val="0"/>
          <w:szCs w:val="22"/>
        </w:rPr>
        <w:t>to</w:t>
      </w:r>
      <w:r w:rsidRPr="006A7F29">
        <w:rPr>
          <w:snapToGrid/>
          <w:spacing w:val="-4"/>
          <w:kern w:val="0"/>
          <w:szCs w:val="22"/>
        </w:rPr>
        <w:t xml:space="preserve"> </w:t>
      </w:r>
      <w:r w:rsidRPr="006A7F29">
        <w:rPr>
          <w:snapToGrid/>
          <w:kern w:val="0"/>
          <w:szCs w:val="22"/>
        </w:rPr>
        <w:t>the</w:t>
      </w:r>
      <w:r w:rsidRPr="006A7F29">
        <w:rPr>
          <w:snapToGrid/>
          <w:spacing w:val="-4"/>
          <w:kern w:val="0"/>
          <w:szCs w:val="22"/>
        </w:rPr>
        <w:t xml:space="preserve"> </w:t>
      </w:r>
      <w:r w:rsidRPr="006A7F29">
        <w:rPr>
          <w:snapToGrid/>
          <w:spacing w:val="-1"/>
          <w:kern w:val="0"/>
          <w:szCs w:val="22"/>
        </w:rPr>
        <w:t>public</w:t>
      </w:r>
      <w:r w:rsidRPr="006A7F29">
        <w:rPr>
          <w:snapToGrid/>
          <w:spacing w:val="-3"/>
          <w:kern w:val="0"/>
          <w:szCs w:val="22"/>
        </w:rPr>
        <w:t xml:space="preserve"> </w:t>
      </w:r>
      <w:r w:rsidRPr="006A7F29">
        <w:rPr>
          <w:snapToGrid/>
          <w:kern w:val="0"/>
          <w:szCs w:val="22"/>
        </w:rPr>
        <w:t>that</w:t>
      </w:r>
      <w:r w:rsidRPr="006A7F29">
        <w:rPr>
          <w:snapToGrid/>
          <w:spacing w:val="-4"/>
          <w:kern w:val="0"/>
          <w:szCs w:val="22"/>
        </w:rPr>
        <w:t xml:space="preserve"> </w:t>
      </w:r>
      <w:r w:rsidRPr="006A7F29">
        <w:rPr>
          <w:snapToGrid/>
          <w:kern w:val="0"/>
          <w:szCs w:val="22"/>
        </w:rPr>
        <w:t>the</w:t>
      </w:r>
      <w:r w:rsidRPr="006A7F29">
        <w:rPr>
          <w:snapToGrid/>
          <w:spacing w:val="-4"/>
          <w:kern w:val="0"/>
          <w:szCs w:val="22"/>
        </w:rPr>
        <w:t xml:space="preserve"> </w:t>
      </w:r>
      <w:r w:rsidRPr="006A7F29">
        <w:rPr>
          <w:snapToGrid/>
          <w:spacing w:val="-1"/>
          <w:kern w:val="0"/>
          <w:szCs w:val="22"/>
        </w:rPr>
        <w:t>WEA</w:t>
      </w:r>
      <w:r w:rsidRPr="006A7F29">
        <w:rPr>
          <w:snapToGrid/>
          <w:spacing w:val="-4"/>
          <w:kern w:val="0"/>
          <w:szCs w:val="22"/>
        </w:rPr>
        <w:t xml:space="preserve"> </w:t>
      </w:r>
      <w:r w:rsidRPr="006A7F29">
        <w:rPr>
          <w:snapToGrid/>
          <w:kern w:val="0"/>
          <w:szCs w:val="22"/>
        </w:rPr>
        <w:t>message is</w:t>
      </w:r>
      <w:r w:rsidRPr="006A7F29">
        <w:rPr>
          <w:snapToGrid/>
          <w:spacing w:val="-4"/>
          <w:kern w:val="0"/>
          <w:szCs w:val="22"/>
        </w:rPr>
        <w:t xml:space="preserve"> </w:t>
      </w:r>
      <w:r w:rsidRPr="006A7F29">
        <w:rPr>
          <w:snapToGrid/>
          <w:kern w:val="0"/>
          <w:szCs w:val="22"/>
        </w:rPr>
        <w:t>a</w:t>
      </w:r>
      <w:r w:rsidRPr="006A7F29">
        <w:rPr>
          <w:snapToGrid/>
          <w:spacing w:val="-3"/>
          <w:kern w:val="0"/>
          <w:szCs w:val="22"/>
        </w:rPr>
        <w:t xml:space="preserve"> </w:t>
      </w:r>
      <w:r w:rsidRPr="006A7F29">
        <w:rPr>
          <w:snapToGrid/>
          <w:spacing w:val="-1"/>
          <w:kern w:val="0"/>
          <w:szCs w:val="22"/>
        </w:rPr>
        <w:t>test;</w:t>
      </w:r>
    </w:p>
    <w:p w:rsidR="006A7F29" w:rsidRPr="006A7F29" w:rsidP="003763BD" w14:paraId="0B7F863B" w14:textId="77777777">
      <w:pPr>
        <w:widowControl/>
        <w:spacing w:before="2"/>
        <w:rPr>
          <w:szCs w:val="22"/>
        </w:rPr>
      </w:pPr>
    </w:p>
    <w:p w:rsidR="006A7F29" w:rsidRPr="006A7F29" w:rsidP="003763BD" w14:paraId="364D33AA" w14:textId="77777777">
      <w:pPr>
        <w:widowControl/>
        <w:numPr>
          <w:ilvl w:val="1"/>
          <w:numId w:val="7"/>
        </w:numPr>
        <w:tabs>
          <w:tab w:val="left" w:pos="1800"/>
        </w:tabs>
        <w:ind w:left="1170" w:right="693" w:firstLine="30"/>
        <w:rPr>
          <w:snapToGrid/>
          <w:kern w:val="0"/>
          <w:szCs w:val="22"/>
        </w:rPr>
      </w:pPr>
      <w:r w:rsidRPr="006A7F29">
        <w:rPr>
          <w:snapToGrid/>
          <w:spacing w:val="-1"/>
          <w:kern w:val="0"/>
          <w:szCs w:val="22"/>
        </w:rPr>
        <w:t>pre-test</w:t>
      </w:r>
      <w:r w:rsidRPr="006A7F29">
        <w:rPr>
          <w:snapToGrid/>
          <w:spacing w:val="-9"/>
          <w:kern w:val="0"/>
          <w:szCs w:val="22"/>
        </w:rPr>
        <w:t xml:space="preserve"> </w:t>
      </w:r>
      <w:r w:rsidRPr="006A7F29">
        <w:rPr>
          <w:snapToGrid/>
          <w:spacing w:val="-1"/>
          <w:kern w:val="0"/>
          <w:szCs w:val="22"/>
        </w:rPr>
        <w:t>publicity</w:t>
      </w:r>
      <w:r w:rsidRPr="006A7F29">
        <w:rPr>
          <w:snapToGrid/>
          <w:spacing w:val="-9"/>
          <w:kern w:val="0"/>
          <w:szCs w:val="22"/>
        </w:rPr>
        <w:t xml:space="preserve"> </w:t>
      </w:r>
      <w:r w:rsidRPr="006A7F29">
        <w:rPr>
          <w:snapToGrid/>
          <w:kern w:val="0"/>
          <w:szCs w:val="22"/>
        </w:rPr>
        <w:t>will include a comprehensive multimedia campaign to ensure public understanding of the function and utility of WEA, the date and time of the test, and clear notification that the WEA alert will be just a test;</w:t>
      </w:r>
    </w:p>
    <w:p w:rsidR="006A7F29" w:rsidRPr="006A7F29" w:rsidP="003763BD" w14:paraId="4AC3DD5E" w14:textId="77777777">
      <w:pPr>
        <w:widowControl/>
        <w:ind w:left="720"/>
        <w:contextualSpacing/>
        <w:rPr>
          <w:szCs w:val="22"/>
        </w:rPr>
      </w:pPr>
    </w:p>
    <w:p w:rsidR="006A7F29" w:rsidRPr="006A7F29" w:rsidP="003763BD" w14:paraId="57104C78" w14:textId="3E182754">
      <w:pPr>
        <w:keepNext/>
        <w:widowControl/>
        <w:numPr>
          <w:ilvl w:val="1"/>
          <w:numId w:val="7"/>
        </w:numPr>
        <w:tabs>
          <w:tab w:val="left" w:pos="1800"/>
        </w:tabs>
        <w:ind w:left="1170" w:right="693" w:firstLine="30"/>
        <w:rPr>
          <w:snapToGrid/>
          <w:kern w:val="0"/>
          <w:szCs w:val="22"/>
        </w:rPr>
      </w:pPr>
      <w:r>
        <w:rPr>
          <w:snapToGrid/>
          <w:kern w:val="0"/>
          <w:szCs w:val="22"/>
        </w:rPr>
        <w:t>use of</w:t>
      </w:r>
      <w:r w:rsidRPr="006A7F29">
        <w:rPr>
          <w:snapToGrid/>
          <w:kern w:val="0"/>
          <w:szCs w:val="22"/>
        </w:rPr>
        <w:t xml:space="preserve"> </w:t>
      </w:r>
      <w:r>
        <w:rPr>
          <w:snapToGrid/>
          <w:kern w:val="0"/>
          <w:szCs w:val="22"/>
        </w:rPr>
        <w:t>“</w:t>
      </w:r>
      <w:r w:rsidRPr="006A7F29">
        <w:rPr>
          <w:snapToGrid/>
          <w:kern w:val="0"/>
          <w:szCs w:val="22"/>
        </w:rPr>
        <w:t xml:space="preserve">test” wording described in </w:t>
      </w:r>
      <w:bookmarkStart w:id="2" w:name="_Hlk21718948"/>
      <w:r w:rsidRPr="006A7F29">
        <w:rPr>
          <w:snapToGrid/>
          <w:kern w:val="0"/>
          <w:szCs w:val="22"/>
        </w:rPr>
        <w:t xml:space="preserve">the </w:t>
      </w:r>
      <w:r w:rsidR="0011351E">
        <w:rPr>
          <w:snapToGrid/>
          <w:kern w:val="0"/>
          <w:szCs w:val="22"/>
        </w:rPr>
        <w:t>LA Emergency Management Department</w:t>
      </w:r>
      <w:bookmarkEnd w:id="2"/>
      <w:r w:rsidRPr="006A7F29">
        <w:rPr>
          <w:snapToGrid/>
          <w:kern w:val="0"/>
          <w:szCs w:val="22"/>
        </w:rPr>
        <w:t xml:space="preserve"> </w:t>
      </w:r>
      <w:r w:rsidR="0011351E">
        <w:rPr>
          <w:snapToGrid/>
          <w:kern w:val="0"/>
          <w:szCs w:val="22"/>
        </w:rPr>
        <w:t>letter</w:t>
      </w:r>
      <w:r w:rsidRPr="006A7F29">
        <w:rPr>
          <w:snapToGrid/>
          <w:kern w:val="0"/>
          <w:szCs w:val="22"/>
        </w:rPr>
        <w:t xml:space="preserve"> will be used in the test message; and</w:t>
      </w:r>
    </w:p>
    <w:p w:rsidR="006A7F29" w:rsidRPr="006A7F29" w:rsidP="003763BD" w14:paraId="275271F6" w14:textId="77777777">
      <w:pPr>
        <w:keepNext/>
        <w:widowControl/>
        <w:ind w:left="720"/>
        <w:contextualSpacing/>
        <w:rPr>
          <w:szCs w:val="22"/>
        </w:rPr>
      </w:pPr>
    </w:p>
    <w:p w:rsidR="006A7F29" w:rsidRPr="006A7F29" w:rsidP="003763BD" w14:paraId="20EAA018" w14:textId="77777777">
      <w:pPr>
        <w:keepNext/>
        <w:widowControl/>
        <w:numPr>
          <w:ilvl w:val="1"/>
          <w:numId w:val="7"/>
        </w:numPr>
        <w:tabs>
          <w:tab w:val="left" w:pos="1800"/>
        </w:tabs>
        <w:ind w:left="1170" w:right="693" w:firstLine="30"/>
        <w:rPr>
          <w:snapToGrid/>
          <w:kern w:val="0"/>
          <w:szCs w:val="22"/>
        </w:rPr>
      </w:pPr>
      <w:r w:rsidRPr="006A7F29">
        <w:rPr>
          <w:snapToGrid/>
          <w:kern w:val="0"/>
          <w:szCs w:val="22"/>
        </w:rPr>
        <w:t>the WEA test is not intended as a substitute for other scheduled WEA tests.</w:t>
      </w:r>
    </w:p>
    <w:p w:rsidR="006A7F29" w:rsidRPr="006A7F29" w:rsidP="003763BD" w14:paraId="640C7542" w14:textId="77777777">
      <w:pPr>
        <w:widowControl/>
        <w:ind w:left="720"/>
        <w:contextualSpacing/>
        <w:rPr>
          <w:szCs w:val="22"/>
        </w:rPr>
      </w:pPr>
    </w:p>
    <w:p w:rsidR="006A7F29" w:rsidRPr="006A7F29" w:rsidP="003763BD" w14:paraId="4CFB5C30" w14:textId="4F5C4EC6">
      <w:pPr>
        <w:widowControl/>
        <w:numPr>
          <w:ilvl w:val="0"/>
          <w:numId w:val="2"/>
        </w:numPr>
        <w:tabs>
          <w:tab w:val="clear" w:pos="1080"/>
          <w:tab w:val="num" w:pos="1440"/>
        </w:tabs>
        <w:spacing w:after="120"/>
        <w:rPr>
          <w:szCs w:val="22"/>
        </w:rPr>
      </w:pPr>
      <w:r w:rsidRPr="006A7F29">
        <w:rPr>
          <w:szCs w:val="22"/>
        </w:rPr>
        <w:t xml:space="preserve">We also require that </w:t>
      </w:r>
      <w:bookmarkStart w:id="3" w:name="_Hlk523327683"/>
      <w:r w:rsidRPr="006A7F29">
        <w:rPr>
          <w:szCs w:val="22"/>
        </w:rPr>
        <w:t xml:space="preserve">the test and any post-test analysis and reports </w:t>
      </w:r>
      <w:bookmarkEnd w:id="3"/>
      <w:r w:rsidRPr="006A7F29">
        <w:rPr>
          <w:szCs w:val="22"/>
        </w:rPr>
        <w:t xml:space="preserve">that the </w:t>
      </w:r>
      <w:r w:rsidRPr="002178D2" w:rsidR="002178D2">
        <w:rPr>
          <w:szCs w:val="22"/>
        </w:rPr>
        <w:t xml:space="preserve">LA Emergency Management Department </w:t>
      </w:r>
      <w:r w:rsidRPr="006A7F29">
        <w:rPr>
          <w:szCs w:val="22"/>
        </w:rPr>
        <w:t>may conduct or cause to be produced are done in a manner consistent with customers’ expectations of privacy, confidentiality of Participating CMS Providers’ network information, and the overall security of the WEA systems and infrastructure.</w:t>
      </w:r>
      <w:r>
        <w:rPr>
          <w:szCs w:val="22"/>
          <w:vertAlign w:val="superscript"/>
        </w:rPr>
        <w:footnoteReference w:id="26"/>
      </w:r>
      <w:r w:rsidRPr="006A7F29">
        <w:rPr>
          <w:szCs w:val="22"/>
        </w:rPr>
        <w:t xml:space="preserve">  We encourage the </w:t>
      </w:r>
      <w:r w:rsidRPr="002178D2" w:rsidR="002178D2">
        <w:rPr>
          <w:szCs w:val="22"/>
        </w:rPr>
        <w:t xml:space="preserve">LA Emergency Management Department </w:t>
      </w:r>
      <w:r w:rsidRPr="006A7F29">
        <w:rPr>
          <w:szCs w:val="22"/>
        </w:rPr>
        <w:t xml:space="preserve">to report its test results in electronic format to the Bureau.  Finally, we encourage members of the public who wish to share their experience with the test to do so by filing a description of that experience with the FCC’s Public Safety Support Center at </w:t>
      </w:r>
      <w:hyperlink r:id="rId5" w:history="1">
        <w:r w:rsidRPr="006A7F29">
          <w:rPr>
            <w:color w:val="0000FF"/>
            <w:szCs w:val="22"/>
            <w:u w:val="single"/>
          </w:rPr>
          <w:t>https://www.fcc.gov/general/public-safety-support-center</w:t>
        </w:r>
      </w:hyperlink>
      <w:r w:rsidRPr="006A7F29">
        <w:rPr>
          <w:szCs w:val="22"/>
        </w:rPr>
        <w:t>.</w:t>
      </w:r>
    </w:p>
    <w:p w:rsidR="006A7F29" w:rsidRPr="006A7F29" w:rsidP="003763BD" w14:paraId="620C76E6" w14:textId="77777777">
      <w:pPr>
        <w:keepNext/>
        <w:widowControl/>
        <w:numPr>
          <w:ilvl w:val="0"/>
          <w:numId w:val="3"/>
        </w:numPr>
        <w:tabs>
          <w:tab w:val="left" w:pos="720"/>
        </w:tabs>
        <w:suppressAutoHyphens/>
        <w:spacing w:after="120"/>
        <w:outlineLvl w:val="0"/>
        <w:rPr>
          <w:b/>
          <w:caps/>
          <w:szCs w:val="22"/>
        </w:rPr>
      </w:pPr>
      <w:r w:rsidRPr="006A7F29">
        <w:rPr>
          <w:b/>
          <w:caps/>
          <w:szCs w:val="22"/>
        </w:rPr>
        <w:t>ordering clause</w:t>
      </w:r>
    </w:p>
    <w:p w:rsidR="003763BD" w:rsidP="003763BD" w14:paraId="791EA049" w14:textId="77777777">
      <w:pPr>
        <w:widowControl/>
        <w:numPr>
          <w:ilvl w:val="0"/>
          <w:numId w:val="2"/>
        </w:numPr>
        <w:tabs>
          <w:tab w:val="clear" w:pos="1080"/>
          <w:tab w:val="num" w:pos="1440"/>
        </w:tabs>
        <w:spacing w:after="120"/>
        <w:rPr>
          <w:szCs w:val="22"/>
        </w:rPr>
      </w:pPr>
      <w:r w:rsidRPr="006A7F29">
        <w:rPr>
          <w:szCs w:val="22"/>
        </w:rPr>
        <w:t>Accordingly, IT IS ORDERED that, pursuant to section 4(</w:t>
      </w:r>
      <w:r w:rsidRPr="006A7F29">
        <w:rPr>
          <w:szCs w:val="22"/>
        </w:rPr>
        <w:t>i</w:t>
      </w:r>
      <w:r w:rsidRPr="006A7F29">
        <w:rPr>
          <w:szCs w:val="22"/>
        </w:rPr>
        <w:t>) of the Communications Act of 1934, as amended, 47 U.S.C. § 154(</w:t>
      </w:r>
      <w:r w:rsidRPr="006A7F29">
        <w:rPr>
          <w:szCs w:val="22"/>
        </w:rPr>
        <w:t>i</w:t>
      </w:r>
      <w:r w:rsidRPr="006A7F29">
        <w:rPr>
          <w:szCs w:val="22"/>
        </w:rPr>
        <w:t>), and section 1.3 of the Commission’s rules, 47 CFR § 1.3, that sections 10.400, 10.520(d), 10.530(b), and 11.45 of the Commission’s rules, 47 CFR §§ 10.400, 10.520(d), 10.530(b), and 11.45 of the Commission’s rules, ARE WAIVED, to allow a one-time test of the Wireless Emergency Alert system within the City of Los Angeles, California, on November 16, 2019,</w:t>
      </w:r>
    </w:p>
    <w:p w:rsidR="006A7F29" w:rsidRPr="006A7F29" w:rsidP="003763BD" w14:paraId="133A511D" w14:textId="32AFC76A">
      <w:pPr>
        <w:widowControl/>
        <w:spacing w:after="120"/>
        <w:rPr>
          <w:szCs w:val="22"/>
        </w:rPr>
      </w:pPr>
      <w:r>
        <w:rPr>
          <w:szCs w:val="22"/>
        </w:rPr>
        <w:br w:type="page"/>
      </w:r>
      <w:r w:rsidRPr="006A7F29">
        <w:rPr>
          <w:szCs w:val="22"/>
        </w:rPr>
        <w:t>at 10:00 a.m. PDT, which test mu</w:t>
      </w:r>
      <w:bookmarkStart w:id="4" w:name="_GoBack"/>
      <w:bookmarkEnd w:id="4"/>
      <w:r w:rsidRPr="006A7F29">
        <w:rPr>
          <w:szCs w:val="22"/>
        </w:rPr>
        <w:t>st be conducted subject to the conditions described herein.  This action is taken under delegated authority pursuant to Sections 0.191 and 0.392 of the Commission’s rules, 47 CFR §§ 0.191 and 0.392.</w:t>
      </w:r>
    </w:p>
    <w:p w:rsidR="006A7F29" w:rsidRPr="006A7F29" w:rsidP="003763BD" w14:paraId="3F468D2B" w14:textId="77777777">
      <w:pPr>
        <w:widowControl/>
        <w:spacing w:after="120"/>
        <w:rPr>
          <w:szCs w:val="22"/>
        </w:rPr>
      </w:pPr>
    </w:p>
    <w:p w:rsidR="006A7F29" w:rsidRPr="006A7F29" w:rsidP="003763BD" w14:paraId="10A276FA" w14:textId="77777777">
      <w:pPr>
        <w:keepNext/>
        <w:widowControl/>
        <w:spacing w:before="154"/>
        <w:ind w:left="3577" w:firstLine="720"/>
        <w:rPr>
          <w:snapToGrid/>
          <w:kern w:val="0"/>
          <w:szCs w:val="22"/>
        </w:rPr>
      </w:pPr>
      <w:r w:rsidRPr="006A7F29">
        <w:rPr>
          <w:snapToGrid/>
          <w:spacing w:val="-1"/>
          <w:kern w:val="0"/>
          <w:szCs w:val="22"/>
        </w:rPr>
        <w:t>FEDERAL</w:t>
      </w:r>
      <w:r w:rsidRPr="006A7F29">
        <w:rPr>
          <w:snapToGrid/>
          <w:kern w:val="0"/>
          <w:szCs w:val="22"/>
        </w:rPr>
        <w:t xml:space="preserve"> </w:t>
      </w:r>
      <w:r w:rsidRPr="006A7F29">
        <w:rPr>
          <w:snapToGrid/>
          <w:spacing w:val="-1"/>
          <w:kern w:val="0"/>
          <w:szCs w:val="22"/>
        </w:rPr>
        <w:t>COMMUNICATIONS</w:t>
      </w:r>
      <w:r w:rsidRPr="006A7F29">
        <w:rPr>
          <w:snapToGrid/>
          <w:kern w:val="0"/>
          <w:szCs w:val="22"/>
        </w:rPr>
        <w:t xml:space="preserve"> </w:t>
      </w:r>
      <w:r w:rsidRPr="006A7F29">
        <w:rPr>
          <w:snapToGrid/>
          <w:spacing w:val="-1"/>
          <w:kern w:val="0"/>
          <w:szCs w:val="22"/>
        </w:rPr>
        <w:t>COMMISSION</w:t>
      </w:r>
    </w:p>
    <w:p w:rsidR="006A7F29" w:rsidRPr="006A7F29" w:rsidP="003763BD" w14:paraId="43BB0BD1" w14:textId="77777777">
      <w:pPr>
        <w:keepNext/>
        <w:widowControl/>
        <w:rPr>
          <w:szCs w:val="22"/>
        </w:rPr>
      </w:pPr>
    </w:p>
    <w:p w:rsidR="006A7F29" w:rsidRPr="006A7F29" w:rsidP="003763BD" w14:paraId="79C13733" w14:textId="77777777">
      <w:pPr>
        <w:keepNext/>
        <w:widowControl/>
        <w:rPr>
          <w:szCs w:val="22"/>
        </w:rPr>
      </w:pPr>
    </w:p>
    <w:p w:rsidR="006A7F29" w:rsidRPr="006A7F29" w:rsidP="003763BD" w14:paraId="046F9D69" w14:textId="77777777">
      <w:pPr>
        <w:widowControl/>
        <w:rPr>
          <w:szCs w:val="22"/>
        </w:rPr>
      </w:pPr>
    </w:p>
    <w:p w:rsidR="006A7F29" w:rsidRPr="006A7F29" w:rsidP="003763BD" w14:paraId="48F67E9D" w14:textId="77777777">
      <w:pPr>
        <w:widowControl/>
        <w:spacing w:before="2"/>
        <w:rPr>
          <w:szCs w:val="22"/>
        </w:rPr>
      </w:pPr>
    </w:p>
    <w:p w:rsidR="006A7F29" w:rsidRPr="006A7F29" w:rsidP="003763BD" w14:paraId="33643317" w14:textId="77777777">
      <w:pPr>
        <w:widowControl/>
        <w:ind w:left="4297" w:right="3533"/>
        <w:jc w:val="center"/>
        <w:rPr>
          <w:snapToGrid/>
          <w:kern w:val="0"/>
          <w:szCs w:val="22"/>
        </w:rPr>
      </w:pPr>
      <w:bookmarkStart w:id="5" w:name="sp_999_4"/>
      <w:bookmarkStart w:id="6" w:name="SDU_4"/>
      <w:bookmarkStart w:id="7" w:name="_Hlk8895269"/>
      <w:bookmarkEnd w:id="5"/>
      <w:bookmarkEnd w:id="6"/>
      <w:r w:rsidRPr="006A7F29">
        <w:rPr>
          <w:snapToGrid/>
          <w:kern w:val="0"/>
          <w:szCs w:val="22"/>
        </w:rPr>
        <w:t>Nicole McGinnis</w:t>
      </w:r>
    </w:p>
    <w:p w:rsidR="006A7F29" w:rsidRPr="006A7F29" w:rsidP="003763BD" w14:paraId="2608BBF8" w14:textId="77777777">
      <w:pPr>
        <w:widowControl/>
        <w:ind w:left="4680" w:right="271" w:hanging="360"/>
        <w:rPr>
          <w:snapToGrid/>
          <w:spacing w:val="-7"/>
          <w:kern w:val="0"/>
          <w:szCs w:val="22"/>
        </w:rPr>
      </w:pPr>
      <w:r w:rsidRPr="006A7F29">
        <w:rPr>
          <w:snapToGrid/>
          <w:kern w:val="0"/>
          <w:szCs w:val="22"/>
        </w:rPr>
        <w:t>Deputy Chief</w:t>
      </w:r>
    </w:p>
    <w:p w:rsidR="006A7F29" w:rsidRPr="006A7F29" w:rsidP="003763BD" w14:paraId="381FDEED" w14:textId="77777777">
      <w:pPr>
        <w:widowControl/>
        <w:ind w:left="4680" w:right="271" w:hanging="360"/>
        <w:rPr>
          <w:snapToGrid/>
          <w:kern w:val="0"/>
          <w:szCs w:val="22"/>
        </w:rPr>
      </w:pPr>
      <w:r w:rsidRPr="006A7F29">
        <w:rPr>
          <w:snapToGrid/>
          <w:spacing w:val="-1"/>
          <w:kern w:val="0"/>
          <w:szCs w:val="22"/>
        </w:rPr>
        <w:t>Public</w:t>
      </w:r>
      <w:r w:rsidRPr="006A7F29">
        <w:rPr>
          <w:snapToGrid/>
          <w:spacing w:val="-7"/>
          <w:kern w:val="0"/>
          <w:szCs w:val="22"/>
        </w:rPr>
        <w:t xml:space="preserve"> </w:t>
      </w:r>
      <w:r w:rsidRPr="006A7F29">
        <w:rPr>
          <w:snapToGrid/>
          <w:spacing w:val="-1"/>
          <w:kern w:val="0"/>
          <w:szCs w:val="22"/>
        </w:rPr>
        <w:t>Safety</w:t>
      </w:r>
      <w:r w:rsidRPr="006A7F29">
        <w:rPr>
          <w:snapToGrid/>
          <w:spacing w:val="-7"/>
          <w:kern w:val="0"/>
          <w:szCs w:val="22"/>
        </w:rPr>
        <w:t xml:space="preserve"> </w:t>
      </w:r>
      <w:r w:rsidRPr="006A7F29">
        <w:rPr>
          <w:snapToGrid/>
          <w:kern w:val="0"/>
          <w:szCs w:val="22"/>
        </w:rPr>
        <w:t>and</w:t>
      </w:r>
      <w:r w:rsidRPr="006A7F29">
        <w:rPr>
          <w:snapToGrid/>
          <w:spacing w:val="-8"/>
          <w:kern w:val="0"/>
          <w:szCs w:val="22"/>
        </w:rPr>
        <w:t xml:space="preserve"> </w:t>
      </w:r>
      <w:r w:rsidRPr="006A7F29">
        <w:rPr>
          <w:snapToGrid/>
          <w:spacing w:val="-1"/>
          <w:kern w:val="0"/>
          <w:szCs w:val="22"/>
        </w:rPr>
        <w:t>Homeland</w:t>
      </w:r>
      <w:r w:rsidRPr="006A7F29">
        <w:rPr>
          <w:snapToGrid/>
          <w:spacing w:val="-8"/>
          <w:kern w:val="0"/>
          <w:szCs w:val="22"/>
        </w:rPr>
        <w:t xml:space="preserve"> </w:t>
      </w:r>
      <w:r w:rsidRPr="006A7F29">
        <w:rPr>
          <w:snapToGrid/>
          <w:spacing w:val="-1"/>
          <w:kern w:val="0"/>
          <w:szCs w:val="22"/>
        </w:rPr>
        <w:t>Security</w:t>
      </w:r>
      <w:r w:rsidRPr="006A7F29">
        <w:rPr>
          <w:snapToGrid/>
          <w:spacing w:val="-8"/>
          <w:kern w:val="0"/>
          <w:szCs w:val="22"/>
        </w:rPr>
        <w:t xml:space="preserve"> </w:t>
      </w:r>
      <w:r w:rsidRPr="006A7F29">
        <w:rPr>
          <w:snapToGrid/>
          <w:kern w:val="0"/>
          <w:szCs w:val="22"/>
        </w:rPr>
        <w:t>Bureau</w:t>
      </w:r>
    </w:p>
    <w:p w:rsidR="006A7F29" w:rsidRPr="006A7F29" w:rsidP="003763BD" w14:paraId="39B80F07" w14:textId="77777777">
      <w:pPr>
        <w:widowControl/>
        <w:ind w:left="4320"/>
        <w:rPr>
          <w:spacing w:val="-1"/>
          <w:szCs w:val="22"/>
        </w:rPr>
      </w:pPr>
      <w:r w:rsidRPr="006A7F29">
        <w:rPr>
          <w:spacing w:val="-1"/>
          <w:szCs w:val="22"/>
        </w:rPr>
        <w:t>Federal</w:t>
      </w:r>
      <w:r w:rsidRPr="006A7F29">
        <w:rPr>
          <w:spacing w:val="-15"/>
          <w:szCs w:val="22"/>
        </w:rPr>
        <w:t xml:space="preserve"> </w:t>
      </w:r>
      <w:r w:rsidRPr="006A7F29">
        <w:rPr>
          <w:spacing w:val="-1"/>
          <w:szCs w:val="22"/>
        </w:rPr>
        <w:t>Communications</w:t>
      </w:r>
      <w:r w:rsidRPr="006A7F29">
        <w:rPr>
          <w:spacing w:val="-15"/>
          <w:szCs w:val="22"/>
        </w:rPr>
        <w:t xml:space="preserve"> </w:t>
      </w:r>
      <w:r w:rsidRPr="006A7F29">
        <w:rPr>
          <w:spacing w:val="-1"/>
          <w:szCs w:val="22"/>
        </w:rPr>
        <w:t>Commission</w:t>
      </w:r>
    </w:p>
    <w:bookmarkEnd w:id="7"/>
    <w:p w:rsidR="006A7F29" w:rsidRPr="006A7F29" w:rsidP="003763BD" w14:paraId="65254CB8" w14:textId="77777777">
      <w:pPr>
        <w:keepNext/>
        <w:widowControl/>
        <w:suppressAutoHyphens/>
        <w:spacing w:after="120"/>
        <w:ind w:left="720"/>
        <w:outlineLvl w:val="0"/>
        <w:rPr>
          <w:rFonts w:ascii="Times New Roman Bold" w:hAnsi="Times New Roman Bold"/>
          <w:b/>
          <w:caps/>
        </w:rPr>
      </w:pPr>
    </w:p>
    <w:p w:rsidR="00412FC5" w:rsidP="003763BD" w14:paraId="62FD0C21" w14:textId="77777777">
      <w:pPr>
        <w:pStyle w:val="Heading1"/>
        <w:widowControl/>
        <w:numPr>
          <w:ilvl w:val="0"/>
          <w:numId w:val="0"/>
        </w:num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B9D2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8C422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A8B006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19A426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186AD4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4CBF" w14:paraId="0E8A936D" w14:textId="77777777">
      <w:r>
        <w:separator/>
      </w:r>
    </w:p>
  </w:footnote>
  <w:footnote w:type="continuationSeparator" w:id="1">
    <w:p w:rsidR="003A4CBF" w:rsidP="00C721AC" w14:paraId="2CA1FF6B" w14:textId="77777777">
      <w:pPr>
        <w:spacing w:before="120"/>
        <w:rPr>
          <w:sz w:val="20"/>
        </w:rPr>
      </w:pPr>
      <w:r>
        <w:rPr>
          <w:sz w:val="20"/>
        </w:rPr>
        <w:t xml:space="preserve">(Continued from previous page)  </w:t>
      </w:r>
      <w:r>
        <w:rPr>
          <w:sz w:val="20"/>
        </w:rPr>
        <w:separator/>
      </w:r>
    </w:p>
  </w:footnote>
  <w:footnote w:type="continuationNotice" w:id="2">
    <w:p w:rsidR="003A4CBF" w:rsidP="00C721AC" w14:paraId="205F0E8E" w14:textId="77777777">
      <w:pPr>
        <w:jc w:val="right"/>
        <w:rPr>
          <w:sz w:val="20"/>
        </w:rPr>
      </w:pPr>
    </w:p>
  </w:footnote>
  <w:footnote w:id="3">
    <w:p w:rsidR="006A7F29" w:rsidP="006A7F29" w14:paraId="20C72D4D" w14:textId="77777777">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4">
    <w:p w:rsidR="006A7F29" w:rsidRPr="0097691D" w:rsidP="006A7F29" w14:paraId="14219840" w14:textId="6B4AB479">
      <w:pPr>
        <w:pStyle w:val="FootnoteText"/>
      </w:pPr>
      <w:r>
        <w:rPr>
          <w:rStyle w:val="FootnoteReference"/>
        </w:rPr>
        <w:footnoteRef/>
      </w:r>
      <w:r>
        <w:t xml:space="preserve"> </w:t>
      </w:r>
      <w:r>
        <w:rPr>
          <w:i/>
        </w:rPr>
        <w:t xml:space="preserve">See </w:t>
      </w:r>
      <w:r>
        <w:t xml:space="preserve">Letter from </w:t>
      </w:r>
      <w:r w:rsidRPr="0070138A">
        <w:t>Aram Sahakian General Manager</w:t>
      </w:r>
      <w:r>
        <w:t xml:space="preserve">, </w:t>
      </w:r>
      <w:r w:rsidRPr="0070138A">
        <w:t>Emergency Management Department</w:t>
      </w:r>
      <w:r>
        <w:t xml:space="preserve">, City of Los Angeles, to Michael Wilhelm, Federal Communications Commission, Public Safety and Homeland Security Bureau, Policy and Licensing Division (filed Oct. 10, 2019) (on file in PS Docket No. 15-91).  Because this WEA test is being conducted in support of a larger exercise, the </w:t>
      </w:r>
      <w:r w:rsidR="002178D2">
        <w:t xml:space="preserve">LA </w:t>
      </w:r>
      <w:r>
        <w:t xml:space="preserve">Emergency Management Department </w:t>
      </w:r>
      <w:r w:rsidRPr="00DB4C3A">
        <w:t>d</w:t>
      </w:r>
      <w:r>
        <w:t>id</w:t>
      </w:r>
      <w:r w:rsidRPr="00DB4C3A">
        <w:t xml:space="preserve"> not propose a back-up test date.</w:t>
      </w:r>
      <w:r>
        <w:t xml:space="preserve">  </w:t>
      </w:r>
      <w:r w:rsidRPr="00C40CA5">
        <w:rPr>
          <w:i/>
        </w:rPr>
        <w:t>Id.</w:t>
      </w:r>
      <w:r>
        <w:t xml:space="preserve"> at 1.  Moreover, this test will not be a substitute for any required weekly test.  </w:t>
      </w:r>
      <w:r w:rsidRPr="00C40CA5">
        <w:rPr>
          <w:i/>
        </w:rPr>
        <w:t>Id.</w:t>
      </w:r>
    </w:p>
  </w:footnote>
  <w:footnote w:id="5">
    <w:p w:rsidR="006A7F29" w:rsidRPr="00B0643B" w:rsidP="006A7F29" w14:paraId="67DA8858" w14:textId="77777777">
      <w:pPr>
        <w:pStyle w:val="FootnoteText"/>
      </w:pPr>
      <w:r w:rsidRPr="00B90802">
        <w:rPr>
          <w:rStyle w:val="FootnoteReference"/>
        </w:rPr>
        <w:footnoteRef/>
      </w:r>
      <w:r w:rsidRPr="00B0643B">
        <w:t xml:space="preserve"> </w:t>
      </w:r>
      <w:r w:rsidRPr="00681200">
        <w:rPr>
          <w:i/>
        </w:rPr>
        <w:t>Commercial Mobile Alert System</w:t>
      </w:r>
      <w:r w:rsidRPr="00B0643B">
        <w:t>, PS Docket No. 07-287, Third Report and Order, 23 FCC Rcd 12561, 12575, para. 32 (2008) (stating the requirements for wireless providers volunteering to participate in WEA).</w:t>
      </w:r>
    </w:p>
  </w:footnote>
  <w:footnote w:id="6">
    <w:p w:rsidR="006A7F29" w:rsidRPr="00B0643B" w:rsidP="006A7F29" w14:paraId="45AD818B"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Emergency Alert System</w:t>
      </w:r>
      <w:r w:rsidRPr="00B0643B">
        <w:t xml:space="preserve">.  </w:t>
      </w:r>
      <w:r w:rsidRPr="00B0643B">
        <w:rPr>
          <w:i/>
        </w:rPr>
        <w:t>Compare</w:t>
      </w:r>
      <w:r w:rsidRPr="00B0643B">
        <w:t xml:space="preserve"> 47 CFR § 10.520 </w:t>
      </w:r>
      <w:r w:rsidRPr="00B0643B">
        <w:rPr>
          <w:i/>
        </w:rPr>
        <w:t>with</w:t>
      </w:r>
      <w:r w:rsidRPr="00B0643B">
        <w:t xml:space="preserve"> 47 CFR § 11.31(a)(2).</w:t>
      </w:r>
    </w:p>
  </w:footnote>
  <w:footnote w:id="7">
    <w:p w:rsidR="006A7F29" w:rsidRPr="00B0643B" w:rsidP="006A7F29" w14:paraId="2C4F88B7" w14:textId="77777777">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the Federal Emergency Management Agency (</w:t>
      </w:r>
      <w:r w:rsidRPr="00B0643B">
        <w:t>FEMA</w:t>
      </w:r>
      <w:r>
        <w:t>)</w:t>
      </w:r>
      <w:r w:rsidRPr="00B0643B">
        <w:t xml:space="preserve"> and in periodic tests of WEA’s C-Interface.  </w:t>
      </w:r>
      <w:r w:rsidRPr="00B0643B">
        <w:rPr>
          <w:i/>
        </w:rPr>
        <w:t>Id.</w:t>
      </w:r>
    </w:p>
  </w:footnote>
  <w:footnote w:id="8">
    <w:p w:rsidR="006A7F29" w:rsidRPr="00B0643B" w:rsidP="006A7F29" w14:paraId="023C9872" w14:textId="77777777">
      <w:pPr>
        <w:pStyle w:val="FootnoteText"/>
      </w:pPr>
      <w:r w:rsidRPr="00B0643B">
        <w:rPr>
          <w:rStyle w:val="FootnoteReference"/>
        </w:rPr>
        <w:footnoteRef/>
      </w:r>
      <w:r w:rsidRPr="00B0643B">
        <w:t xml:space="preserv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31 FCC Rcd 11112</w:t>
      </w:r>
      <w:r w:rsidRPr="00B0643B">
        <w:t>, 11154-11157, paras. 65-68 (2016).</w:t>
      </w:r>
    </w:p>
  </w:footnote>
  <w:footnote w:id="9">
    <w:p w:rsidR="006A7F29" w:rsidRPr="002A285F" w:rsidP="006A7F29" w14:paraId="69B0F739" w14:textId="77777777">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6B00FB">
        <w:t>);</w:t>
      </w:r>
      <w:r w:rsidRPr="00B0643B">
        <w:rPr>
          <w:i/>
        </w:rPr>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p>
  </w:footnote>
  <w:footnote w:id="10">
    <w:p w:rsidR="006A7F29" w:rsidP="006A7F29" w14:paraId="45092D2F" w14:textId="77777777">
      <w:pPr>
        <w:pStyle w:val="FootnoteText"/>
      </w:pPr>
      <w:r>
        <w:rPr>
          <w:rStyle w:val="FootnoteReference"/>
        </w:rPr>
        <w:footnoteRef/>
      </w:r>
      <w:r>
        <w:t xml:space="preserve"> </w:t>
      </w:r>
      <w:r>
        <w:rPr>
          <w:i/>
        </w:rPr>
        <w:t xml:space="preserve">See </w:t>
      </w:r>
      <w:r w:rsidRPr="007740FF">
        <w:rPr>
          <w:i/>
        </w:rPr>
        <w:t>P</w:t>
      </w:r>
      <w:r>
        <w:rPr>
          <w:i/>
        </w:rPr>
        <w:t xml:space="preserve">ublic Safety &amp; Homeland Security Bureau Announces Delay in Availability of Certain Improvements to Wireless Emergency Alerts, </w:t>
      </w:r>
      <w:r>
        <w:t xml:space="preserve">Public </w:t>
      </w:r>
      <w:r w:rsidRPr="00760375">
        <w:t>Notice, DA 19-534 (PSHSB Jun</w:t>
      </w:r>
      <w:r>
        <w:t>e</w:t>
      </w:r>
      <w:r w:rsidRPr="00760375">
        <w:t xml:space="preserve"> 7, 2019);</w:t>
      </w:r>
      <w:r>
        <w:t xml:space="preserve"> </w:t>
      </w:r>
      <w:r>
        <w:rPr>
          <w:i/>
        </w:rPr>
        <w:t>Advisory Regarding May 1 Deadline for Improvements to Wireless Emergency Alerts and Guidance for State/Local Alert Originators</w:t>
      </w:r>
      <w:r>
        <w:t>,</w:t>
      </w:r>
      <w:r>
        <w:rPr>
          <w:i/>
        </w:rPr>
        <w:t xml:space="preserve"> </w:t>
      </w:r>
      <w:r>
        <w:t>Public Notice, DA 19</w:t>
      </w:r>
      <w:r w:rsidRPr="00EF145B">
        <w:t>-358</w:t>
      </w:r>
      <w:r>
        <w:t>, at 2</w:t>
      </w:r>
      <w:r w:rsidRPr="00EF145B">
        <w:t xml:space="preserve"> </w:t>
      </w:r>
      <w:r>
        <w:t>(PSHSB Apr. 30, 2019).</w:t>
      </w:r>
    </w:p>
  </w:footnote>
  <w:footnote w:id="11">
    <w:p w:rsidR="006A7F29" w:rsidP="006A7F29" w14:paraId="0C174F00" w14:textId="77777777">
      <w:pPr>
        <w:pStyle w:val="FootnoteText"/>
      </w:pPr>
      <w:r>
        <w:rPr>
          <w:rStyle w:val="FootnoteReference"/>
        </w:rPr>
        <w:footnoteRef/>
      </w:r>
      <w:r>
        <w:t xml:space="preserve"> </w:t>
      </w:r>
      <w:r w:rsidRPr="00B96CCE">
        <w:rPr>
          <w:i/>
        </w:rPr>
        <w:t>Id.</w:t>
      </w:r>
    </w:p>
  </w:footnote>
  <w:footnote w:id="12">
    <w:p w:rsidR="006A7F29" w:rsidP="006A7F29" w14:paraId="753E6E31" w14:textId="77777777">
      <w:pPr>
        <w:pStyle w:val="FootnoteText"/>
      </w:pPr>
      <w:r>
        <w:rPr>
          <w:rStyle w:val="FootnoteReference"/>
        </w:rPr>
        <w:footnoteRef/>
      </w:r>
      <w:r>
        <w:t xml:space="preserve"> </w:t>
      </w:r>
      <w:r w:rsidRPr="00B96CCE">
        <w:rPr>
          <w:i/>
        </w:rPr>
        <w:t>Id.</w:t>
      </w:r>
    </w:p>
  </w:footnote>
  <w:footnote w:id="13">
    <w:p w:rsidR="006A7F29" w:rsidRPr="001D676D" w:rsidP="006A7F29" w14:paraId="77163AAB" w14:textId="77777777">
      <w:pPr>
        <w:pStyle w:val="FootnoteText"/>
      </w:pPr>
      <w:r>
        <w:rPr>
          <w:rStyle w:val="FootnoteReference"/>
        </w:rPr>
        <w:footnoteRef/>
      </w:r>
      <w:r>
        <w:t xml:space="preserve"> </w:t>
      </w:r>
      <w:r>
        <w:rPr>
          <w:i/>
        </w:rPr>
        <w:t>Id</w:t>
      </w:r>
      <w:r>
        <w:t>. at 1.</w:t>
      </w:r>
    </w:p>
  </w:footnote>
  <w:footnote w:id="14">
    <w:p w:rsidR="006A7F29" w:rsidRPr="0051592A" w:rsidP="006A7F29" w14:paraId="2AD5AF7A" w14:textId="77777777">
      <w:pPr>
        <w:pStyle w:val="FootnoteText"/>
      </w:pPr>
      <w:r>
        <w:rPr>
          <w:rStyle w:val="FootnoteReference"/>
        </w:rPr>
        <w:footnoteRef/>
      </w:r>
      <w:r>
        <w:t xml:space="preserve"> </w:t>
      </w:r>
      <w:r>
        <w:rPr>
          <w:i/>
        </w:rPr>
        <w:t>Id</w:t>
      </w:r>
      <w:r>
        <w:t xml:space="preserve">. at 2.  The test message is within the 90-character limits of our rules.  </w:t>
      </w:r>
      <w:r w:rsidRPr="00E74002">
        <w:rPr>
          <w:i/>
        </w:rPr>
        <w:t>See</w:t>
      </w:r>
      <w:r>
        <w:t xml:space="preserve"> </w:t>
      </w:r>
      <w:r w:rsidRPr="00E74002">
        <w:t>47 CFR § 10.430</w:t>
      </w:r>
      <w:r>
        <w:t>.</w:t>
      </w:r>
    </w:p>
  </w:footnote>
  <w:footnote w:id="15">
    <w:p w:rsidR="006A7F29" w:rsidP="006A7F29" w14:paraId="62B9B0D0" w14:textId="407EB82B">
      <w:pPr>
        <w:pStyle w:val="FootnoteText"/>
      </w:pPr>
      <w:r>
        <w:rPr>
          <w:rStyle w:val="FootnoteReference"/>
        </w:rPr>
        <w:footnoteRef/>
      </w:r>
      <w:r>
        <w:t xml:space="preserve"> </w:t>
      </w:r>
      <w:r w:rsidR="0011351E">
        <w:t>LA Emergency Management Department</w:t>
      </w:r>
      <w:r>
        <w:t xml:space="preserve"> </w:t>
      </w:r>
      <w:r w:rsidR="0011351E">
        <w:t>Letter</w:t>
      </w:r>
      <w:r>
        <w:t xml:space="preserve"> at 2.</w:t>
      </w:r>
    </w:p>
  </w:footnote>
  <w:footnote w:id="16">
    <w:p w:rsidR="006A7F29" w:rsidP="006A7F29" w14:paraId="08C0FF12" w14:textId="77777777">
      <w:pPr>
        <w:pStyle w:val="FootnoteText"/>
      </w:pPr>
      <w:r>
        <w:rPr>
          <w:rStyle w:val="FootnoteReference"/>
        </w:rPr>
        <w:footnoteRef/>
      </w:r>
      <w:r>
        <w:t xml:space="preserve"> </w:t>
      </w:r>
      <w:r w:rsidRPr="00DF7A48">
        <w:rPr>
          <w:i/>
        </w:rPr>
        <w:t>Id.</w:t>
      </w:r>
    </w:p>
  </w:footnote>
  <w:footnote w:id="17">
    <w:p w:rsidR="006A7F29" w:rsidP="006A7F29" w14:paraId="6F061167" w14:textId="77777777">
      <w:pPr>
        <w:pStyle w:val="FootnoteText"/>
      </w:pPr>
      <w:r>
        <w:rPr>
          <w:rStyle w:val="FootnoteReference"/>
        </w:rPr>
        <w:footnoteRef/>
      </w:r>
      <w:r>
        <w:t xml:space="preserve"> </w:t>
      </w:r>
      <w:r w:rsidRPr="00DF7A48">
        <w:rPr>
          <w:i/>
        </w:rPr>
        <w:t>Id.</w:t>
      </w:r>
    </w:p>
  </w:footnote>
  <w:footnote w:id="18">
    <w:p w:rsidR="006A7F29" w:rsidP="006A7F29" w14:paraId="56D6A1A4" w14:textId="77777777">
      <w:pPr>
        <w:pStyle w:val="FootnoteText"/>
      </w:pPr>
      <w:r>
        <w:rPr>
          <w:rStyle w:val="FootnoteReference"/>
        </w:rPr>
        <w:footnoteRef/>
      </w:r>
      <w:r>
        <w:t xml:space="preserve"> </w:t>
      </w:r>
      <w:r w:rsidRPr="00DF7A48">
        <w:rPr>
          <w:i/>
        </w:rPr>
        <w:t>Id.</w:t>
      </w:r>
    </w:p>
  </w:footnote>
  <w:footnote w:id="19">
    <w:p w:rsidR="006A7F29" w:rsidP="006A7F29" w14:paraId="0303E8EC" w14:textId="77777777">
      <w:pPr>
        <w:pStyle w:val="FootnoteText"/>
      </w:pPr>
      <w:r>
        <w:rPr>
          <w:rStyle w:val="FootnoteReference"/>
        </w:rPr>
        <w:footnoteRef/>
      </w:r>
      <w:r>
        <w:t xml:space="preserve"> </w:t>
      </w:r>
      <w:r w:rsidRPr="00DF7A48">
        <w:rPr>
          <w:i/>
        </w:rPr>
        <w:t>Id.</w:t>
      </w:r>
    </w:p>
  </w:footnote>
  <w:footnote w:id="20">
    <w:p w:rsidR="006A7F29" w:rsidP="006A7F29" w14:paraId="480B5F21" w14:textId="77777777">
      <w:pPr>
        <w:pStyle w:val="FootnoteText"/>
      </w:pPr>
      <w:r>
        <w:rPr>
          <w:rStyle w:val="FootnoteReference"/>
        </w:rPr>
        <w:footnoteRef/>
      </w:r>
      <w:r>
        <w:t xml:space="preserve"> </w:t>
      </w:r>
      <w:r w:rsidRPr="00DF7A48">
        <w:rPr>
          <w:i/>
        </w:rPr>
        <w:t>Id.</w:t>
      </w:r>
    </w:p>
  </w:footnote>
  <w:footnote w:id="21">
    <w:p w:rsidR="006A7F29" w:rsidRPr="00675326" w:rsidP="006A7F29" w14:paraId="774D5412" w14:textId="77777777">
      <w:pPr>
        <w:pStyle w:val="FootnoteText"/>
      </w:pPr>
      <w:r w:rsidRPr="00675326">
        <w:rPr>
          <w:rStyle w:val="FootnoteReference"/>
        </w:rPr>
        <w:footnoteRef/>
      </w:r>
      <w:r w:rsidRPr="00675326">
        <w:t xml:space="preserve"> 47 CFR</w:t>
      </w:r>
      <w:r w:rsidRPr="00675326">
        <w:rPr>
          <w:spacing w:val="-1"/>
        </w:rPr>
        <w:t xml:space="preserve"> </w:t>
      </w:r>
      <w:r w:rsidRPr="00675326">
        <w:t>§ 1.3.</w:t>
      </w:r>
    </w:p>
  </w:footnote>
  <w:footnote w:id="22">
    <w:p w:rsidR="006A7F29" w:rsidRPr="00B0643B" w:rsidP="006A7F29" w14:paraId="6C9F3AA3" w14:textId="77777777">
      <w:pPr>
        <w:pStyle w:val="FootnoteText"/>
      </w:pPr>
      <w:r w:rsidRPr="00675326">
        <w:rPr>
          <w:rStyle w:val="FootnoteReference"/>
        </w:rPr>
        <w:footnoteRef/>
      </w:r>
      <w:r w:rsidRPr="00675326">
        <w:t xml:space="preserve"> </w:t>
      </w:r>
      <w:r w:rsidRPr="00675326">
        <w:rPr>
          <w:i/>
        </w:rPr>
        <w:t>See</w:t>
      </w:r>
      <w:r w:rsidRPr="00675326">
        <w:rPr>
          <w:i/>
          <w:spacing w:val="-3"/>
        </w:rPr>
        <w:t xml:space="preserve"> </w:t>
      </w:r>
      <w:r w:rsidRPr="00675326">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3">
    <w:p w:rsidR="006A7F29" w:rsidP="006A7F29" w14:paraId="3399620C" w14:textId="46BBE17F">
      <w:pPr>
        <w:pStyle w:val="FootnoteText"/>
      </w:pPr>
      <w:r>
        <w:rPr>
          <w:rStyle w:val="FootnoteReference"/>
        </w:rPr>
        <w:footnoteRef/>
      </w:r>
      <w:r>
        <w:t xml:space="preserve"> </w:t>
      </w:r>
      <w:r w:rsidR="0011351E">
        <w:t>LA Emergency Management Department</w:t>
      </w:r>
      <w:r>
        <w:t xml:space="preserve"> </w:t>
      </w:r>
      <w:r w:rsidR="0011351E">
        <w:t>Letter</w:t>
      </w:r>
      <w:r>
        <w:t xml:space="preserve"> at 1.</w:t>
      </w:r>
    </w:p>
  </w:footnote>
  <w:footnote w:id="24">
    <w:p w:rsidR="006A7F29" w:rsidRPr="00CA2A13" w:rsidP="006A7F29" w14:paraId="1E533051" w14:textId="77777777">
      <w:pPr>
        <w:pStyle w:val="FootnoteText"/>
      </w:pPr>
      <w:r>
        <w:rPr>
          <w:rStyle w:val="FootnoteReference"/>
        </w:rPr>
        <w:footnoteRef/>
      </w:r>
      <w:r>
        <w:t xml:space="preserve"> </w:t>
      </w:r>
      <w:r>
        <w:rPr>
          <w:i/>
        </w:rPr>
        <w:t>Id</w:t>
      </w:r>
      <w:r>
        <w:t>.</w:t>
      </w:r>
    </w:p>
  </w:footnote>
  <w:footnote w:id="25">
    <w:p w:rsidR="006A7F29" w:rsidP="006A7F29" w14:paraId="7871519D" w14:textId="77777777">
      <w:pPr>
        <w:pStyle w:val="FootnoteText"/>
      </w:pPr>
      <w:r>
        <w:rPr>
          <w:rStyle w:val="FootnoteReference"/>
        </w:rPr>
        <w:footnoteRef/>
      </w:r>
      <w:r>
        <w:t xml:space="preserve"> This waiver does not extend to any other circumstances involving the broadcast or transmission of the WEA Attention Signal.</w:t>
      </w:r>
    </w:p>
  </w:footnote>
  <w:footnote w:id="26">
    <w:p w:rsidR="006A7F29" w:rsidRPr="00B0643B" w:rsidP="006A7F29" w14:paraId="2E54EB19" w14:textId="77777777">
      <w:pPr>
        <w:pStyle w:val="FootnoteText"/>
      </w:pPr>
      <w:r w:rsidRPr="00B0643B">
        <w:rPr>
          <w:rStyle w:val="FootnoteReference"/>
        </w:rPr>
        <w:footnoteRef/>
      </w:r>
      <w:r w:rsidRPr="00B0643B">
        <w:t xml:space="preserve"> </w:t>
      </w:r>
      <w:r w:rsidRPr="00B0643B">
        <w:rPr>
          <w:i/>
        </w:rPr>
        <w:t xml:space="preserve">See </w:t>
      </w:r>
      <w:r w:rsidRPr="00B0643B">
        <w:t>47</w:t>
      </w:r>
      <w:r w:rsidRPr="00B0643B">
        <w:rPr>
          <w:spacing w:val="-1"/>
        </w:rPr>
        <w:t xml:space="preserve"> U.S.C.</w:t>
      </w:r>
      <w:r w:rsidRPr="00B0643B">
        <w:t xml:space="preserve"> §</w:t>
      </w:r>
      <w:r w:rsidRPr="00B0643B">
        <w:rPr>
          <w:spacing w:val="-1"/>
        </w:rPr>
        <w:t xml:space="preserve"> </w:t>
      </w:r>
      <w:r w:rsidRPr="00B0643B">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CBE9B0" w14:textId="5AD90E93">
    <w:pPr>
      <w:pStyle w:val="Header"/>
      <w:rPr>
        <w:b w:val="0"/>
      </w:rPr>
    </w:pPr>
    <w:r>
      <w:tab/>
      <w:t>Federal Communications Commission</w:t>
    </w:r>
    <w:r>
      <w:tab/>
    </w:r>
    <w:r w:rsidRPr="003763BD" w:rsidR="003763BD">
      <w:t>DA 19-</w:t>
    </w:r>
    <w:r w:rsidR="005A69B7">
      <w:t>1040</w:t>
    </w:r>
  </w:p>
  <w:p w:rsidR="00D25FB5" w14:paraId="4BD0C2FA" w14:textId="7891AC0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2D4D9F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31C341" w14:textId="45DAA8E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763BD">
      <w:rPr>
        <w:spacing w:val="-2"/>
      </w:rPr>
      <w:t>DA 19-</w:t>
    </w:r>
    <w:r w:rsidR="00D060D6">
      <w:rPr>
        <w:spacing w:val="-2"/>
      </w:rPr>
      <w:t>1040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BA8C00CA"/>
    <w:lvl w:ilvl="0">
      <w:start w:val="1"/>
      <w:numFmt w:val="decimal"/>
      <w:pStyle w:val="ParaNum"/>
      <w:lvlText w:val="%1."/>
      <w:lvlJc w:val="left"/>
      <w:pPr>
        <w:tabs>
          <w:tab w:val="num" w:pos="1080"/>
        </w:tabs>
        <w:ind w:left="0" w:firstLine="720"/>
      </w:pPr>
      <w:rPr>
        <w:b w:val="0"/>
      </w:r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29"/>
    <w:rsid w:val="00036039"/>
    <w:rsid w:val="00037F90"/>
    <w:rsid w:val="00053100"/>
    <w:rsid w:val="000875BF"/>
    <w:rsid w:val="00096D8C"/>
    <w:rsid w:val="000C0B65"/>
    <w:rsid w:val="000E05FE"/>
    <w:rsid w:val="000E3D42"/>
    <w:rsid w:val="0011351E"/>
    <w:rsid w:val="00122BD5"/>
    <w:rsid w:val="00133F79"/>
    <w:rsid w:val="00194A66"/>
    <w:rsid w:val="001D676D"/>
    <w:rsid w:val="001D6BCF"/>
    <w:rsid w:val="001E01CA"/>
    <w:rsid w:val="002178D2"/>
    <w:rsid w:val="00275CF5"/>
    <w:rsid w:val="0028301F"/>
    <w:rsid w:val="00285017"/>
    <w:rsid w:val="002A285F"/>
    <w:rsid w:val="002A2D2E"/>
    <w:rsid w:val="002B5F3D"/>
    <w:rsid w:val="002C00E8"/>
    <w:rsid w:val="00343749"/>
    <w:rsid w:val="003660ED"/>
    <w:rsid w:val="003763BD"/>
    <w:rsid w:val="003A4CBF"/>
    <w:rsid w:val="003B0550"/>
    <w:rsid w:val="003B694F"/>
    <w:rsid w:val="003F171C"/>
    <w:rsid w:val="00412FC5"/>
    <w:rsid w:val="00422276"/>
    <w:rsid w:val="004242F1"/>
    <w:rsid w:val="00445A00"/>
    <w:rsid w:val="00451B0F"/>
    <w:rsid w:val="004C2EE3"/>
    <w:rsid w:val="004D39F3"/>
    <w:rsid w:val="004E4A22"/>
    <w:rsid w:val="00511968"/>
    <w:rsid w:val="0051592A"/>
    <w:rsid w:val="0055614C"/>
    <w:rsid w:val="00566D06"/>
    <w:rsid w:val="005900AD"/>
    <w:rsid w:val="005A69B7"/>
    <w:rsid w:val="005E14C2"/>
    <w:rsid w:val="00607BA5"/>
    <w:rsid w:val="0061180A"/>
    <w:rsid w:val="00626EB6"/>
    <w:rsid w:val="00655D03"/>
    <w:rsid w:val="00675326"/>
    <w:rsid w:val="00681200"/>
    <w:rsid w:val="00683388"/>
    <w:rsid w:val="00683F84"/>
    <w:rsid w:val="006A6A81"/>
    <w:rsid w:val="006A7F29"/>
    <w:rsid w:val="006B00FB"/>
    <w:rsid w:val="006F7393"/>
    <w:rsid w:val="0070138A"/>
    <w:rsid w:val="0070224F"/>
    <w:rsid w:val="007115F7"/>
    <w:rsid w:val="00760375"/>
    <w:rsid w:val="007740FF"/>
    <w:rsid w:val="00785689"/>
    <w:rsid w:val="0079173A"/>
    <w:rsid w:val="0079754B"/>
    <w:rsid w:val="007A1E6D"/>
    <w:rsid w:val="007B0EB2"/>
    <w:rsid w:val="00810B6F"/>
    <w:rsid w:val="00822CE0"/>
    <w:rsid w:val="00841AB1"/>
    <w:rsid w:val="008C68F1"/>
    <w:rsid w:val="00921803"/>
    <w:rsid w:val="00926503"/>
    <w:rsid w:val="009726D8"/>
    <w:rsid w:val="0097691D"/>
    <w:rsid w:val="009D7308"/>
    <w:rsid w:val="009F76DB"/>
    <w:rsid w:val="00A32C3B"/>
    <w:rsid w:val="00A45F4F"/>
    <w:rsid w:val="00A600A9"/>
    <w:rsid w:val="00A6225F"/>
    <w:rsid w:val="00AA55B7"/>
    <w:rsid w:val="00AA5B9E"/>
    <w:rsid w:val="00AA5D4C"/>
    <w:rsid w:val="00AB2407"/>
    <w:rsid w:val="00AB53DF"/>
    <w:rsid w:val="00B0643B"/>
    <w:rsid w:val="00B07E5C"/>
    <w:rsid w:val="00B811F7"/>
    <w:rsid w:val="00B96CCE"/>
    <w:rsid w:val="00BA5DC6"/>
    <w:rsid w:val="00BA6196"/>
    <w:rsid w:val="00BC6D8C"/>
    <w:rsid w:val="00C34006"/>
    <w:rsid w:val="00C36B4C"/>
    <w:rsid w:val="00C40CA5"/>
    <w:rsid w:val="00C426B1"/>
    <w:rsid w:val="00C66160"/>
    <w:rsid w:val="00C721AC"/>
    <w:rsid w:val="00C90D6A"/>
    <w:rsid w:val="00C90EC8"/>
    <w:rsid w:val="00CA247E"/>
    <w:rsid w:val="00CA2A13"/>
    <w:rsid w:val="00CA6D21"/>
    <w:rsid w:val="00CC4FC4"/>
    <w:rsid w:val="00CC72B6"/>
    <w:rsid w:val="00CE4A7D"/>
    <w:rsid w:val="00CE790B"/>
    <w:rsid w:val="00CF1E77"/>
    <w:rsid w:val="00D0218D"/>
    <w:rsid w:val="00D060D6"/>
    <w:rsid w:val="00D25FB5"/>
    <w:rsid w:val="00D44223"/>
    <w:rsid w:val="00D9178B"/>
    <w:rsid w:val="00DA2529"/>
    <w:rsid w:val="00DB130A"/>
    <w:rsid w:val="00DB2EBB"/>
    <w:rsid w:val="00DB4C3A"/>
    <w:rsid w:val="00DC10A1"/>
    <w:rsid w:val="00DC655F"/>
    <w:rsid w:val="00DD0B59"/>
    <w:rsid w:val="00DD7EBD"/>
    <w:rsid w:val="00DE3D17"/>
    <w:rsid w:val="00DF62B6"/>
    <w:rsid w:val="00DF7A48"/>
    <w:rsid w:val="00E07225"/>
    <w:rsid w:val="00E5409F"/>
    <w:rsid w:val="00E74002"/>
    <w:rsid w:val="00EE6488"/>
    <w:rsid w:val="00EF145B"/>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22D376C-EDAC-4E10-BA21-226D220E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odyText">
    <w:name w:val="Body Text"/>
    <w:basedOn w:val="Normal"/>
    <w:link w:val="BodyTextChar"/>
    <w:rsid w:val="006A7F29"/>
    <w:pPr>
      <w:spacing w:after="120"/>
    </w:pPr>
  </w:style>
  <w:style w:type="character" w:customStyle="1" w:styleId="BodyTextChar">
    <w:name w:val="Body Text Char"/>
    <w:basedOn w:val="DefaultParagraphFont"/>
    <w:link w:val="BodyText"/>
    <w:rsid w:val="006A7F29"/>
    <w:rPr>
      <w:snapToGrid w:val="0"/>
      <w:kern w:val="28"/>
      <w:sz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rsid w:val="006A7F29"/>
  </w:style>
  <w:style w:type="paragraph" w:styleId="BalloonText">
    <w:name w:val="Balloon Text"/>
    <w:basedOn w:val="Normal"/>
    <w:link w:val="BalloonTextChar"/>
    <w:rsid w:val="00A6225F"/>
    <w:rPr>
      <w:rFonts w:ascii="Segoe UI" w:hAnsi="Segoe UI" w:cs="Segoe UI"/>
      <w:sz w:val="18"/>
      <w:szCs w:val="18"/>
    </w:rPr>
  </w:style>
  <w:style w:type="character" w:customStyle="1" w:styleId="BalloonTextChar">
    <w:name w:val="Balloon Text Char"/>
    <w:basedOn w:val="DefaultParagraphFont"/>
    <w:link w:val="BalloonText"/>
    <w:rsid w:val="00A6225F"/>
    <w:rPr>
      <w:rFonts w:ascii="Segoe UI" w:hAnsi="Segoe UI" w:cs="Segoe UI"/>
      <w:snapToGrid w:val="0"/>
      <w:kern w:val="28"/>
      <w:sz w:val="18"/>
      <w:szCs w:val="18"/>
    </w:rPr>
  </w:style>
  <w:style w:type="character" w:styleId="CommentReference">
    <w:name w:val="annotation reference"/>
    <w:basedOn w:val="DefaultParagraphFont"/>
    <w:rsid w:val="00A6225F"/>
    <w:rPr>
      <w:sz w:val="16"/>
      <w:szCs w:val="16"/>
    </w:rPr>
  </w:style>
  <w:style w:type="paragraph" w:styleId="CommentText">
    <w:name w:val="annotation text"/>
    <w:basedOn w:val="Normal"/>
    <w:link w:val="CommentTextChar"/>
    <w:rsid w:val="00A6225F"/>
    <w:rPr>
      <w:sz w:val="20"/>
    </w:rPr>
  </w:style>
  <w:style w:type="character" w:customStyle="1" w:styleId="CommentTextChar">
    <w:name w:val="Comment Text Char"/>
    <w:basedOn w:val="DefaultParagraphFont"/>
    <w:link w:val="CommentText"/>
    <w:rsid w:val="00A6225F"/>
    <w:rPr>
      <w:snapToGrid w:val="0"/>
      <w:kern w:val="28"/>
    </w:rPr>
  </w:style>
  <w:style w:type="paragraph" w:styleId="CommentSubject">
    <w:name w:val="annotation subject"/>
    <w:basedOn w:val="CommentText"/>
    <w:next w:val="CommentText"/>
    <w:link w:val="CommentSubjectChar"/>
    <w:rsid w:val="00A6225F"/>
    <w:rPr>
      <w:b/>
      <w:bCs/>
    </w:rPr>
  </w:style>
  <w:style w:type="character" w:customStyle="1" w:styleId="CommentSubjectChar">
    <w:name w:val="Comment Subject Char"/>
    <w:basedOn w:val="CommentTextChar"/>
    <w:link w:val="CommentSubject"/>
    <w:rsid w:val="00A6225F"/>
    <w:rPr>
      <w:b/>
      <w:bCs/>
      <w:snapToGrid w:val="0"/>
      <w:kern w:val="28"/>
    </w:rPr>
  </w:style>
  <w:style w:type="paragraph" w:styleId="Revision">
    <w:name w:val="Revision"/>
    <w:hidden/>
    <w:uiPriority w:val="99"/>
    <w:semiHidden/>
    <w:rsid w:val="00CC4FC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