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6738D" w:rsidP="00921803">
      <w:pPr>
        <w:pStyle w:val="StyleBoldCentered"/>
        <w:rPr>
          <w:caps w:val="0"/>
        </w:rPr>
      </w:pPr>
      <w:r>
        <w:rPr>
          <w:caps w:val="0"/>
        </w:rPr>
        <w:t>Before the</w:t>
      </w:r>
    </w:p>
    <w:p w:rsidR="00921803" w:rsidRPr="00B6738D" w:rsidP="00921803">
      <w:pPr>
        <w:pStyle w:val="StyleBoldCentered"/>
        <w:rPr>
          <w:caps w:val="0"/>
        </w:rPr>
      </w:pPr>
      <w:r w:rsidRPr="00B6738D">
        <w:rPr>
          <w:caps w:val="0"/>
        </w:rPr>
        <w:t>Federal Commun</w:t>
      </w:r>
      <w:bookmarkStart w:id="0" w:name="_GoBack"/>
      <w:bookmarkEnd w:id="0"/>
      <w:r w:rsidRPr="00B6738D">
        <w:rPr>
          <w:caps w:val="0"/>
        </w:rPr>
        <w:t>ications Commission</w:t>
      </w:r>
    </w:p>
    <w:p w:rsidR="004C2EE3" w:rsidRPr="00B6738D" w:rsidP="00096D8C">
      <w:pPr>
        <w:pStyle w:val="StyleBoldCentered"/>
        <w:rPr>
          <w:caps w:val="0"/>
        </w:rPr>
      </w:pPr>
      <w:r w:rsidRPr="00B6738D">
        <w:rPr>
          <w:caps w:val="0"/>
        </w:rPr>
        <w:t>Washington, D.C. 20554</w:t>
      </w:r>
    </w:p>
    <w:p w:rsidR="004C2EE3" w:rsidRPr="00B6738D" w:rsidP="0070224F"/>
    <w:p w:rsidR="004C2EE3" w:rsidRPr="00B6738D"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Swarm Technologies</w:t>
            </w:r>
            <w:r w:rsidR="00FF34AC">
              <w:rPr>
                <w:spacing w:val="-2"/>
              </w:rPr>
              <w:t>,</w:t>
            </w:r>
            <w:r>
              <w:rPr>
                <w:spacing w:val="-2"/>
              </w:rPr>
              <w:t xml:space="preserve"> Inc.</w:t>
            </w:r>
          </w:p>
          <w:p w:rsidR="00117446" w:rsidP="007115F7">
            <w:pPr>
              <w:tabs>
                <w:tab w:val="center" w:pos="4680"/>
              </w:tabs>
              <w:suppressAutoHyphens/>
              <w:rPr>
                <w:spacing w:val="-2"/>
              </w:rPr>
            </w:pPr>
          </w:p>
          <w:p w:rsidR="00117446" w:rsidP="007115F7">
            <w:pPr>
              <w:tabs>
                <w:tab w:val="center" w:pos="4680"/>
              </w:tabs>
              <w:suppressAutoHyphens/>
              <w:rPr>
                <w:spacing w:val="-2"/>
              </w:rPr>
            </w:pPr>
            <w:r>
              <w:rPr>
                <w:spacing w:val="-2"/>
              </w:rPr>
              <w:t xml:space="preserve">Application for Authority to </w:t>
            </w:r>
            <w:r w:rsidR="00BB49D3">
              <w:rPr>
                <w:spacing w:val="-2"/>
              </w:rPr>
              <w:t>Deploy</w:t>
            </w:r>
            <w:r>
              <w:rPr>
                <w:spacing w:val="-2"/>
              </w:rPr>
              <w:t xml:space="preserve"> and Operate</w:t>
            </w:r>
          </w:p>
          <w:p w:rsidR="00117446" w:rsidP="007115F7">
            <w:pPr>
              <w:tabs>
                <w:tab w:val="center" w:pos="4680"/>
              </w:tabs>
              <w:suppressAutoHyphens/>
              <w:rPr>
                <w:spacing w:val="-2"/>
              </w:rPr>
            </w:pPr>
            <w:r>
              <w:rPr>
                <w:spacing w:val="-2"/>
              </w:rPr>
              <w:t>a Non-Voice, Non-Geostationary Lower Earth</w:t>
            </w:r>
          </w:p>
          <w:p w:rsidR="00117446" w:rsidRPr="007115F7" w:rsidP="007115F7">
            <w:pPr>
              <w:tabs>
                <w:tab w:val="center" w:pos="4680"/>
              </w:tabs>
              <w:suppressAutoHyphens/>
              <w:rPr>
                <w:spacing w:val="-2"/>
              </w:rPr>
            </w:pPr>
            <w:r>
              <w:rPr>
                <w:spacing w:val="-2"/>
              </w:rPr>
              <w:t>Orbit Satellite System in the Mobile-Satellite Services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p>
        </w:tc>
        <w:tc>
          <w:tcPr>
            <w:tcW w:w="4248" w:type="dxa"/>
          </w:tcPr>
          <w:p w:rsidR="000C2A78" w:rsidP="00BB49D3">
            <w:pPr>
              <w:tabs>
                <w:tab w:val="center" w:pos="4680"/>
              </w:tabs>
              <w:suppressAutoHyphens/>
              <w:rPr>
                <w:spacing w:val="-2"/>
              </w:rPr>
            </w:pPr>
          </w:p>
          <w:p w:rsidR="000C2A78" w:rsidP="00BB49D3">
            <w:pPr>
              <w:tabs>
                <w:tab w:val="center" w:pos="4680"/>
              </w:tabs>
              <w:suppressAutoHyphens/>
              <w:rPr>
                <w:spacing w:val="-2"/>
              </w:rPr>
            </w:pPr>
          </w:p>
          <w:p w:rsidR="00BB49D3" w:rsidP="00BB49D3">
            <w:pPr>
              <w:tabs>
                <w:tab w:val="center" w:pos="4680"/>
              </w:tabs>
              <w:suppressAutoHyphens/>
              <w:rPr>
                <w:spacing w:val="-2"/>
              </w:rPr>
            </w:pPr>
            <w:r>
              <w:rPr>
                <w:spacing w:val="-2"/>
              </w:rPr>
              <w:t>IBFS File No. SAT-LOA-20181221-00094</w:t>
            </w:r>
          </w:p>
          <w:p w:rsidR="004C2EE3" w:rsidP="00BB49D3">
            <w:pPr>
              <w:tabs>
                <w:tab w:val="center" w:pos="4680"/>
              </w:tabs>
              <w:suppressAutoHyphens/>
              <w:rPr>
                <w:spacing w:val="-2"/>
              </w:rPr>
            </w:pPr>
            <w:r>
              <w:rPr>
                <w:spacing w:val="-2"/>
              </w:rPr>
              <w:t>Call Sign: S3041</w:t>
            </w:r>
          </w:p>
          <w:p w:rsidR="00117446">
            <w:pPr>
              <w:tabs>
                <w:tab w:val="center" w:pos="4680"/>
              </w:tabs>
              <w:suppressAutoHyphens/>
              <w:rPr>
                <w:spacing w:val="-2"/>
              </w:rPr>
            </w:pPr>
          </w:p>
          <w:p w:rsidR="00117446">
            <w:pPr>
              <w:tabs>
                <w:tab w:val="center" w:pos="4680"/>
              </w:tabs>
              <w:suppressAutoHyphens/>
              <w:rPr>
                <w:spacing w:val="-2"/>
              </w:rPr>
            </w:pPr>
          </w:p>
          <w:p w:rsidR="00117446">
            <w:pPr>
              <w:tabs>
                <w:tab w:val="center" w:pos="4680"/>
              </w:tabs>
              <w:suppressAutoHyphens/>
              <w:rPr>
                <w:spacing w:val="-2"/>
              </w:rPr>
            </w:pPr>
          </w:p>
        </w:tc>
      </w:tr>
    </w:tbl>
    <w:p w:rsidR="004C2EE3" w:rsidP="0070224F"/>
    <w:p w:rsidR="00841AB1" w:rsidP="00F021FA">
      <w:pPr>
        <w:pStyle w:val="StyleBoldCentered"/>
      </w:pPr>
      <w:r>
        <w:t>MEMORANDUM OPINION</w:t>
      </w:r>
      <w:r w:rsidR="00C6395F">
        <w:t xml:space="preserve">, </w:t>
      </w:r>
      <w:r>
        <w:t xml:space="preserve">order </w:t>
      </w:r>
      <w:r w:rsidR="00C6395F">
        <w:t>and authorization</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830745">
        <w:rPr>
          <w:b/>
          <w:spacing w:val="-2"/>
        </w:rPr>
        <w:t>October 17,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30745">
        <w:rPr>
          <w:b/>
          <w:spacing w:val="-2"/>
        </w:rPr>
        <w:t>October 17, 2019</w:t>
      </w:r>
    </w:p>
    <w:p w:rsidR="00B87A04"/>
    <w:p w:rsidR="004C2EE3" w:rsidRPr="00867D64">
      <w:pPr>
        <w:rPr>
          <w:color w:val="7030A0"/>
          <w:spacing w:val="-2"/>
        </w:rPr>
      </w:pPr>
      <w:r>
        <w:t xml:space="preserve">By </w:t>
      </w:r>
      <w:r w:rsidR="004E4A22">
        <w:t>the</w:t>
      </w:r>
      <w:r w:rsidR="002A2D2E">
        <w:t xml:space="preserve"> </w:t>
      </w:r>
      <w:r w:rsidR="00117446">
        <w:rPr>
          <w:spacing w:val="-2"/>
        </w:rPr>
        <w:t xml:space="preserve">Chief, </w:t>
      </w:r>
      <w:r w:rsidR="00D77A3D">
        <w:rPr>
          <w:spacing w:val="-2"/>
        </w:rPr>
        <w:t xml:space="preserve">Satellite Division, </w:t>
      </w:r>
      <w:r w:rsidR="00117446">
        <w:rPr>
          <w:spacing w:val="-2"/>
        </w:rPr>
        <w:t>International Bureau</w:t>
      </w:r>
      <w:r>
        <w:rPr>
          <w:spacing w:val="-2"/>
        </w:rPr>
        <w:t>:</w:t>
      </w:r>
    </w:p>
    <w:p w:rsidR="00822CE0">
      <w:pPr>
        <w:rPr>
          <w:spacing w:val="-2"/>
        </w:rPr>
      </w:pPr>
    </w:p>
    <w:p w:rsidR="00412FC5" w:rsidP="00186DFC">
      <w:pPr>
        <w:pStyle w:val="Heading1"/>
      </w:pPr>
      <w:r>
        <w:t xml:space="preserve">Introduction </w:t>
      </w:r>
    </w:p>
    <w:p w:rsidR="00135AAA" w:rsidP="00B6738D">
      <w:pPr>
        <w:pStyle w:val="ParaNum"/>
        <w:widowControl/>
        <w:tabs>
          <w:tab w:val="clear" w:pos="1080"/>
          <w:tab w:val="num" w:pos="1440"/>
        </w:tabs>
      </w:pPr>
      <w:r>
        <w:t>In this Memorandum Op</w:t>
      </w:r>
      <w:r w:rsidR="009B3D57">
        <w:t>inion</w:t>
      </w:r>
      <w:r>
        <w:t>, Order and Authorization we grant</w:t>
      </w:r>
      <w:r w:rsidR="009B3D57">
        <w:t>, with conditions,</w:t>
      </w:r>
      <w:r>
        <w:t xml:space="preserve"> the application of Swarm Technologies</w:t>
      </w:r>
      <w:r w:rsidR="00FF34AC">
        <w:t>,</w:t>
      </w:r>
      <w:r>
        <w:t xml:space="preserve"> Inc. (Swarm) to construct, </w:t>
      </w:r>
      <w:r w:rsidR="00BB49D3">
        <w:t>deploy</w:t>
      </w:r>
      <w:r>
        <w:t>, and operate a constellation of 150 technically identical non-voice, non-geostationary (NVNG) satellites in the low earth orbit (LEO) for the provision of mobile-satellite services (MSS).</w:t>
      </w:r>
      <w:r>
        <w:rPr>
          <w:rStyle w:val="FootnoteReference"/>
          <w:snapToGrid/>
          <w:kern w:val="0"/>
          <w:szCs w:val="24"/>
        </w:rPr>
        <w:footnoteReference w:id="3"/>
      </w:r>
      <w:r>
        <w:t xml:space="preserve">  Swarm proposes to operate the satellites using</w:t>
      </w:r>
      <w:r w:rsidR="009B3D57">
        <w:t xml:space="preserve"> frequencies in </w:t>
      </w:r>
      <w:r w:rsidR="00894D1A">
        <w:t xml:space="preserve">portions of the </w:t>
      </w:r>
      <w:r w:rsidR="009B3D57">
        <w:t>1</w:t>
      </w:r>
      <w:r>
        <w:t xml:space="preserve">37-138 MHz (space-to-Earth) and 148-149.95 MHz </w:t>
      </w:r>
      <w:r w:rsidR="008566B0">
        <w:t xml:space="preserve">(Earth-to-space) </w:t>
      </w:r>
      <w:r>
        <w:t>bands</w:t>
      </w:r>
      <w:r w:rsidR="00BB49D3">
        <w:t>.</w:t>
      </w:r>
      <w:r>
        <w:t xml:space="preserve"> </w:t>
      </w:r>
      <w:r w:rsidR="0012284F">
        <w:t xml:space="preserve"> </w:t>
      </w:r>
      <w:r w:rsidR="009B3D57">
        <w:t>In authorizing Swarm’s application, we address a Petition to Dismiss, Deny</w:t>
      </w:r>
      <w:r w:rsidR="000C0408">
        <w:t>,</w:t>
      </w:r>
      <w:r w:rsidR="009B3D57">
        <w:t xml:space="preserve"> or Hold in Abeyance</w:t>
      </w:r>
      <w:r>
        <w:t xml:space="preserve"> filed</w:t>
      </w:r>
      <w:r w:rsidR="009B3D57">
        <w:t xml:space="preserve"> by O</w:t>
      </w:r>
      <w:r w:rsidR="00583C83">
        <w:t>RBCOMM</w:t>
      </w:r>
      <w:r w:rsidR="009B3D57">
        <w:t xml:space="preserve"> License Corp. </w:t>
      </w:r>
      <w:r w:rsidR="00DB738E">
        <w:t xml:space="preserve"> </w:t>
      </w:r>
      <w:r w:rsidR="009B3D57">
        <w:t xml:space="preserve">We also address comments filed by Space Exploration Holdings, LLC and note numerous comments filed </w:t>
      </w:r>
      <w:r w:rsidR="005E331F">
        <w:t>i</w:t>
      </w:r>
      <w:r w:rsidR="009B3D57">
        <w:t xml:space="preserve">n support of Swarm’s application. </w:t>
      </w:r>
    </w:p>
    <w:p w:rsidR="0079419B" w:rsidP="00135AAA">
      <w:pPr>
        <w:pStyle w:val="Heading1"/>
      </w:pPr>
      <w:r>
        <w:t>BACKGROUND</w:t>
      </w:r>
    </w:p>
    <w:p w:rsidR="00D24113" w:rsidP="00B6738D">
      <w:pPr>
        <w:pStyle w:val="ParaNum"/>
        <w:widowControl/>
        <w:tabs>
          <w:tab w:val="clear" w:pos="1080"/>
          <w:tab w:val="num" w:pos="1440"/>
        </w:tabs>
      </w:pPr>
      <w:r w:rsidRPr="0059374F">
        <w:rPr>
          <w:i/>
        </w:rPr>
        <w:t>Application</w:t>
      </w:r>
      <w:r>
        <w:t xml:space="preserve">. </w:t>
      </w:r>
      <w:r w:rsidR="00E26D00">
        <w:t xml:space="preserve"> </w:t>
      </w:r>
      <w:r w:rsidR="0079419B">
        <w:t xml:space="preserve">Swarm requests authority to deploy a </w:t>
      </w:r>
      <w:r w:rsidR="005E331F">
        <w:t xml:space="preserve">NVNG MSS </w:t>
      </w:r>
      <w:r w:rsidR="0079419B">
        <w:t xml:space="preserve">constellation of </w:t>
      </w:r>
      <w:r w:rsidR="00135AAA">
        <w:t>small two-way communications satellites using Very High Frequency (VHF) bands</w:t>
      </w:r>
      <w:r w:rsidR="00715D2E">
        <w:t xml:space="preserve"> for global services, including the conterminous United States, Alaska, Hawaii, and U.S. Territories.</w:t>
      </w:r>
      <w:r>
        <w:rPr>
          <w:rStyle w:val="FootnoteReference"/>
        </w:rPr>
        <w:footnoteReference w:id="4"/>
      </w:r>
      <w:r w:rsidR="00135AAA">
        <w:t xml:space="preserve"> </w:t>
      </w:r>
      <w:r w:rsidR="00186DFC">
        <w:t xml:space="preserve"> </w:t>
      </w:r>
      <w:r w:rsidR="00135AAA">
        <w:t>Each satellite has a total mass ranging from 0.31 to 0.45 kilograms, and dimensions of 11x11x.2.8 cm, excluding the deployable antennas.</w:t>
      </w:r>
      <w:r>
        <w:rPr>
          <w:rStyle w:val="FootnoteReference"/>
        </w:rPr>
        <w:footnoteReference w:id="5"/>
      </w:r>
      <w:r w:rsidR="00DB738E">
        <w:t xml:space="preserve"> </w:t>
      </w:r>
      <w:r w:rsidR="00135AAA">
        <w:t xml:space="preserve"> </w:t>
      </w:r>
      <w:r w:rsidR="00715D2E">
        <w:t>Swarm proposes</w:t>
      </w:r>
      <w:r w:rsidR="00BB49D3">
        <w:t xml:space="preserve"> use of inclinations ranging from equatorial to polar, </w:t>
      </w:r>
      <w:r w:rsidR="00715D2E">
        <w:t>deployment altitudes ranging from 400-550 k</w:t>
      </w:r>
      <w:r w:rsidR="00943811">
        <w:t>ilometers</w:t>
      </w:r>
      <w:r w:rsidR="00715D2E">
        <w:t>, and operational altitudes ranging from 300-550 kilometers.</w:t>
      </w:r>
      <w:r>
        <w:rPr>
          <w:rStyle w:val="FootnoteReference"/>
        </w:rPr>
        <w:footnoteReference w:id="6"/>
      </w:r>
      <w:r>
        <w:t xml:space="preserve">  Swarm </w:t>
      </w:r>
      <w:r>
        <w:t>proposes to operate in portions of the 137-138 MHz and 148-149.95 MHz band</w:t>
      </w:r>
      <w:r w:rsidR="00633FC6">
        <w:t xml:space="preserve"> that are not assigned to ORBCOMM, a current NVNG MSS licensee.</w:t>
      </w:r>
      <w:r>
        <w:t xml:space="preserve"> </w:t>
      </w:r>
    </w:p>
    <w:p w:rsidR="0079419B" w:rsidP="00B6738D">
      <w:pPr>
        <w:pStyle w:val="ParaNum"/>
        <w:widowControl/>
        <w:tabs>
          <w:tab w:val="clear" w:pos="1080"/>
          <w:tab w:val="num" w:pos="1440"/>
        </w:tabs>
      </w:pPr>
      <w:r w:rsidRPr="0059374F">
        <w:rPr>
          <w:i/>
        </w:rPr>
        <w:t>Responses to Public Notice</w:t>
      </w:r>
      <w:r>
        <w:t xml:space="preserve">. </w:t>
      </w:r>
      <w:r w:rsidR="00E26D00">
        <w:t xml:space="preserve"> </w:t>
      </w:r>
      <w:r w:rsidR="00D24113">
        <w:t>Swarm’s application was placed on public notice</w:t>
      </w:r>
      <w:r w:rsidR="00556D17">
        <w:t xml:space="preserve"> on March 1, 2019</w:t>
      </w:r>
      <w:r w:rsidR="00D24113">
        <w:t>.</w:t>
      </w:r>
      <w:r>
        <w:rPr>
          <w:rStyle w:val="FootnoteReference"/>
        </w:rPr>
        <w:footnoteReference w:id="7"/>
      </w:r>
      <w:r w:rsidR="000C0408">
        <w:t xml:space="preserve">  </w:t>
      </w:r>
      <w:r w:rsidR="008127D8">
        <w:t>In response, O</w:t>
      </w:r>
      <w:r w:rsidR="006772B2">
        <w:t>RBCOMM</w:t>
      </w:r>
      <w:r w:rsidR="008127D8">
        <w:t xml:space="preserve"> </w:t>
      </w:r>
      <w:r w:rsidR="00B860F3">
        <w:t>fi</w:t>
      </w:r>
      <w:r w:rsidR="006772B2">
        <w:t>led a Petition to Dismiss, Deny, or Hold in Abeyance.</w:t>
      </w:r>
      <w:r>
        <w:rPr>
          <w:rStyle w:val="FootnoteReference"/>
        </w:rPr>
        <w:footnoteReference w:id="8"/>
      </w:r>
      <w:r w:rsidR="00B45393">
        <w:t xml:space="preserve">  ORBCOMM alleges </w:t>
      </w:r>
      <w:r w:rsidR="001717C5">
        <w:t xml:space="preserve">that Swarm’s </w:t>
      </w:r>
      <w:r w:rsidR="00B45393">
        <w:t xml:space="preserve">proposal does not conform to the Commission’s rules for NVNG MSS.  </w:t>
      </w:r>
      <w:r w:rsidR="00FD7C25">
        <w:t xml:space="preserve">In addition, </w:t>
      </w:r>
      <w:r w:rsidR="002235E3">
        <w:t>ORBCOMM claims that Swarm</w:t>
      </w:r>
      <w:r w:rsidR="001717C5">
        <w:t xml:space="preserve"> has </w:t>
      </w:r>
      <w:r w:rsidR="0012284F">
        <w:t>made no effort</w:t>
      </w:r>
      <w:r w:rsidR="001717C5">
        <w:t xml:space="preserve"> to coordinate its system</w:t>
      </w:r>
      <w:r w:rsidR="00830EFD">
        <w:t xml:space="preserve"> </w:t>
      </w:r>
      <w:r w:rsidR="001717C5">
        <w:t>and will interfere with ORBCOMM</w:t>
      </w:r>
      <w:r w:rsidR="004775E5">
        <w:t>’s system.</w:t>
      </w:r>
      <w:r>
        <w:rPr>
          <w:rStyle w:val="FootnoteReference"/>
        </w:rPr>
        <w:footnoteReference w:id="9"/>
      </w:r>
      <w:r w:rsidR="002235E3">
        <w:t xml:space="preserve">  ORBCOMM </w:t>
      </w:r>
      <w:r w:rsidR="00272981">
        <w:t xml:space="preserve">also </w:t>
      </w:r>
      <w:r w:rsidR="002235E3">
        <w:t xml:space="preserve">asserts that </w:t>
      </w:r>
      <w:r w:rsidR="00E07279">
        <w:t>it has primary interference protect</w:t>
      </w:r>
      <w:r w:rsidR="00830EFD">
        <w:t>ion</w:t>
      </w:r>
      <w:r w:rsidR="00E07279">
        <w:t xml:space="preserve"> rights throughout the entire 148-150.05 MHz ban</w:t>
      </w:r>
      <w:r w:rsidR="00633FC6">
        <w:t>d</w:t>
      </w:r>
      <w:r w:rsidR="00E07279">
        <w:t xml:space="preserve">, and therefore Swarm’s claim that it will not be sharing </w:t>
      </w:r>
      <w:r w:rsidR="002235E3">
        <w:t>any frequencies with ORBCOM</w:t>
      </w:r>
      <w:r w:rsidR="00E07279">
        <w:t>M is erroneous.</w:t>
      </w:r>
      <w:r>
        <w:rPr>
          <w:rStyle w:val="FootnoteReference"/>
        </w:rPr>
        <w:footnoteReference w:id="10"/>
      </w:r>
    </w:p>
    <w:p w:rsidR="00124B26" w:rsidP="00B6738D">
      <w:pPr>
        <w:pStyle w:val="ParaNum"/>
        <w:widowControl/>
        <w:tabs>
          <w:tab w:val="clear" w:pos="1080"/>
          <w:tab w:val="num" w:pos="1440"/>
        </w:tabs>
      </w:pPr>
      <w:r>
        <w:t xml:space="preserve">Space Exploration Holdings, LLC </w:t>
      </w:r>
      <w:r w:rsidR="00FD7C25">
        <w:t xml:space="preserve">(SpaceX) </w:t>
      </w:r>
      <w:r>
        <w:t xml:space="preserve">filed comments </w:t>
      </w:r>
      <w:r w:rsidR="00055A99">
        <w:t xml:space="preserve">to Swarm’s application, particularly addressing concerns with Swarm’s </w:t>
      </w:r>
      <w:r w:rsidR="00474280">
        <w:t>o</w:t>
      </w:r>
      <w:r w:rsidR="00FD7C25">
        <w:t>rbital debris mitigation plan.</w:t>
      </w:r>
      <w:r>
        <w:rPr>
          <w:rStyle w:val="FootnoteReference"/>
        </w:rPr>
        <w:footnoteReference w:id="11"/>
      </w:r>
      <w:r w:rsidR="00FD7C25">
        <w:t xml:space="preserve">  </w:t>
      </w:r>
      <w:r>
        <w:t xml:space="preserve">In addition, over 20 entities filed letters in support of granting Swarm’s application. </w:t>
      </w:r>
      <w:r w:rsidR="00987915">
        <w:t xml:space="preserve"> These </w:t>
      </w:r>
      <w:r w:rsidR="00DC4B96">
        <w:t>entities</w:t>
      </w:r>
      <w:r w:rsidR="00830EFD">
        <w:t xml:space="preserve"> plan to </w:t>
      </w:r>
      <w:r w:rsidR="00DC4B96">
        <w:t xml:space="preserve">utilize Swarm’s network to provide a variety of </w:t>
      </w:r>
      <w:r w:rsidR="00830EFD">
        <w:t xml:space="preserve">communications </w:t>
      </w:r>
      <w:r w:rsidR="00DC4B96">
        <w:t>services in</w:t>
      </w:r>
      <w:r w:rsidR="00830EFD">
        <w:t xml:space="preserve"> support of </w:t>
      </w:r>
      <w:r w:rsidR="00DC4B96">
        <w:t>agribusiness, transportation, and academic and scientific research.</w:t>
      </w:r>
      <w:r>
        <w:rPr>
          <w:rStyle w:val="FootnoteReference"/>
        </w:rPr>
        <w:footnoteReference w:id="12"/>
      </w:r>
      <w:r w:rsidR="00DC4B96">
        <w:t xml:space="preserve"> </w:t>
      </w:r>
    </w:p>
    <w:p w:rsidR="00272981" w:rsidP="00272981">
      <w:pPr>
        <w:pStyle w:val="Heading1"/>
      </w:pPr>
      <w:r>
        <w:t>DISCussion</w:t>
      </w:r>
    </w:p>
    <w:p w:rsidR="0064723B" w:rsidP="00B6738D">
      <w:pPr>
        <w:pStyle w:val="ParaNum"/>
        <w:widowControl/>
        <w:tabs>
          <w:tab w:val="clear" w:pos="1080"/>
          <w:tab w:val="num" w:pos="1440"/>
        </w:tabs>
      </w:pPr>
      <w:r>
        <w:t xml:space="preserve">After review of the record, we conclude that grant of Swarm’s application, as conditioned, will serve the public interest.  Below we discuss the various issues raised by Swarm’s application and ORBCOMM’s opposition, and conditions imposed on Swarm’s authorization. </w:t>
      </w:r>
      <w:r w:rsidR="00E26D00">
        <w:t xml:space="preserve"> </w:t>
      </w:r>
      <w:r>
        <w:t>Where appropriate, we defer matters</w:t>
      </w:r>
      <w:r w:rsidR="00702623">
        <w:t xml:space="preserve"> pending the outcome</w:t>
      </w:r>
      <w:r w:rsidR="00EA243B">
        <w:t xml:space="preserve"> of applicable rulemaking proceedings</w:t>
      </w:r>
      <w:r>
        <w:t xml:space="preserve">. </w:t>
      </w:r>
    </w:p>
    <w:p w:rsidR="009818AE" w:rsidRPr="00842CAE" w:rsidP="00B6738D">
      <w:pPr>
        <w:pStyle w:val="ParaNum"/>
        <w:tabs>
          <w:tab w:val="clear" w:pos="1080"/>
        </w:tabs>
      </w:pPr>
      <w:r w:rsidRPr="00842CAE">
        <w:rPr>
          <w:i/>
        </w:rPr>
        <w:t xml:space="preserve">137-138 MHz bands. </w:t>
      </w:r>
      <w:r w:rsidRPr="00B24B65" w:rsidR="00C803F5">
        <w:t xml:space="preserve"> </w:t>
      </w:r>
      <w:r w:rsidR="00842CAE">
        <w:t>U</w:t>
      </w:r>
      <w:r w:rsidRPr="00B24B65" w:rsidR="00C803F5">
        <w:t>nder the U.S. Table of Frequency Allocations, the</w:t>
      </w:r>
      <w:r w:rsidRPr="00B24B65" w:rsidR="00272981">
        <w:t xml:space="preserve"> 137-138 MHz band is allocated for downlinks in Federal and non-Federal </w:t>
      </w:r>
      <w:r w:rsidRPr="00B24B65" w:rsidR="00C803F5">
        <w:t xml:space="preserve">uses </w:t>
      </w:r>
      <w:r w:rsidRPr="00842CAE" w:rsidR="00272981">
        <w:rPr>
          <w:snapToGrid/>
          <w:color w:val="000000"/>
          <w:kern w:val="0"/>
          <w:szCs w:val="24"/>
        </w:rPr>
        <w:t>on a co-primary basis to the space operation service (space-to-Earth), meteorological satellite service (space-to-Earth), and the space research service (space-to-Earth).</w:t>
      </w:r>
      <w:r w:rsidRPr="00842CAE">
        <w:rPr>
          <w:snapToGrid/>
          <w:color w:val="000000"/>
          <w:kern w:val="0"/>
          <w:szCs w:val="24"/>
        </w:rPr>
        <w:t xml:space="preserve"> </w:t>
      </w:r>
      <w:r w:rsidRPr="00842CAE" w:rsidR="00DB738E">
        <w:rPr>
          <w:snapToGrid/>
          <w:color w:val="000000"/>
          <w:kern w:val="0"/>
          <w:szCs w:val="24"/>
        </w:rPr>
        <w:t xml:space="preserve"> </w:t>
      </w:r>
      <w:r w:rsidRPr="00842CAE" w:rsidR="00EC623F">
        <w:rPr>
          <w:color w:val="212121"/>
          <w:sz w:val="21"/>
          <w:szCs w:val="21"/>
        </w:rPr>
        <w:t xml:space="preserve">In addition, </w:t>
      </w:r>
      <w:r w:rsidRPr="00842CAE" w:rsidR="00272981">
        <w:rPr>
          <w:snapToGrid/>
          <w:color w:val="000000"/>
          <w:kern w:val="0"/>
          <w:szCs w:val="24"/>
        </w:rPr>
        <w:t xml:space="preserve">sub-bands </w:t>
      </w:r>
      <w:r w:rsidR="005D1B47">
        <w:rPr>
          <w:snapToGrid/>
          <w:color w:val="000000"/>
          <w:kern w:val="0"/>
          <w:szCs w:val="24"/>
        </w:rPr>
        <w:t>of</w:t>
      </w:r>
      <w:r w:rsidR="008946BE">
        <w:rPr>
          <w:snapToGrid/>
          <w:color w:val="000000"/>
          <w:kern w:val="0"/>
          <w:szCs w:val="24"/>
        </w:rPr>
        <w:t xml:space="preserve"> </w:t>
      </w:r>
      <w:r w:rsidRPr="00842CAE" w:rsidR="00272981">
        <w:rPr>
          <w:snapToGrid/>
          <w:color w:val="000000"/>
          <w:kern w:val="0"/>
          <w:szCs w:val="24"/>
        </w:rPr>
        <w:t xml:space="preserve">the 137-138 MHz band are also allocated to the MSS (space-to-Earth), either on a co-primary or secondary basis, in </w:t>
      </w:r>
      <w:r w:rsidR="00830EFD">
        <w:rPr>
          <w:snapToGrid/>
          <w:color w:val="000000"/>
          <w:kern w:val="0"/>
          <w:szCs w:val="24"/>
        </w:rPr>
        <w:t xml:space="preserve">both </w:t>
      </w:r>
      <w:r w:rsidRPr="00842CAE" w:rsidR="00272981">
        <w:rPr>
          <w:snapToGrid/>
          <w:color w:val="000000"/>
          <w:kern w:val="0"/>
          <w:szCs w:val="24"/>
        </w:rPr>
        <w:t>the Federal and non-Federal Tables, but are limited to</w:t>
      </w:r>
      <w:r w:rsidR="004A669D">
        <w:rPr>
          <w:snapToGrid/>
          <w:color w:val="000000"/>
          <w:kern w:val="0"/>
          <w:szCs w:val="24"/>
        </w:rPr>
        <w:t xml:space="preserve"> </w:t>
      </w:r>
      <w:r w:rsidRPr="00842CAE" w:rsidR="00272981">
        <w:rPr>
          <w:snapToGrid/>
          <w:color w:val="000000"/>
          <w:kern w:val="0"/>
          <w:szCs w:val="24"/>
        </w:rPr>
        <w:t>NVNG satellite systems.</w:t>
      </w:r>
      <w:r w:rsidR="00E16B1E">
        <w:rPr>
          <w:snapToGrid/>
          <w:color w:val="000000"/>
          <w:kern w:val="0"/>
          <w:szCs w:val="24"/>
        </w:rPr>
        <w:t xml:space="preserve">  </w:t>
      </w:r>
      <w:r w:rsidR="00A9761B">
        <w:t>Swarm proposes to use</w:t>
      </w:r>
      <w:r w:rsidR="00FE65A2">
        <w:t xml:space="preserve"> frequencies in th</w:t>
      </w:r>
      <w:r w:rsidR="003028EA">
        <w:t xml:space="preserve">is band </w:t>
      </w:r>
      <w:r w:rsidR="004B2310">
        <w:t>in conformance with the allocation.</w:t>
      </w:r>
      <w:r>
        <w:rPr>
          <w:rStyle w:val="FootnoteReference"/>
        </w:rPr>
        <w:footnoteReference w:id="13"/>
      </w:r>
      <w:r w:rsidR="004B2310">
        <w:t xml:space="preserve">  </w:t>
      </w:r>
      <w:r w:rsidRPr="00842CAE" w:rsidR="004B2310">
        <w:rPr>
          <w:szCs w:val="22"/>
        </w:rPr>
        <w:t>W</w:t>
      </w:r>
      <w:r w:rsidRPr="00842CAE">
        <w:rPr>
          <w:color w:val="212121"/>
          <w:szCs w:val="22"/>
        </w:rPr>
        <w:t>e note that operations in the downlink band</w:t>
      </w:r>
      <w:r w:rsidRPr="00842CAE" w:rsidR="00D07D87">
        <w:rPr>
          <w:color w:val="212121"/>
          <w:szCs w:val="22"/>
        </w:rPr>
        <w:t xml:space="preserve"> i</w:t>
      </w:r>
      <w:r w:rsidRPr="00842CAE">
        <w:rPr>
          <w:color w:val="212121"/>
          <w:szCs w:val="22"/>
        </w:rPr>
        <w:t xml:space="preserve">n the MSS are subject to a number of service rules to </w:t>
      </w:r>
      <w:r w:rsidR="00AF711F">
        <w:rPr>
          <w:color w:val="212121"/>
          <w:szCs w:val="22"/>
        </w:rPr>
        <w:t>protect NOAA</w:t>
      </w:r>
      <w:r w:rsidR="0096784A">
        <w:rPr>
          <w:color w:val="212121"/>
          <w:szCs w:val="22"/>
        </w:rPr>
        <w:t xml:space="preserve"> meteorological satellite systems</w:t>
      </w:r>
      <w:r w:rsidR="00867D64">
        <w:rPr>
          <w:color w:val="212121"/>
          <w:szCs w:val="22"/>
        </w:rPr>
        <w:t xml:space="preserve"> </w:t>
      </w:r>
      <w:r w:rsidR="008D15A6">
        <w:rPr>
          <w:color w:val="212121"/>
          <w:szCs w:val="22"/>
        </w:rPr>
        <w:t xml:space="preserve">and </w:t>
      </w:r>
      <w:r w:rsidRPr="00842CAE" w:rsidR="003028EA">
        <w:rPr>
          <w:color w:val="212121"/>
          <w:szCs w:val="22"/>
        </w:rPr>
        <w:t>condition Swarm’s authorization accordingly.</w:t>
      </w:r>
      <w:r>
        <w:rPr>
          <w:rStyle w:val="FootnoteReference"/>
          <w:szCs w:val="22"/>
        </w:rPr>
        <w:footnoteReference w:id="14"/>
      </w:r>
      <w:r w:rsidR="004A669D">
        <w:t xml:space="preserve">  </w:t>
      </w:r>
      <w:r w:rsidRPr="004147A0" w:rsidR="004147A0">
        <w:rPr>
          <w:color w:val="212121"/>
          <w:szCs w:val="22"/>
        </w:rPr>
        <w:t xml:space="preserve">In addition, </w:t>
      </w:r>
      <w:r w:rsidR="00696415">
        <w:rPr>
          <w:color w:val="212121"/>
          <w:szCs w:val="22"/>
        </w:rPr>
        <w:t xml:space="preserve">technical information provided by Swarm </w:t>
      </w:r>
      <w:r w:rsidRPr="004147A0" w:rsidR="004147A0">
        <w:rPr>
          <w:color w:val="212121"/>
          <w:szCs w:val="22"/>
        </w:rPr>
        <w:t xml:space="preserve">in its application </w:t>
      </w:r>
      <w:r w:rsidR="00696415">
        <w:rPr>
          <w:color w:val="212121"/>
          <w:szCs w:val="22"/>
        </w:rPr>
        <w:t xml:space="preserve">indicates </w:t>
      </w:r>
      <w:r w:rsidRPr="004147A0" w:rsidR="004147A0">
        <w:rPr>
          <w:color w:val="212121"/>
          <w:szCs w:val="22"/>
        </w:rPr>
        <w:t xml:space="preserve">that </w:t>
      </w:r>
      <w:r w:rsidR="00696415">
        <w:rPr>
          <w:color w:val="212121"/>
          <w:szCs w:val="22"/>
        </w:rPr>
        <w:t xml:space="preserve">the </w:t>
      </w:r>
      <w:r w:rsidRPr="004147A0" w:rsidR="004147A0">
        <w:rPr>
          <w:color w:val="212121"/>
          <w:szCs w:val="22"/>
        </w:rPr>
        <w:t xml:space="preserve">power flux density </w:t>
      </w:r>
      <w:r w:rsidR="00696415">
        <w:rPr>
          <w:color w:val="212121"/>
          <w:szCs w:val="22"/>
        </w:rPr>
        <w:t>on the Earth</w:t>
      </w:r>
      <w:r w:rsidRPr="004147A0" w:rsidR="004147A0">
        <w:rPr>
          <w:color w:val="212121"/>
          <w:szCs w:val="22"/>
        </w:rPr>
        <w:t xml:space="preserve"> </w:t>
      </w:r>
      <w:r w:rsidR="00696415">
        <w:rPr>
          <w:color w:val="212121"/>
          <w:szCs w:val="22"/>
        </w:rPr>
        <w:t xml:space="preserve">generated by </w:t>
      </w:r>
      <w:r w:rsidRPr="004147A0" w:rsidR="004147A0">
        <w:rPr>
          <w:color w:val="212121"/>
          <w:szCs w:val="22"/>
        </w:rPr>
        <w:t xml:space="preserve">downlink </w:t>
      </w:r>
      <w:r w:rsidR="00696415">
        <w:rPr>
          <w:color w:val="212121"/>
          <w:szCs w:val="22"/>
        </w:rPr>
        <w:t>transmissions from one of its space stations</w:t>
      </w:r>
      <w:r w:rsidRPr="004147A0" w:rsidR="004147A0">
        <w:rPr>
          <w:color w:val="212121"/>
          <w:szCs w:val="22"/>
        </w:rPr>
        <w:t xml:space="preserve"> will not exceed -175 dB(W/m2</w:t>
      </w:r>
      <w:r w:rsidR="00696415">
        <w:rPr>
          <w:color w:val="212121"/>
          <w:szCs w:val="22"/>
        </w:rPr>
        <w:t>)/</w:t>
      </w:r>
      <w:r w:rsidR="000F5D6E">
        <w:rPr>
          <w:color w:val="212121"/>
          <w:szCs w:val="22"/>
        </w:rPr>
        <w:t xml:space="preserve">4kHz </w:t>
      </w:r>
      <w:r w:rsidR="00696415">
        <w:rPr>
          <w:color w:val="212121"/>
          <w:szCs w:val="22"/>
        </w:rPr>
        <w:t>i</w:t>
      </w:r>
      <w:r w:rsidR="000F5D6E">
        <w:rPr>
          <w:color w:val="212121"/>
          <w:szCs w:val="22"/>
        </w:rPr>
        <w:t>n frequencies below 136.9875</w:t>
      </w:r>
      <w:r w:rsidRPr="004147A0" w:rsidR="004147A0">
        <w:rPr>
          <w:color w:val="212121"/>
          <w:szCs w:val="22"/>
        </w:rPr>
        <w:t xml:space="preserve"> MHz</w:t>
      </w:r>
      <w:r w:rsidR="004A669D">
        <w:rPr>
          <w:color w:val="212121"/>
          <w:szCs w:val="22"/>
        </w:rPr>
        <w:t>.</w:t>
      </w:r>
      <w:r>
        <w:rPr>
          <w:rStyle w:val="FootnoteReference"/>
          <w:szCs w:val="22"/>
        </w:rPr>
        <w:footnoteReference w:id="15"/>
      </w:r>
      <w:r w:rsidR="00696415">
        <w:rPr>
          <w:color w:val="212121"/>
          <w:szCs w:val="22"/>
        </w:rPr>
        <w:t xml:space="preserve">  We therefore impose this power-flux density limit as a condition of this grant.</w:t>
      </w:r>
      <w:r w:rsidRPr="004147A0" w:rsidR="004147A0">
        <w:rPr>
          <w:color w:val="212121"/>
          <w:szCs w:val="22"/>
        </w:rPr>
        <w:t xml:space="preserve">  </w:t>
      </w:r>
    </w:p>
    <w:p w:rsidR="00D156CB" w:rsidRPr="00D156CB" w:rsidP="00B6738D">
      <w:pPr>
        <w:pStyle w:val="ParaNum"/>
        <w:widowControl/>
        <w:tabs>
          <w:tab w:val="clear" w:pos="1080"/>
          <w:tab w:val="num" w:pos="1440"/>
        </w:tabs>
        <w:rPr>
          <w:snapToGrid/>
        </w:rPr>
      </w:pPr>
      <w:r w:rsidRPr="00672756">
        <w:rPr>
          <w:i/>
          <w:snapToGrid/>
        </w:rPr>
        <w:t>The 148-</w:t>
      </w:r>
      <w:r w:rsidR="0096784A">
        <w:rPr>
          <w:i/>
          <w:snapToGrid/>
        </w:rPr>
        <w:t>150.05</w:t>
      </w:r>
      <w:r w:rsidRPr="00672756">
        <w:rPr>
          <w:i/>
          <w:snapToGrid/>
        </w:rPr>
        <w:t xml:space="preserve"> MHz band</w:t>
      </w:r>
      <w:r>
        <w:rPr>
          <w:snapToGrid/>
        </w:rPr>
        <w:t xml:space="preserve">. </w:t>
      </w:r>
      <w:r w:rsidR="00186DFC">
        <w:rPr>
          <w:snapToGrid/>
        </w:rPr>
        <w:t xml:space="preserve"> Swarm proposes to use frequencies in the </w:t>
      </w:r>
      <w:r w:rsidRPr="008B6E88" w:rsidR="00425CCD">
        <w:rPr>
          <w:snapToGrid/>
        </w:rPr>
        <w:t>148-150.05 MHz band</w:t>
      </w:r>
      <w:r w:rsidR="00186DFC">
        <w:rPr>
          <w:snapToGrid/>
        </w:rPr>
        <w:t xml:space="preserve">, which is </w:t>
      </w:r>
      <w:r w:rsidRPr="008B6E88" w:rsidR="00425CCD">
        <w:rPr>
          <w:snapToGrid/>
        </w:rPr>
        <w:t xml:space="preserve">allocated to the MSS (Earth-to-space) on a primary basis in the Federal and non-Federal Tables </w:t>
      </w:r>
      <w:r w:rsidR="00425CCD">
        <w:rPr>
          <w:snapToGrid/>
        </w:rPr>
        <w:t xml:space="preserve">and is </w:t>
      </w:r>
      <w:r w:rsidRPr="008B6E88" w:rsidR="00425CCD">
        <w:rPr>
          <w:snapToGrid/>
        </w:rPr>
        <w:t>also limited to NVNG satellite systems.</w:t>
      </w:r>
      <w:r w:rsidR="00DB738E">
        <w:rPr>
          <w:snapToGrid/>
        </w:rPr>
        <w:t xml:space="preserve">  </w:t>
      </w:r>
      <w:r w:rsidRPr="008B6E88" w:rsidR="00425CCD">
        <w:rPr>
          <w:snapToGrid/>
        </w:rPr>
        <w:t>The 148-149.9 MHz frequency band is allocated by footnote to the space operation service (Earth-to-space) on a co-primary basis in the Federal and non-Federal Tables</w:t>
      </w:r>
      <w:r w:rsidR="00E81991">
        <w:rPr>
          <w:snapToGrid/>
        </w:rPr>
        <w:t>.</w:t>
      </w:r>
      <w:r>
        <w:rPr>
          <w:rStyle w:val="FootnoteReference"/>
          <w:snapToGrid/>
        </w:rPr>
        <w:footnoteReference w:id="16"/>
      </w:r>
      <w:r w:rsidRPr="00E81991" w:rsidR="00E81991">
        <w:t xml:space="preserve"> </w:t>
      </w:r>
      <w:r w:rsidR="001A6F40">
        <w:t xml:space="preserve"> </w:t>
      </w:r>
      <w:r w:rsidRPr="00E81991" w:rsidR="00E81991">
        <w:rPr>
          <w:snapToGrid/>
        </w:rPr>
        <w:t xml:space="preserve">The 148-149.9 MHz frequency band is </w:t>
      </w:r>
      <w:r w:rsidR="00E81991">
        <w:rPr>
          <w:snapToGrid/>
        </w:rPr>
        <w:t xml:space="preserve">also </w:t>
      </w:r>
      <w:r w:rsidRPr="00E81991" w:rsidR="00E81991">
        <w:rPr>
          <w:snapToGrid/>
        </w:rPr>
        <w:t>allocated</w:t>
      </w:r>
      <w:r w:rsidRPr="008B6E88" w:rsidR="00425CCD">
        <w:rPr>
          <w:snapToGrid/>
        </w:rPr>
        <w:t xml:space="preserve"> to the fixed service (FS) and mobile service (MS) on a co-primary basis for Federal use</w:t>
      </w:r>
      <w:r w:rsidR="009225C9">
        <w:rPr>
          <w:snapToGrid/>
        </w:rPr>
        <w:t>.</w:t>
      </w:r>
      <w:r>
        <w:rPr>
          <w:rStyle w:val="FootnoteReference"/>
          <w:snapToGrid/>
        </w:rPr>
        <w:footnoteReference w:id="17"/>
      </w:r>
      <w:r w:rsidR="009225C9">
        <w:rPr>
          <w:snapToGrid/>
        </w:rPr>
        <w:t xml:space="preserve">  </w:t>
      </w:r>
      <w:r w:rsidR="00CD0CD5">
        <w:rPr>
          <w:snapToGrid/>
        </w:rPr>
        <w:t>T</w:t>
      </w:r>
      <w:r w:rsidR="00186DFC">
        <w:rPr>
          <w:snapToGrid/>
        </w:rPr>
        <w:t xml:space="preserve">he </w:t>
      </w:r>
      <w:r w:rsidRPr="008B6E88" w:rsidR="00425CCD">
        <w:rPr>
          <w:snapToGrid/>
        </w:rPr>
        <w:t>149.9-150.05 MHz band is also allocated to the radionavigation-satellite service (RNSS) on a co-primary basis in the Federal and non-Federal Tables.</w:t>
      </w:r>
      <w:r>
        <w:rPr>
          <w:rStyle w:val="FootnoteReference"/>
          <w:snapToGrid/>
        </w:rPr>
        <w:footnoteReference w:id="18"/>
      </w:r>
      <w:r w:rsidRPr="008B6E88" w:rsidR="00425CCD">
        <w:rPr>
          <w:snapToGrid/>
        </w:rPr>
        <w:t> </w:t>
      </w:r>
      <w:r w:rsidRPr="00186DFC" w:rsidR="00CA0A4E">
        <w:rPr>
          <w:snapToGrid/>
          <w:szCs w:val="22"/>
        </w:rPr>
        <w:t xml:space="preserve"> </w:t>
      </w:r>
    </w:p>
    <w:p w:rsidR="00E919C1" w:rsidRPr="0059374F" w:rsidP="00B6738D">
      <w:pPr>
        <w:pStyle w:val="ParaNum"/>
        <w:widowControl/>
        <w:tabs>
          <w:tab w:val="clear" w:pos="1080"/>
          <w:tab w:val="num" w:pos="1440"/>
        </w:tabs>
        <w:rPr>
          <w:snapToGrid/>
        </w:rPr>
      </w:pPr>
      <w:r w:rsidRPr="00186DFC">
        <w:rPr>
          <w:snapToGrid/>
          <w:szCs w:val="22"/>
        </w:rPr>
        <w:t xml:space="preserve">ORBCOMM filed a </w:t>
      </w:r>
      <w:r w:rsidR="000C0408">
        <w:rPr>
          <w:snapToGrid/>
          <w:szCs w:val="22"/>
        </w:rPr>
        <w:t>P</w:t>
      </w:r>
      <w:r w:rsidRPr="00186DFC">
        <w:rPr>
          <w:snapToGrid/>
          <w:szCs w:val="22"/>
        </w:rPr>
        <w:t xml:space="preserve">etition </w:t>
      </w:r>
      <w:r w:rsidRPr="00186DFC" w:rsidR="00ED1A81">
        <w:rPr>
          <w:snapToGrid/>
          <w:szCs w:val="22"/>
        </w:rPr>
        <w:t xml:space="preserve">to </w:t>
      </w:r>
      <w:r w:rsidR="000C0408">
        <w:rPr>
          <w:snapToGrid/>
          <w:szCs w:val="22"/>
        </w:rPr>
        <w:t>D</w:t>
      </w:r>
      <w:r w:rsidRPr="00186DFC" w:rsidR="00ED1A81">
        <w:rPr>
          <w:snapToGrid/>
          <w:szCs w:val="22"/>
        </w:rPr>
        <w:t xml:space="preserve">ismiss, </w:t>
      </w:r>
      <w:r w:rsidR="000C0408">
        <w:rPr>
          <w:snapToGrid/>
          <w:szCs w:val="22"/>
        </w:rPr>
        <w:t>D</w:t>
      </w:r>
      <w:r w:rsidRPr="00186DFC" w:rsidR="00ED1A81">
        <w:rPr>
          <w:snapToGrid/>
          <w:szCs w:val="22"/>
        </w:rPr>
        <w:t xml:space="preserve">eny, or </w:t>
      </w:r>
      <w:r w:rsidR="000C0408">
        <w:rPr>
          <w:snapToGrid/>
          <w:szCs w:val="22"/>
        </w:rPr>
        <w:t>H</w:t>
      </w:r>
      <w:r w:rsidRPr="00186DFC" w:rsidR="00ED1A81">
        <w:rPr>
          <w:snapToGrid/>
          <w:szCs w:val="22"/>
        </w:rPr>
        <w:t xml:space="preserve">old in </w:t>
      </w:r>
      <w:r w:rsidR="000C0408">
        <w:rPr>
          <w:snapToGrid/>
          <w:szCs w:val="22"/>
        </w:rPr>
        <w:t>A</w:t>
      </w:r>
      <w:r w:rsidRPr="00A541FD" w:rsidR="00ED1A81">
        <w:t>beyance</w:t>
      </w:r>
      <w:r w:rsidRPr="00186DFC" w:rsidR="00ED1A81">
        <w:rPr>
          <w:snapToGrid/>
          <w:szCs w:val="22"/>
        </w:rPr>
        <w:t xml:space="preserve"> </w:t>
      </w:r>
      <w:r w:rsidRPr="00186DFC">
        <w:rPr>
          <w:snapToGrid/>
          <w:szCs w:val="22"/>
        </w:rPr>
        <w:t>Swarm’s application.</w:t>
      </w:r>
      <w:r>
        <w:rPr>
          <w:rStyle w:val="FootnoteReference"/>
          <w:sz w:val="22"/>
          <w:szCs w:val="22"/>
        </w:rPr>
        <w:footnoteReference w:id="19"/>
      </w:r>
      <w:r w:rsidRPr="00186DFC">
        <w:rPr>
          <w:szCs w:val="22"/>
        </w:rPr>
        <w:t xml:space="preserve"> </w:t>
      </w:r>
      <w:r w:rsidR="00DB738E">
        <w:rPr>
          <w:szCs w:val="22"/>
        </w:rPr>
        <w:t xml:space="preserve"> </w:t>
      </w:r>
      <w:r w:rsidR="008413A4">
        <w:rPr>
          <w:szCs w:val="22"/>
        </w:rPr>
        <w:t xml:space="preserve">In considering the issues raised by </w:t>
      </w:r>
      <w:r w:rsidR="00867D64">
        <w:rPr>
          <w:szCs w:val="22"/>
        </w:rPr>
        <w:t xml:space="preserve">ORBCOMM, </w:t>
      </w:r>
      <w:r w:rsidR="00867D64">
        <w:rPr>
          <w:snapToGrid/>
          <w:szCs w:val="22"/>
        </w:rPr>
        <w:t>it</w:t>
      </w:r>
      <w:r w:rsidRPr="00186DFC" w:rsidR="0020124B">
        <w:rPr>
          <w:snapToGrid/>
          <w:szCs w:val="22"/>
        </w:rPr>
        <w:t xml:space="preserve"> is</w:t>
      </w:r>
      <w:r w:rsidRPr="00186DFC" w:rsidR="00D07D87">
        <w:rPr>
          <w:snapToGrid/>
          <w:szCs w:val="22"/>
        </w:rPr>
        <w:t xml:space="preserve"> beneficial </w:t>
      </w:r>
      <w:r w:rsidRPr="00186DFC" w:rsidR="0020124B">
        <w:rPr>
          <w:snapToGrid/>
          <w:szCs w:val="22"/>
        </w:rPr>
        <w:t>to review the initial Little LEO licensing process</w:t>
      </w:r>
      <w:r w:rsidRPr="00186DFC" w:rsidR="0059374F">
        <w:rPr>
          <w:snapToGrid/>
          <w:szCs w:val="22"/>
        </w:rPr>
        <w:t xml:space="preserve"> pursuant to which ORBCOMM received its license. </w:t>
      </w:r>
      <w:r w:rsidR="00DB738E">
        <w:rPr>
          <w:snapToGrid/>
          <w:szCs w:val="22"/>
        </w:rPr>
        <w:t xml:space="preserve"> </w:t>
      </w:r>
      <w:r w:rsidRPr="00186DFC" w:rsidR="0059374F">
        <w:rPr>
          <w:snapToGrid/>
          <w:szCs w:val="22"/>
        </w:rPr>
        <w:t xml:space="preserve">In </w:t>
      </w:r>
      <w:r w:rsidRPr="00186DFC" w:rsidR="00A466CD">
        <w:rPr>
          <w:szCs w:val="22"/>
        </w:rPr>
        <w:t xml:space="preserve">1997 and 1998, the </w:t>
      </w:r>
      <w:r w:rsidRPr="00186DFC" w:rsidR="00A466CD">
        <w:rPr>
          <w:snapToGrid/>
          <w:szCs w:val="22"/>
          <w:shd w:val="clear" w:color="auto" w:fill="FFFFFF"/>
        </w:rPr>
        <w:t xml:space="preserve">137-138 MHz and 148-150.05 MHz bands were part of a </w:t>
      </w:r>
      <w:r w:rsidR="00ED1A81">
        <w:rPr>
          <w:snapToGrid/>
          <w:szCs w:val="22"/>
          <w:shd w:val="clear" w:color="auto" w:fill="FFFFFF"/>
        </w:rPr>
        <w:t xml:space="preserve">series of </w:t>
      </w:r>
      <w:r w:rsidRPr="00186DFC" w:rsidR="00A466CD">
        <w:rPr>
          <w:snapToGrid/>
          <w:szCs w:val="22"/>
          <w:shd w:val="clear" w:color="auto" w:fill="FFFFFF"/>
        </w:rPr>
        <w:t>processing round</w:t>
      </w:r>
      <w:r w:rsidR="00ED1A81">
        <w:rPr>
          <w:snapToGrid/>
          <w:szCs w:val="22"/>
          <w:shd w:val="clear" w:color="auto" w:fill="FFFFFF"/>
        </w:rPr>
        <w:t>s</w:t>
      </w:r>
      <w:r w:rsidRPr="00186DFC" w:rsidR="00A466CD">
        <w:rPr>
          <w:snapToGrid/>
          <w:szCs w:val="22"/>
          <w:shd w:val="clear" w:color="auto" w:fill="FFFFFF"/>
        </w:rPr>
        <w:t xml:space="preserve"> and rulemaking</w:t>
      </w:r>
      <w:r w:rsidR="00ED1A81">
        <w:rPr>
          <w:snapToGrid/>
          <w:szCs w:val="22"/>
          <w:shd w:val="clear" w:color="auto" w:fill="FFFFFF"/>
        </w:rPr>
        <w:t xml:space="preserve"> actions</w:t>
      </w:r>
      <w:r w:rsidRPr="00186DFC" w:rsidR="00A466CD">
        <w:rPr>
          <w:snapToGrid/>
          <w:szCs w:val="22"/>
          <w:shd w:val="clear" w:color="auto" w:fill="FFFFFF"/>
        </w:rPr>
        <w:t>, which resulted in the grant of several licenses for the provision of MSS in these bands.</w:t>
      </w:r>
      <w:r>
        <w:rPr>
          <w:rStyle w:val="FootnoteReference"/>
          <w:snapToGrid/>
          <w:sz w:val="22"/>
          <w:szCs w:val="22"/>
          <w:shd w:val="clear" w:color="auto" w:fill="FFFFFF"/>
        </w:rPr>
        <w:footnoteReference w:id="20"/>
      </w:r>
      <w:r w:rsidRPr="00186DFC" w:rsidR="006F679D">
        <w:rPr>
          <w:snapToGrid/>
          <w:szCs w:val="22"/>
          <w:shd w:val="clear" w:color="auto" w:fill="FFFFFF"/>
        </w:rPr>
        <w:t xml:space="preserve"> </w:t>
      </w:r>
      <w:r w:rsidR="00DB738E">
        <w:rPr>
          <w:snapToGrid/>
          <w:szCs w:val="22"/>
          <w:shd w:val="clear" w:color="auto" w:fill="FFFFFF"/>
        </w:rPr>
        <w:t xml:space="preserve"> </w:t>
      </w:r>
      <w:r w:rsidRPr="00186DFC" w:rsidR="009A4491">
        <w:rPr>
          <w:snapToGrid/>
          <w:color w:val="000000"/>
          <w:kern w:val="0"/>
          <w:szCs w:val="22"/>
          <w:shd w:val="clear" w:color="auto" w:fill="FFFFFF"/>
        </w:rPr>
        <w:t xml:space="preserve">Originally, </w:t>
      </w:r>
      <w:r w:rsidR="00ED1A81">
        <w:rPr>
          <w:snapToGrid/>
          <w:color w:val="000000"/>
          <w:kern w:val="0"/>
          <w:szCs w:val="22"/>
          <w:shd w:val="clear" w:color="auto" w:fill="FFFFFF"/>
        </w:rPr>
        <w:t xml:space="preserve">the Commission issued </w:t>
      </w:r>
      <w:r w:rsidRPr="00186DFC" w:rsidR="009A4491">
        <w:rPr>
          <w:snapToGrid/>
          <w:color w:val="000000"/>
          <w:kern w:val="0"/>
          <w:szCs w:val="22"/>
          <w:shd w:val="clear" w:color="auto" w:fill="FFFFFF"/>
        </w:rPr>
        <w:t>three satellite system licenses</w:t>
      </w:r>
      <w:r w:rsidR="00ED1A81">
        <w:rPr>
          <w:snapToGrid/>
          <w:color w:val="000000"/>
          <w:kern w:val="0"/>
          <w:szCs w:val="22"/>
          <w:shd w:val="clear" w:color="auto" w:fill="FFFFFF"/>
        </w:rPr>
        <w:t>.</w:t>
      </w:r>
      <w:r>
        <w:rPr>
          <w:rStyle w:val="FootnoteReference"/>
          <w:snapToGrid/>
          <w:kern w:val="0"/>
          <w:sz w:val="22"/>
          <w:szCs w:val="22"/>
          <w:shd w:val="clear" w:color="auto" w:fill="FFFFFF"/>
        </w:rPr>
        <w:footnoteReference w:id="21"/>
      </w:r>
      <w:r w:rsidRPr="00186DFC" w:rsidR="009A4491">
        <w:rPr>
          <w:snapToGrid/>
          <w:color w:val="000000"/>
          <w:kern w:val="0"/>
          <w:szCs w:val="22"/>
          <w:shd w:val="clear" w:color="auto" w:fill="FFFFFF"/>
        </w:rPr>
        <w:t xml:space="preserve"> </w:t>
      </w:r>
      <w:r w:rsidR="00DB738E">
        <w:rPr>
          <w:snapToGrid/>
          <w:color w:val="000000"/>
          <w:kern w:val="0"/>
          <w:szCs w:val="22"/>
          <w:shd w:val="clear" w:color="auto" w:fill="FFFFFF"/>
        </w:rPr>
        <w:t xml:space="preserve"> </w:t>
      </w:r>
      <w:r w:rsidRPr="00186DFC" w:rsidR="009A4491">
        <w:rPr>
          <w:snapToGrid/>
          <w:color w:val="000000"/>
          <w:kern w:val="0"/>
          <w:szCs w:val="22"/>
          <w:shd w:val="clear" w:color="auto" w:fill="FFFFFF"/>
        </w:rPr>
        <w:t>Later, the Commission concluded that there was sufficient spectrum available to authorize additional Little LEO systems.</w:t>
      </w:r>
      <w:r w:rsidR="00DB738E">
        <w:rPr>
          <w:snapToGrid/>
          <w:color w:val="000000"/>
          <w:kern w:val="0"/>
          <w:szCs w:val="22"/>
          <w:shd w:val="clear" w:color="auto" w:fill="FFFFFF"/>
        </w:rPr>
        <w:t xml:space="preserve">  </w:t>
      </w:r>
      <w:r w:rsidRPr="00186DFC" w:rsidR="00D07D87">
        <w:rPr>
          <w:snapToGrid/>
          <w:color w:val="000000"/>
          <w:kern w:val="0"/>
          <w:szCs w:val="22"/>
          <w:shd w:val="clear" w:color="auto" w:fill="FFFFFF"/>
        </w:rPr>
        <w:t>As a result of the second processing round, there were</w:t>
      </w:r>
      <w:r w:rsidRPr="00186DFC" w:rsidR="00D90414">
        <w:rPr>
          <w:snapToGrid/>
          <w:color w:val="000000"/>
          <w:kern w:val="0"/>
          <w:szCs w:val="22"/>
          <w:shd w:val="clear" w:color="auto" w:fill="FFFFFF"/>
        </w:rPr>
        <w:t xml:space="preserve"> five participants, including ORBCOMM, that agreed to a sharing plan using specific sharing techniques and interference avoidance technologies.</w:t>
      </w:r>
      <w:r w:rsidR="00DB738E">
        <w:rPr>
          <w:snapToGrid/>
          <w:color w:val="000000"/>
          <w:kern w:val="0"/>
          <w:szCs w:val="22"/>
          <w:shd w:val="clear" w:color="auto" w:fill="FFFFFF"/>
        </w:rPr>
        <w:t xml:space="preserve"> </w:t>
      </w:r>
      <w:r w:rsidRPr="00186DFC" w:rsidR="00D90414">
        <w:rPr>
          <w:snapToGrid/>
          <w:color w:val="000000"/>
          <w:kern w:val="0"/>
          <w:szCs w:val="22"/>
          <w:shd w:val="clear" w:color="auto" w:fill="FFFFFF"/>
        </w:rPr>
        <w:t xml:space="preserve"> </w:t>
      </w:r>
      <w:r w:rsidRPr="00186DFC" w:rsidR="009A4491">
        <w:rPr>
          <w:snapToGrid/>
          <w:color w:val="000000"/>
          <w:kern w:val="0"/>
          <w:szCs w:val="22"/>
          <w:shd w:val="clear" w:color="auto" w:fill="FFFFFF"/>
        </w:rPr>
        <w:t>In subsequent years, all the Little LEO licensees either lost or surrendered their licenses</w:t>
      </w:r>
      <w:r w:rsidRPr="00186DFC" w:rsidR="00D90414">
        <w:rPr>
          <w:snapToGrid/>
          <w:color w:val="000000"/>
          <w:kern w:val="0"/>
          <w:szCs w:val="22"/>
          <w:shd w:val="clear" w:color="auto" w:fill="FFFFFF"/>
        </w:rPr>
        <w:t>, except ORBCOMM.</w:t>
      </w:r>
      <w:r w:rsidRPr="00186DFC" w:rsidR="009A4491">
        <w:rPr>
          <w:snapToGrid/>
          <w:color w:val="000000"/>
          <w:kern w:val="0"/>
          <w:szCs w:val="22"/>
          <w:shd w:val="clear" w:color="auto" w:fill="FFFFFF"/>
        </w:rPr>
        <w:t xml:space="preserve"> </w:t>
      </w:r>
      <w:r w:rsidR="00ED1A81">
        <w:rPr>
          <w:snapToGrid/>
          <w:color w:val="000000"/>
          <w:kern w:val="0"/>
          <w:szCs w:val="22"/>
          <w:shd w:val="clear" w:color="auto" w:fill="FFFFFF"/>
        </w:rPr>
        <w:t xml:space="preserve"> </w:t>
      </w:r>
      <w:r w:rsidRPr="00186DFC" w:rsidR="009A4491">
        <w:rPr>
          <w:snapToGrid/>
          <w:color w:val="000000"/>
          <w:kern w:val="0"/>
          <w:szCs w:val="22"/>
          <w:shd w:val="clear" w:color="auto" w:fill="FFFFFF"/>
        </w:rPr>
        <w:t>ORBCOMM has been operating since 2007</w:t>
      </w:r>
      <w:r w:rsidRPr="00186DFC" w:rsidR="0059374F">
        <w:rPr>
          <w:snapToGrid/>
          <w:color w:val="000000"/>
          <w:kern w:val="0"/>
          <w:szCs w:val="22"/>
          <w:shd w:val="clear" w:color="auto" w:fill="FFFFFF"/>
        </w:rPr>
        <w:t>.</w:t>
      </w:r>
      <w:r>
        <w:rPr>
          <w:rStyle w:val="FootnoteReference"/>
          <w:snapToGrid/>
          <w:sz w:val="22"/>
          <w:szCs w:val="22"/>
          <w:shd w:val="clear" w:color="auto" w:fill="FFFFFF"/>
        </w:rPr>
        <w:footnoteReference w:id="22"/>
      </w:r>
      <w:r w:rsidRPr="00186DFC" w:rsidR="00A466CD">
        <w:rPr>
          <w:snapToGrid/>
          <w:szCs w:val="22"/>
          <w:shd w:val="clear" w:color="auto" w:fill="FFFFFF"/>
        </w:rPr>
        <w:t xml:space="preserve">  ORBCOMM’s authorization was modified several times and at present, it is authorized to operate in </w:t>
      </w:r>
      <w:r w:rsidR="00186DFC">
        <w:rPr>
          <w:snapToGrid/>
          <w:szCs w:val="22"/>
          <w:shd w:val="clear" w:color="auto" w:fill="FFFFFF"/>
        </w:rPr>
        <w:t xml:space="preserve">specific </w:t>
      </w:r>
      <w:r w:rsidRPr="00186DFC" w:rsidR="00A466CD">
        <w:rPr>
          <w:snapToGrid/>
          <w:szCs w:val="22"/>
          <w:shd w:val="clear" w:color="auto" w:fill="FFFFFF"/>
        </w:rPr>
        <w:t>sub-bands</w:t>
      </w:r>
      <w:r w:rsidRPr="00186DFC" w:rsidR="0059374F">
        <w:rPr>
          <w:snapToGrid/>
          <w:szCs w:val="22"/>
          <w:shd w:val="clear" w:color="auto" w:fill="FFFFFF"/>
        </w:rPr>
        <w:t xml:space="preserve"> in the 137-138 MHz and 148-150.05 MHz bands</w:t>
      </w:r>
      <w:r w:rsidR="00CD0CD5">
        <w:rPr>
          <w:snapToGrid/>
          <w:szCs w:val="22"/>
          <w:shd w:val="clear" w:color="auto" w:fill="FFFFFF"/>
        </w:rPr>
        <w:t xml:space="preserve"> on a primary basis</w:t>
      </w:r>
      <w:r w:rsidRPr="00186DFC" w:rsidR="00A466CD">
        <w:rPr>
          <w:snapToGrid/>
          <w:szCs w:val="22"/>
          <w:shd w:val="clear" w:color="auto" w:fill="FFFFFF"/>
        </w:rPr>
        <w:t>.</w:t>
      </w:r>
      <w:r>
        <w:rPr>
          <w:rStyle w:val="FootnoteReference"/>
          <w:snapToGrid/>
          <w:sz w:val="22"/>
          <w:szCs w:val="22"/>
          <w:shd w:val="clear" w:color="auto" w:fill="FFFFFF"/>
        </w:rPr>
        <w:footnoteReference w:id="23"/>
      </w:r>
      <w:r w:rsidR="00DB738E">
        <w:rPr>
          <w:snapToGrid/>
          <w:szCs w:val="22"/>
          <w:shd w:val="clear" w:color="auto" w:fill="FFFFFF"/>
        </w:rPr>
        <w:t xml:space="preserve">  </w:t>
      </w:r>
      <w:r w:rsidRPr="00186DFC" w:rsidR="00A466CD">
        <w:rPr>
          <w:snapToGrid/>
          <w:szCs w:val="22"/>
          <w:shd w:val="clear" w:color="auto" w:fill="FFFFFF"/>
        </w:rPr>
        <w:t>ORBCOMM was also granted authority to operate throughout the 137-138 MHz and 148-150.05 MHz frequency bands until commencement of operations by another U.S.-licensed NVNG MSS system</w:t>
      </w:r>
      <w:r w:rsidRPr="0059374F" w:rsidR="00A466CD">
        <w:rPr>
          <w:snapToGrid/>
          <w:shd w:val="clear" w:color="auto" w:fill="FFFFFF"/>
        </w:rPr>
        <w:t>.</w:t>
      </w:r>
      <w:r>
        <w:rPr>
          <w:rStyle w:val="FootnoteReference"/>
          <w:snapToGrid/>
          <w:shd w:val="clear" w:color="auto" w:fill="FFFFFF"/>
        </w:rPr>
        <w:footnoteReference w:id="24"/>
      </w:r>
      <w:r w:rsidR="00DB738E">
        <w:rPr>
          <w:snapToGrid/>
          <w:shd w:val="clear" w:color="auto" w:fill="FFFFFF"/>
        </w:rPr>
        <w:t xml:space="preserve">  </w:t>
      </w:r>
      <w:r w:rsidRPr="0059374F" w:rsidR="00A466CD">
        <w:rPr>
          <w:snapToGrid/>
          <w:shd w:val="clear" w:color="auto" w:fill="FFFFFF"/>
        </w:rPr>
        <w:t>To date, no other NVNG MSS systems</w:t>
      </w:r>
      <w:r w:rsidR="00DE72CC">
        <w:rPr>
          <w:snapToGrid/>
          <w:shd w:val="clear" w:color="auto" w:fill="FFFFFF"/>
        </w:rPr>
        <w:t xml:space="preserve"> </w:t>
      </w:r>
      <w:r w:rsidRPr="0059374F" w:rsidR="00A466CD">
        <w:rPr>
          <w:snapToGrid/>
          <w:shd w:val="clear" w:color="auto" w:fill="FFFFFF"/>
        </w:rPr>
        <w:t>have operated in these frequency bands</w:t>
      </w:r>
      <w:r w:rsidR="00D636D1">
        <w:rPr>
          <w:snapToGrid/>
          <w:shd w:val="clear" w:color="auto" w:fill="FFFFFF"/>
        </w:rPr>
        <w:t xml:space="preserve"> under </w:t>
      </w:r>
      <w:r w:rsidR="00186E30">
        <w:rPr>
          <w:snapToGrid/>
          <w:shd w:val="clear" w:color="auto" w:fill="FFFFFF"/>
        </w:rPr>
        <w:t>p</w:t>
      </w:r>
      <w:r w:rsidR="00D636D1">
        <w:rPr>
          <w:snapToGrid/>
          <w:shd w:val="clear" w:color="auto" w:fill="FFFFFF"/>
        </w:rPr>
        <w:t>art 25 rules</w:t>
      </w:r>
      <w:r w:rsidRPr="0059374F" w:rsidR="00A466CD">
        <w:rPr>
          <w:snapToGrid/>
          <w:shd w:val="clear" w:color="auto" w:fill="FFFFFF"/>
        </w:rPr>
        <w:t xml:space="preserve">, </w:t>
      </w:r>
      <w:r w:rsidRPr="0059374F" w:rsidR="00A466CD">
        <w:rPr>
          <w:snapToGrid/>
          <w:shd w:val="clear" w:color="auto" w:fill="FFFFFF"/>
        </w:rPr>
        <w:t xml:space="preserve">although a handful of </w:t>
      </w:r>
      <w:r w:rsidR="00186E30">
        <w:rPr>
          <w:snapToGrid/>
          <w:shd w:val="clear" w:color="auto" w:fill="FFFFFF"/>
        </w:rPr>
        <w:t xml:space="preserve">applications for </w:t>
      </w:r>
      <w:r w:rsidRPr="0059374F" w:rsidR="00A466CD">
        <w:rPr>
          <w:snapToGrid/>
          <w:shd w:val="clear" w:color="auto" w:fill="FFFFFF"/>
        </w:rPr>
        <w:t xml:space="preserve">experimental </w:t>
      </w:r>
      <w:r w:rsidR="00186E30">
        <w:rPr>
          <w:snapToGrid/>
          <w:shd w:val="clear" w:color="auto" w:fill="FFFFFF"/>
        </w:rPr>
        <w:t>licenses</w:t>
      </w:r>
      <w:r w:rsidR="00DE72CC">
        <w:rPr>
          <w:snapToGrid/>
          <w:shd w:val="clear" w:color="auto" w:fill="FFFFFF"/>
        </w:rPr>
        <w:t xml:space="preserve">, including </w:t>
      </w:r>
      <w:r w:rsidR="00186E30">
        <w:rPr>
          <w:snapToGrid/>
          <w:shd w:val="clear" w:color="auto" w:fill="FFFFFF"/>
        </w:rPr>
        <w:t xml:space="preserve">from </w:t>
      </w:r>
      <w:r w:rsidR="00DE72CC">
        <w:rPr>
          <w:snapToGrid/>
          <w:shd w:val="clear" w:color="auto" w:fill="FFFFFF"/>
        </w:rPr>
        <w:t>Swarm,</w:t>
      </w:r>
      <w:r w:rsidRPr="0059374F" w:rsidR="00A466CD">
        <w:rPr>
          <w:snapToGrid/>
          <w:shd w:val="clear" w:color="auto" w:fill="FFFFFF"/>
        </w:rPr>
        <w:t xml:space="preserve"> have </w:t>
      </w:r>
      <w:r w:rsidR="00186E30">
        <w:rPr>
          <w:snapToGrid/>
          <w:shd w:val="clear" w:color="auto" w:fill="FFFFFF"/>
        </w:rPr>
        <w:t xml:space="preserve">been submitted </w:t>
      </w:r>
      <w:r w:rsidRPr="0059374F" w:rsidR="00A466CD">
        <w:rPr>
          <w:snapToGrid/>
          <w:shd w:val="clear" w:color="auto" w:fill="FFFFFF"/>
        </w:rPr>
        <w:t>in these frequency bands.</w:t>
      </w:r>
      <w:r>
        <w:rPr>
          <w:rStyle w:val="FootnoteReference"/>
          <w:snapToGrid/>
          <w:shd w:val="clear" w:color="auto" w:fill="FFFFFF"/>
        </w:rPr>
        <w:footnoteReference w:id="25"/>
      </w:r>
    </w:p>
    <w:p w:rsidR="000C0408" w:rsidRPr="000C0408" w:rsidP="00B6738D">
      <w:pPr>
        <w:pStyle w:val="ParaNum"/>
        <w:widowControl/>
        <w:tabs>
          <w:tab w:val="clear" w:pos="1080"/>
          <w:tab w:val="num" w:pos="1440"/>
        </w:tabs>
        <w:rPr>
          <w:snapToGrid/>
        </w:rPr>
      </w:pPr>
      <w:r w:rsidRPr="0059374F">
        <w:t>ORBCOMM</w:t>
      </w:r>
      <w:r w:rsidR="0003223F">
        <w:t xml:space="preserve"> does not object to Swarm</w:t>
      </w:r>
      <w:r w:rsidR="00CD0CD5">
        <w:t>’</w:t>
      </w:r>
      <w:r w:rsidR="0003223F">
        <w:t xml:space="preserve">s proposed use of downlink </w:t>
      </w:r>
      <w:r w:rsidR="00083AE2">
        <w:t>frequencies</w:t>
      </w:r>
      <w:r w:rsidR="0003223F">
        <w:t xml:space="preserve"> in the 137-138 MHz band</w:t>
      </w:r>
      <w:r w:rsidR="00186DFC">
        <w:t xml:space="preserve">.  It maintains, however, that </w:t>
      </w:r>
      <w:r w:rsidR="001A6F40">
        <w:t>ORBCOMM</w:t>
      </w:r>
      <w:r w:rsidRPr="0059374F">
        <w:t xml:space="preserve"> was granted primary interference protec</w:t>
      </w:r>
      <w:r w:rsidR="005C3F75">
        <w:t xml:space="preserve">tion rights </w:t>
      </w:r>
      <w:r w:rsidRPr="0059374F">
        <w:t xml:space="preserve"> throughout the entire 148-150.05 MHz </w:t>
      </w:r>
      <w:r w:rsidR="0003223F">
        <w:t xml:space="preserve">uplink </w:t>
      </w:r>
      <w:r w:rsidRPr="0059374F">
        <w:t>band</w:t>
      </w:r>
      <w:r w:rsidR="0089272D">
        <w:t>.</w:t>
      </w:r>
      <w:r>
        <w:rPr>
          <w:rStyle w:val="FootnoteReference"/>
        </w:rPr>
        <w:footnoteReference w:id="26"/>
      </w:r>
      <w:r w:rsidR="0089272D">
        <w:t xml:space="preserve">  </w:t>
      </w:r>
      <w:r w:rsidR="00186DFC">
        <w:t>ORBCOMM states that Swarm does not comply with the r</w:t>
      </w:r>
      <w:r w:rsidR="0082333B">
        <w:t>equirements</w:t>
      </w:r>
      <w:r w:rsidR="0089272D">
        <w:t xml:space="preserve"> for all NVNG MSS </w:t>
      </w:r>
      <w:r w:rsidR="00186DFC">
        <w:t>licensees</w:t>
      </w:r>
      <w:r w:rsidR="0089272D">
        <w:t xml:space="preserve"> to incorporate specific co-frequency spectrum sharing technologies and techniques in their respective satellite systems</w:t>
      </w:r>
      <w:r w:rsidR="005C3F75">
        <w:t>,</w:t>
      </w:r>
      <w:r w:rsidRPr="0059374F" w:rsidR="00046D9D">
        <w:t xml:space="preserve"> </w:t>
      </w:r>
      <w:r w:rsidR="005C3F75">
        <w:t xml:space="preserve">as </w:t>
      </w:r>
      <w:r w:rsidR="00D156CB">
        <w:t xml:space="preserve">proposed by the applicants and </w:t>
      </w:r>
      <w:r w:rsidR="00633FC6">
        <w:t xml:space="preserve">adopted by the Commission in the </w:t>
      </w:r>
      <w:r w:rsidRPr="000C0408" w:rsidR="00633FC6">
        <w:rPr>
          <w:i/>
        </w:rPr>
        <w:t>Second Processing Round Order</w:t>
      </w:r>
      <w:r w:rsidR="00D156CB">
        <w:t>.</w:t>
      </w:r>
      <w:r>
        <w:rPr>
          <w:rStyle w:val="FootnoteReference"/>
        </w:rPr>
        <w:footnoteReference w:id="27"/>
      </w:r>
      <w:r>
        <w:t xml:space="preserve"> </w:t>
      </w:r>
      <w:r w:rsidR="00D156CB">
        <w:t xml:space="preserve"> ORBCOMM</w:t>
      </w:r>
      <w:r w:rsidR="00633FC6">
        <w:t xml:space="preserve"> states that Swarm failed to demonstrate how it would comply with the</w:t>
      </w:r>
      <w:r w:rsidR="005C3F75">
        <w:t>se</w:t>
      </w:r>
      <w:r w:rsidR="00633FC6">
        <w:t xml:space="preserve"> “long established spectrum sharing requirements.”</w:t>
      </w:r>
      <w:r>
        <w:rPr>
          <w:rStyle w:val="FootnoteReference"/>
        </w:rPr>
        <w:footnoteReference w:id="28"/>
      </w:r>
    </w:p>
    <w:p w:rsidR="005E331F" w:rsidRPr="000C0408" w:rsidP="00B6738D">
      <w:pPr>
        <w:pStyle w:val="ParaNum"/>
        <w:widowControl/>
        <w:tabs>
          <w:tab w:val="clear" w:pos="1080"/>
          <w:tab w:val="num" w:pos="1440"/>
        </w:tabs>
        <w:rPr>
          <w:snapToGrid/>
        </w:rPr>
      </w:pPr>
      <w:r>
        <w:t>ORBCOMM also states that Commission rules specifically address coordination between incumbent</w:t>
      </w:r>
      <w:r w:rsidR="007A645D">
        <w:t>s and</w:t>
      </w:r>
      <w:r>
        <w:t xml:space="preserve"> </w:t>
      </w:r>
      <w:r w:rsidR="00010B0C">
        <w:t xml:space="preserve">new </w:t>
      </w:r>
      <w:r>
        <w:t>licensee</w:t>
      </w:r>
      <w:r w:rsidR="007A645D">
        <w:t>s</w:t>
      </w:r>
      <w:r w:rsidR="00C37045">
        <w:t>.</w:t>
      </w:r>
      <w:r w:rsidRPr="000C0408" w:rsidR="00C37045">
        <w:rPr>
          <w:snapToGrid/>
        </w:rPr>
        <w:t xml:space="preserve">  ORBCOMM asserts</w:t>
      </w:r>
      <w:r w:rsidR="006603F1">
        <w:rPr>
          <w:snapToGrid/>
        </w:rPr>
        <w:t xml:space="preserve"> that Swarm has made </w:t>
      </w:r>
      <w:r w:rsidRPr="000C0408" w:rsidR="00D156CB">
        <w:rPr>
          <w:snapToGrid/>
        </w:rPr>
        <w:t xml:space="preserve">no effort </w:t>
      </w:r>
      <w:r w:rsidRPr="000C0408" w:rsidR="00C37045">
        <w:rPr>
          <w:snapToGrid/>
        </w:rPr>
        <w:t xml:space="preserve">to </w:t>
      </w:r>
      <w:r w:rsidR="006603F1">
        <w:rPr>
          <w:snapToGrid/>
        </w:rPr>
        <w:t xml:space="preserve">contact ORBCOMM to coordinate the Swarm system. </w:t>
      </w:r>
      <w:r w:rsidRPr="000C0408" w:rsidR="00633FC6">
        <w:rPr>
          <w:snapToGrid/>
        </w:rPr>
        <w:t xml:space="preserve">as required by the Commission’s rules.  </w:t>
      </w:r>
      <w:r w:rsidRPr="000C0408" w:rsidR="00010B0C">
        <w:rPr>
          <w:snapToGrid/>
        </w:rPr>
        <w:t xml:space="preserve">ORBCOMM states </w:t>
      </w:r>
      <w:r w:rsidRPr="000C0408" w:rsidR="00604E15">
        <w:rPr>
          <w:snapToGrid/>
        </w:rPr>
        <w:t>that Swarm’s claim that it will not share frequencies, and therefore not interfere with ORBCOMM’s system, is erroneous.</w:t>
      </w:r>
      <w:r>
        <w:rPr>
          <w:rStyle w:val="FootnoteReference"/>
          <w:snapToGrid/>
        </w:rPr>
        <w:footnoteReference w:id="29"/>
      </w:r>
      <w:r w:rsidRPr="000C0408" w:rsidR="00C37045">
        <w:rPr>
          <w:snapToGrid/>
        </w:rPr>
        <w:t xml:space="preserve"> </w:t>
      </w:r>
      <w:r w:rsidR="00867D64">
        <w:rPr>
          <w:snapToGrid/>
        </w:rPr>
        <w:t xml:space="preserve"> </w:t>
      </w:r>
      <w:r w:rsidR="006603F1">
        <w:rPr>
          <w:snapToGrid/>
        </w:rPr>
        <w:t xml:space="preserve">In addition, ORBCOMM claims that Swarm’s proposed system does not </w:t>
      </w:r>
      <w:r w:rsidR="00CD17CE">
        <w:rPr>
          <w:snapToGrid/>
        </w:rPr>
        <w:t xml:space="preserve">comply with interservice co-primary sharing requirements, specifically noting </w:t>
      </w:r>
      <w:r w:rsidR="00FB016D">
        <w:rPr>
          <w:snapToGrid/>
        </w:rPr>
        <w:t>F</w:t>
      </w:r>
      <w:r w:rsidR="00CD17CE">
        <w:rPr>
          <w:snapToGrid/>
        </w:rPr>
        <w:t>ootnote US323 to the U.S. Table of Frequency Allocations.</w:t>
      </w:r>
      <w:r>
        <w:rPr>
          <w:rStyle w:val="FootnoteReference"/>
          <w:snapToGrid/>
        </w:rPr>
        <w:footnoteReference w:id="30"/>
      </w:r>
    </w:p>
    <w:p w:rsidR="00D645ED" w:rsidRPr="00D645ED" w:rsidP="00B6738D">
      <w:pPr>
        <w:pStyle w:val="ParaNum"/>
        <w:widowControl/>
        <w:tabs>
          <w:tab w:val="clear" w:pos="1080"/>
          <w:tab w:val="num" w:pos="1440"/>
        </w:tabs>
        <w:rPr>
          <w:snapToGrid/>
        </w:rPr>
      </w:pPr>
      <w:r>
        <w:rPr>
          <w:snapToGrid/>
        </w:rPr>
        <w:t xml:space="preserve">In its response, Swarm </w:t>
      </w:r>
      <w:r w:rsidR="007A645D">
        <w:rPr>
          <w:snapToGrid/>
        </w:rPr>
        <w:t>reiterates that</w:t>
      </w:r>
      <w:r w:rsidR="00967418">
        <w:rPr>
          <w:snapToGrid/>
        </w:rPr>
        <w:t xml:space="preserve"> </w:t>
      </w:r>
      <w:r w:rsidR="007A645D">
        <w:rPr>
          <w:snapToGrid/>
        </w:rPr>
        <w:t xml:space="preserve">it </w:t>
      </w:r>
      <w:r w:rsidR="00967418">
        <w:rPr>
          <w:snapToGrid/>
        </w:rPr>
        <w:t>has applied to use only those sub-band</w:t>
      </w:r>
      <w:r w:rsidR="00783833">
        <w:rPr>
          <w:snapToGrid/>
        </w:rPr>
        <w:t>s</w:t>
      </w:r>
      <w:r w:rsidR="00967418">
        <w:rPr>
          <w:snapToGrid/>
        </w:rPr>
        <w:t xml:space="preserve"> where </w:t>
      </w:r>
      <w:r w:rsidRPr="00A541FD" w:rsidR="00967418">
        <w:t>ORBCOMM</w:t>
      </w:r>
      <w:r w:rsidR="00967418">
        <w:rPr>
          <w:snapToGrid/>
        </w:rPr>
        <w:t xml:space="preserve"> has secondary rights, not t</w:t>
      </w:r>
      <w:r w:rsidR="005551F5">
        <w:rPr>
          <w:snapToGrid/>
        </w:rPr>
        <w:t xml:space="preserve">hose </w:t>
      </w:r>
      <w:r>
        <w:rPr>
          <w:snapToGrid/>
        </w:rPr>
        <w:t>portions of the 148-150</w:t>
      </w:r>
      <w:r w:rsidR="009225C9">
        <w:rPr>
          <w:snapToGrid/>
        </w:rPr>
        <w:t>.05</w:t>
      </w:r>
      <w:r>
        <w:rPr>
          <w:snapToGrid/>
        </w:rPr>
        <w:t xml:space="preserve"> MHz band where ORBCOMM is assigned on a primary basis.</w:t>
      </w:r>
      <w:r>
        <w:rPr>
          <w:rStyle w:val="FootnoteReference"/>
          <w:snapToGrid/>
        </w:rPr>
        <w:footnoteReference w:id="31"/>
      </w:r>
      <w:r>
        <w:rPr>
          <w:snapToGrid/>
        </w:rPr>
        <w:t xml:space="preserve"> </w:t>
      </w:r>
      <w:r w:rsidR="00DB738E">
        <w:rPr>
          <w:snapToGrid/>
        </w:rPr>
        <w:t xml:space="preserve"> </w:t>
      </w:r>
      <w:r w:rsidR="007A645D">
        <w:rPr>
          <w:snapToGrid/>
        </w:rPr>
        <w:t>Consequently</w:t>
      </w:r>
      <w:r w:rsidR="005551F5">
        <w:rPr>
          <w:snapToGrid/>
        </w:rPr>
        <w:t xml:space="preserve">, ORBCOMM has no basis to claim </w:t>
      </w:r>
      <w:r w:rsidR="00967418">
        <w:rPr>
          <w:snapToGrid/>
        </w:rPr>
        <w:t xml:space="preserve">interference protection rights across the entire band, or </w:t>
      </w:r>
      <w:r w:rsidR="001D1942">
        <w:rPr>
          <w:snapToGrid/>
        </w:rPr>
        <w:t xml:space="preserve">require that </w:t>
      </w:r>
      <w:r w:rsidR="005551F5">
        <w:rPr>
          <w:snapToGrid/>
        </w:rPr>
        <w:t>Swarm use a particular interference avoidance technology</w:t>
      </w:r>
      <w:r w:rsidR="00E8326B">
        <w:rPr>
          <w:snapToGrid/>
        </w:rPr>
        <w:t xml:space="preserve"> that was developed for systems in the second processing round, over 25 years ago</w:t>
      </w:r>
      <w:r w:rsidR="00B1520A">
        <w:rPr>
          <w:snapToGrid/>
        </w:rPr>
        <w:t>.</w:t>
      </w:r>
      <w:r>
        <w:rPr>
          <w:rStyle w:val="FootnoteReference"/>
          <w:snapToGrid/>
        </w:rPr>
        <w:footnoteReference w:id="32"/>
      </w:r>
      <w:r w:rsidR="00E8326B">
        <w:rPr>
          <w:snapToGrid/>
        </w:rPr>
        <w:t xml:space="preserve"> </w:t>
      </w:r>
      <w:r w:rsidR="00F42EB4">
        <w:rPr>
          <w:snapToGrid/>
        </w:rPr>
        <w:t xml:space="preserve"> </w:t>
      </w:r>
      <w:r w:rsidR="00E8326B">
        <w:rPr>
          <w:snapToGrid/>
        </w:rPr>
        <w:t>Instead,</w:t>
      </w:r>
      <w:r w:rsidR="004E3A4B">
        <w:rPr>
          <w:snapToGrid/>
        </w:rPr>
        <w:t xml:space="preserve"> Swarm </w:t>
      </w:r>
      <w:r w:rsidR="008E4FD7">
        <w:rPr>
          <w:snapToGrid/>
        </w:rPr>
        <w:t xml:space="preserve">states it </w:t>
      </w:r>
      <w:r w:rsidR="004E3A4B">
        <w:rPr>
          <w:snapToGrid/>
        </w:rPr>
        <w:t xml:space="preserve">should be able to determine the technologies that work best for its system </w:t>
      </w:r>
      <w:r w:rsidR="00E8326B">
        <w:rPr>
          <w:snapToGrid/>
        </w:rPr>
        <w:t xml:space="preserve">and utilize the advancements in satellite technology.  </w:t>
      </w:r>
      <w:r w:rsidR="00CD0CD5">
        <w:rPr>
          <w:snapToGrid/>
        </w:rPr>
        <w:t xml:space="preserve">Swarm asserts that </w:t>
      </w:r>
      <w:r w:rsidR="00F42EB4">
        <w:rPr>
          <w:snapToGrid/>
        </w:rPr>
        <w:t xml:space="preserve">ORBCOMM’s claims essentially expand its rights to </w:t>
      </w:r>
      <w:r w:rsidR="0003223F">
        <w:rPr>
          <w:snapToGrid/>
        </w:rPr>
        <w:t>use the entire 148-150 MHz band</w:t>
      </w:r>
      <w:r w:rsidR="001038DD">
        <w:rPr>
          <w:snapToGrid/>
        </w:rPr>
        <w:t>, effectively modifying its authorization without an application process</w:t>
      </w:r>
      <w:r w:rsidR="0003223F">
        <w:rPr>
          <w:snapToGrid/>
        </w:rPr>
        <w:t>.</w:t>
      </w:r>
      <w:r w:rsidR="001A6F40">
        <w:rPr>
          <w:snapToGrid/>
        </w:rPr>
        <w:t xml:space="preserve"> </w:t>
      </w:r>
      <w:r w:rsidR="0003223F">
        <w:rPr>
          <w:snapToGrid/>
        </w:rPr>
        <w:t xml:space="preserve"> Instead, </w:t>
      </w:r>
      <w:r w:rsidR="005C3F75">
        <w:rPr>
          <w:snapToGrid/>
        </w:rPr>
        <w:t xml:space="preserve">argues Swarm, </w:t>
      </w:r>
      <w:r w:rsidR="0003223F">
        <w:rPr>
          <w:snapToGrid/>
        </w:rPr>
        <w:t>ORBCOMM must vacate</w:t>
      </w:r>
      <w:r w:rsidR="00C84259">
        <w:rPr>
          <w:snapToGrid/>
        </w:rPr>
        <w:t xml:space="preserve"> frequencies that it was not assigned on a </w:t>
      </w:r>
      <w:r w:rsidR="00C84259">
        <w:rPr>
          <w:snapToGrid/>
        </w:rPr>
        <w:t>primary basis.</w:t>
      </w:r>
      <w:r>
        <w:rPr>
          <w:rStyle w:val="FootnoteReference"/>
          <w:snapToGrid/>
        </w:rPr>
        <w:footnoteReference w:id="33"/>
      </w:r>
      <w:r w:rsidR="00F719BD">
        <w:rPr>
          <w:snapToGrid/>
        </w:rPr>
        <w:t xml:space="preserve">  Swarm also responds that ORBCOMM’s concerns regarding Swarm’s compliance with Footnote US323 are premature, and that it will address its earth stations’ compliance with the Commission’s rules when it applies for the ground segment of its netwo</w:t>
      </w:r>
      <w:r w:rsidR="00025858">
        <w:rPr>
          <w:snapToGrid/>
        </w:rPr>
        <w:t>rk.</w:t>
      </w:r>
      <w:r>
        <w:rPr>
          <w:rStyle w:val="FootnoteReference"/>
          <w:snapToGrid/>
        </w:rPr>
        <w:footnoteReference w:id="34"/>
      </w:r>
      <w:r w:rsidR="00025858">
        <w:rPr>
          <w:snapToGrid/>
        </w:rPr>
        <w:t xml:space="preserve">  </w:t>
      </w:r>
      <w:r w:rsidRPr="00025858" w:rsidR="00025858">
        <w:rPr>
          <w:shd w:val="clear" w:color="auto" w:fill="FFFFFF"/>
        </w:rPr>
        <w:t xml:space="preserve">We agree with Swarm and will address its compliance with Footnote US323 in the context of its earth station applications. Nonetheless, we include a condition in this authorization requiring Swarm’s transmit </w:t>
      </w:r>
      <w:r w:rsidR="005068FD">
        <w:rPr>
          <w:shd w:val="clear" w:color="auto" w:fill="FFFFFF"/>
        </w:rPr>
        <w:t xml:space="preserve">earth station </w:t>
      </w:r>
      <w:r w:rsidRPr="00025858" w:rsidR="00025858">
        <w:rPr>
          <w:shd w:val="clear" w:color="auto" w:fill="FFFFFF"/>
        </w:rPr>
        <w:t>operations to comply with the Footnote US323.</w:t>
      </w:r>
      <w:r w:rsidR="00025858">
        <w:rPr>
          <w:color w:val="3D3D3D"/>
          <w:shd w:val="clear" w:color="auto" w:fill="FFFFFF"/>
        </w:rPr>
        <w:t xml:space="preserve"> </w:t>
      </w:r>
    </w:p>
    <w:p w:rsidR="002B54C0" w:rsidRPr="0055668B" w:rsidP="00B6738D">
      <w:pPr>
        <w:pStyle w:val="ParaNum"/>
        <w:widowControl/>
        <w:tabs>
          <w:tab w:val="clear" w:pos="1080"/>
          <w:tab w:val="num" w:pos="1440"/>
        </w:tabs>
        <w:rPr>
          <w:snapToGrid/>
        </w:rPr>
      </w:pPr>
      <w:r w:rsidRPr="009A1496">
        <w:rPr>
          <w:snapToGrid/>
        </w:rPr>
        <w:t xml:space="preserve">In the </w:t>
      </w:r>
      <w:r w:rsidRPr="00082F31">
        <w:rPr>
          <w:i/>
          <w:snapToGrid/>
        </w:rPr>
        <w:t>Second Processing Round Order</w:t>
      </w:r>
      <w:r w:rsidRPr="009A1496">
        <w:rPr>
          <w:snapToGrid/>
        </w:rPr>
        <w:t xml:space="preserve"> the Commission designated specific sub-bands for use among the applicants in the 148-150.05 MHz band.</w:t>
      </w:r>
      <w:r>
        <w:rPr>
          <w:rStyle w:val="FootnoteReference"/>
          <w:snapToGrid/>
        </w:rPr>
        <w:footnoteReference w:id="35"/>
      </w:r>
      <w:r w:rsidRPr="009A1496">
        <w:rPr>
          <w:snapToGrid/>
        </w:rPr>
        <w:t xml:space="preserve"> </w:t>
      </w:r>
      <w:r>
        <w:rPr>
          <w:snapToGrid/>
        </w:rPr>
        <w:t xml:space="preserve"> </w:t>
      </w:r>
      <w:r w:rsidR="00C12FD8">
        <w:rPr>
          <w:snapToGrid/>
        </w:rPr>
        <w:t>ORBCOMM was subsequently authorized to modify its system by adding “System 1” frequencies</w:t>
      </w:r>
      <w:r w:rsidR="001321E6">
        <w:rPr>
          <w:snapToGrid/>
        </w:rPr>
        <w:t>.</w:t>
      </w:r>
      <w:r>
        <w:rPr>
          <w:rStyle w:val="FootnoteReference"/>
          <w:snapToGrid/>
        </w:rPr>
        <w:footnoteReference w:id="36"/>
      </w:r>
      <w:r w:rsidR="00C12FD8">
        <w:rPr>
          <w:snapToGrid/>
        </w:rPr>
        <w:t xml:space="preserve">  </w:t>
      </w:r>
      <w:r w:rsidRPr="00AD1983">
        <w:rPr>
          <w:snapToGrid/>
        </w:rPr>
        <w:t>The Commission also, to put otherwise vacant frequencies to use, allowed ORBCOMM to use frequencies other than its primary assignments on a non-harmful interference basis with respect to other lawful operations.</w:t>
      </w:r>
      <w:r>
        <w:rPr>
          <w:rStyle w:val="FootnoteReference"/>
          <w:snapToGrid/>
        </w:rPr>
        <w:footnoteReference w:id="37"/>
      </w:r>
      <w:r w:rsidRPr="00AD1983">
        <w:rPr>
          <w:snapToGrid/>
        </w:rPr>
        <w:t xml:space="preserve">  The Commission stated that “</w:t>
      </w:r>
      <w:r w:rsidR="007152C7">
        <w:rPr>
          <w:snapToGrid/>
        </w:rPr>
        <w:t>[</w:t>
      </w:r>
      <w:r w:rsidRPr="00AD1983">
        <w:rPr>
          <w:snapToGrid/>
        </w:rPr>
        <w:t>u</w:t>
      </w:r>
      <w:r w:rsidR="007152C7">
        <w:rPr>
          <w:snapToGrid/>
        </w:rPr>
        <w:t>]</w:t>
      </w:r>
      <w:r w:rsidRPr="00AD1983">
        <w:rPr>
          <w:snapToGrid/>
        </w:rPr>
        <w:t>pon commencement of operations by another U.S.-licensed Little LEO system ORBCOMM may operate only in its primary assigned frequency bands</w:t>
      </w:r>
      <w:r w:rsidR="007C02C2">
        <w:rPr>
          <w:snapToGrid/>
        </w:rPr>
        <w:t>…</w:t>
      </w:r>
      <w:r w:rsidRPr="00AD1983">
        <w:rPr>
          <w:snapToGrid/>
        </w:rPr>
        <w:t>.”</w:t>
      </w:r>
      <w:r>
        <w:rPr>
          <w:rStyle w:val="FootnoteReference"/>
          <w:snapToGrid/>
        </w:rPr>
        <w:footnoteReference w:id="38"/>
      </w:r>
      <w:r w:rsidRPr="00AD1983">
        <w:rPr>
          <w:snapToGrid/>
        </w:rPr>
        <w:t xml:space="preserve"> </w:t>
      </w:r>
      <w:r w:rsidR="00BE0288">
        <w:rPr>
          <w:snapToGrid/>
        </w:rPr>
        <w:t xml:space="preserve"> In these statements, </w:t>
      </w:r>
      <w:r w:rsidR="001B69E2">
        <w:rPr>
          <w:snapToGrid/>
        </w:rPr>
        <w:t xml:space="preserve">the Commission made clear that ORBCOMM </w:t>
      </w:r>
      <w:r w:rsidR="00CD3BAC">
        <w:rPr>
          <w:snapToGrid/>
        </w:rPr>
        <w:t>do</w:t>
      </w:r>
      <w:r w:rsidR="00BE0288">
        <w:rPr>
          <w:snapToGrid/>
        </w:rPr>
        <w:t xml:space="preserve">es not have exclusive rights to the </w:t>
      </w:r>
      <w:r w:rsidR="0055668B">
        <w:rPr>
          <w:snapToGrid/>
        </w:rPr>
        <w:t xml:space="preserve">entire </w:t>
      </w:r>
      <w:r w:rsidR="00BE0288">
        <w:rPr>
          <w:snapToGrid/>
        </w:rPr>
        <w:t>148-1</w:t>
      </w:r>
      <w:r w:rsidR="004577A6">
        <w:rPr>
          <w:snapToGrid/>
        </w:rPr>
        <w:t>50</w:t>
      </w:r>
      <w:r w:rsidR="00BE0288">
        <w:rPr>
          <w:snapToGrid/>
        </w:rPr>
        <w:t xml:space="preserve">.05 MHz band and </w:t>
      </w:r>
      <w:r w:rsidR="00CD13EC">
        <w:rPr>
          <w:snapToGrid/>
        </w:rPr>
        <w:t>that</w:t>
      </w:r>
      <w:r w:rsidR="00CD3BAC">
        <w:rPr>
          <w:snapToGrid/>
        </w:rPr>
        <w:t xml:space="preserve">, upon the commencement of </w:t>
      </w:r>
      <w:r w:rsidR="00086387">
        <w:rPr>
          <w:snapToGrid/>
        </w:rPr>
        <w:t xml:space="preserve">operations by </w:t>
      </w:r>
      <w:r w:rsidR="00CD3BAC">
        <w:rPr>
          <w:snapToGrid/>
        </w:rPr>
        <w:t>a qualified licensee,</w:t>
      </w:r>
      <w:r w:rsidR="00197EAF">
        <w:rPr>
          <w:snapToGrid/>
        </w:rPr>
        <w:t xml:space="preserve"> </w:t>
      </w:r>
      <w:r w:rsidR="00530FED">
        <w:rPr>
          <w:snapToGrid/>
        </w:rPr>
        <w:t xml:space="preserve">ORBCOMM </w:t>
      </w:r>
      <w:r w:rsidR="00CD13EC">
        <w:rPr>
          <w:snapToGrid/>
        </w:rPr>
        <w:t xml:space="preserve">must </w:t>
      </w:r>
      <w:r w:rsidR="0055668B">
        <w:rPr>
          <w:snapToGrid/>
        </w:rPr>
        <w:t xml:space="preserve">limit operations to its primary assigned bands consistent with the plan adopted in the </w:t>
      </w:r>
      <w:r w:rsidRPr="0055668B" w:rsidR="0055668B">
        <w:rPr>
          <w:i/>
          <w:snapToGrid/>
        </w:rPr>
        <w:t>Second Processing Round Order.</w:t>
      </w:r>
      <w:r>
        <w:rPr>
          <w:rStyle w:val="FootnoteReference"/>
          <w:snapToGrid/>
        </w:rPr>
        <w:footnoteReference w:id="39"/>
      </w:r>
      <w:r w:rsidR="0055668B">
        <w:rPr>
          <w:snapToGrid/>
        </w:rPr>
        <w:t xml:space="preserve">  </w:t>
      </w:r>
      <w:r w:rsidR="00CD13EC">
        <w:rPr>
          <w:snapToGrid/>
        </w:rPr>
        <w:t>Swarm has not requested use of any of the bands assigned to ORBCOMM</w:t>
      </w:r>
      <w:r w:rsidR="00086387">
        <w:rPr>
          <w:snapToGrid/>
        </w:rPr>
        <w:t xml:space="preserve"> on a primary basis vis-à-vis other MSS systems</w:t>
      </w:r>
      <w:r w:rsidR="00CD13EC">
        <w:rPr>
          <w:snapToGrid/>
        </w:rPr>
        <w:t xml:space="preserve">. </w:t>
      </w:r>
      <w:r w:rsidR="00DB738E">
        <w:rPr>
          <w:snapToGrid/>
        </w:rPr>
        <w:t xml:space="preserve"> </w:t>
      </w:r>
      <w:r w:rsidR="00FB016D">
        <w:rPr>
          <w:snapToGrid/>
        </w:rPr>
        <w:t xml:space="preserve">Consequently, we disagree with ORBCOMM’s assertion that Swarm is </w:t>
      </w:r>
      <w:r w:rsidR="00CE022D">
        <w:rPr>
          <w:snapToGrid/>
        </w:rPr>
        <w:t xml:space="preserve">disregarding ORBCOMM’s spectrum rights. </w:t>
      </w:r>
    </w:p>
    <w:p w:rsidR="0012284F" w:rsidP="00B6738D">
      <w:pPr>
        <w:pStyle w:val="ParaNum"/>
        <w:widowControl/>
        <w:tabs>
          <w:tab w:val="clear" w:pos="1080"/>
          <w:tab w:val="num" w:pos="1440"/>
        </w:tabs>
        <w:rPr>
          <w:snapToGrid/>
        </w:rPr>
      </w:pPr>
      <w:r w:rsidRPr="00F205F8">
        <w:rPr>
          <w:snapToGrid/>
        </w:rPr>
        <w:t xml:space="preserve">We also find unconvincing </w:t>
      </w:r>
      <w:r w:rsidRPr="00F205F8" w:rsidR="0009096A">
        <w:rPr>
          <w:snapToGrid/>
        </w:rPr>
        <w:t xml:space="preserve">ORBCOMM’s </w:t>
      </w:r>
      <w:r w:rsidRPr="00F205F8" w:rsidR="006F193B">
        <w:rPr>
          <w:snapToGrid/>
        </w:rPr>
        <w:t xml:space="preserve">claims that Swarm’s application should be denied because it does not comply with the sharing schemes and technologies developed in the </w:t>
      </w:r>
      <w:r w:rsidRPr="00F205F8" w:rsidR="006F193B">
        <w:rPr>
          <w:i/>
          <w:snapToGrid/>
        </w:rPr>
        <w:t>Second Processing Round Order</w:t>
      </w:r>
      <w:r w:rsidRPr="00F205F8" w:rsidR="006F193B">
        <w:rPr>
          <w:snapToGrid/>
        </w:rPr>
        <w:t>.</w:t>
      </w:r>
      <w:r>
        <w:rPr>
          <w:rStyle w:val="FootnoteReference"/>
          <w:snapToGrid/>
        </w:rPr>
        <w:footnoteReference w:id="40"/>
      </w:r>
      <w:r w:rsidRPr="00F205F8" w:rsidR="006F193B">
        <w:rPr>
          <w:snapToGrid/>
        </w:rPr>
        <w:t xml:space="preserve"> </w:t>
      </w:r>
      <w:r w:rsidRPr="00F205F8" w:rsidR="00DB738E">
        <w:rPr>
          <w:snapToGrid/>
        </w:rPr>
        <w:t xml:space="preserve"> </w:t>
      </w:r>
      <w:r w:rsidRPr="00F205F8" w:rsidR="006F193B">
        <w:rPr>
          <w:snapToGrid/>
        </w:rPr>
        <w:t>In that Order, t</w:t>
      </w:r>
      <w:r w:rsidRPr="00F205F8" w:rsidR="003B3706">
        <w:rPr>
          <w:snapToGrid/>
        </w:rPr>
        <w:t>he Commission stated that with appropriate transmission techniques, coordination</w:t>
      </w:r>
      <w:r w:rsidRPr="00F205F8" w:rsidR="00CD3BAC">
        <w:rPr>
          <w:snapToGrid/>
        </w:rPr>
        <w:t>,</w:t>
      </w:r>
      <w:r w:rsidRPr="00F205F8" w:rsidR="003B3706">
        <w:rPr>
          <w:snapToGrid/>
        </w:rPr>
        <w:t xml:space="preserve"> and time sharing</w:t>
      </w:r>
      <w:r w:rsidRPr="00F205F8" w:rsidR="006F193B">
        <w:rPr>
          <w:snapToGrid/>
        </w:rPr>
        <w:t>,</w:t>
      </w:r>
      <w:r w:rsidRPr="00F205F8" w:rsidR="003B3706">
        <w:rPr>
          <w:snapToGrid/>
        </w:rPr>
        <w:t xml:space="preserve"> there was </w:t>
      </w:r>
      <w:r w:rsidRPr="00F205F8" w:rsidR="003B3706">
        <w:rPr>
          <w:snapToGrid/>
        </w:rPr>
        <w:t>sufficient</w:t>
      </w:r>
      <w:r w:rsidRPr="00F205F8" w:rsidR="003B3706">
        <w:rPr>
          <w:snapToGrid/>
        </w:rPr>
        <w:t xml:space="preserve"> spectrum to issue five license</w:t>
      </w:r>
      <w:r w:rsidRPr="00F205F8" w:rsidR="00692E65">
        <w:rPr>
          <w:snapToGrid/>
        </w:rPr>
        <w:t xml:space="preserve">s. </w:t>
      </w:r>
      <w:r w:rsidRPr="00F205F8" w:rsidR="00E16B1E">
        <w:rPr>
          <w:snapToGrid/>
        </w:rPr>
        <w:t xml:space="preserve"> </w:t>
      </w:r>
      <w:r w:rsidRPr="00F205F8" w:rsidR="003F7B74">
        <w:rPr>
          <w:snapToGrid/>
        </w:rPr>
        <w:t xml:space="preserve">The </w:t>
      </w:r>
      <w:r w:rsidRPr="00F205F8" w:rsidR="003F7B74">
        <w:rPr>
          <w:snapToGrid/>
        </w:rPr>
        <w:t>Commission r</w:t>
      </w:r>
      <w:r w:rsidRPr="00F205F8" w:rsidR="00565937">
        <w:rPr>
          <w:snapToGrid/>
        </w:rPr>
        <w:t>ecognized</w:t>
      </w:r>
      <w:r w:rsidRPr="00F205F8" w:rsidR="006F5B42">
        <w:rPr>
          <w:snapToGrid/>
        </w:rPr>
        <w:t xml:space="preserve"> </w:t>
      </w:r>
      <w:r w:rsidRPr="00F205F8" w:rsidR="003F7B74">
        <w:rPr>
          <w:snapToGrid/>
        </w:rPr>
        <w:t xml:space="preserve">that </w:t>
      </w:r>
      <w:r w:rsidRPr="00F205F8" w:rsidR="002B41D3">
        <w:rPr>
          <w:snapToGrid/>
        </w:rPr>
        <w:t xml:space="preserve">allowing the applicants to develop a spectrum sharing plan would promote competition </w:t>
      </w:r>
      <w:r w:rsidRPr="00F205F8" w:rsidR="00CD3BAC">
        <w:rPr>
          <w:snapToGrid/>
        </w:rPr>
        <w:t>and</w:t>
      </w:r>
      <w:r w:rsidRPr="00F205F8" w:rsidR="002B41D3">
        <w:rPr>
          <w:snapToGrid/>
        </w:rPr>
        <w:t xml:space="preserve"> a more efficient use of the spectrum.</w:t>
      </w:r>
      <w:r>
        <w:rPr>
          <w:rStyle w:val="FootnoteReference"/>
          <w:snapToGrid/>
        </w:rPr>
        <w:footnoteReference w:id="41"/>
      </w:r>
      <w:r w:rsidRPr="00F205F8" w:rsidR="003F7B74">
        <w:rPr>
          <w:snapToGrid/>
        </w:rPr>
        <w:t xml:space="preserve"> </w:t>
      </w:r>
    </w:p>
    <w:p w:rsidR="002448FD" w:rsidRPr="00F205F8" w:rsidP="00B6738D">
      <w:pPr>
        <w:pStyle w:val="ParaNum"/>
        <w:widowControl/>
        <w:tabs>
          <w:tab w:val="clear" w:pos="1080"/>
          <w:tab w:val="num" w:pos="1440"/>
        </w:tabs>
        <w:rPr>
          <w:snapToGrid/>
        </w:rPr>
      </w:pPr>
      <w:r>
        <w:rPr>
          <w:snapToGrid/>
        </w:rPr>
        <w:t>A</w:t>
      </w:r>
      <w:r w:rsidRPr="002B54C0" w:rsidR="003F7B74">
        <w:rPr>
          <w:snapToGrid/>
        </w:rPr>
        <w:t xml:space="preserve">ccordingly, </w:t>
      </w:r>
      <w:r w:rsidRPr="00F205F8" w:rsidR="003F7B74">
        <w:rPr>
          <w:snapToGrid/>
        </w:rPr>
        <w:t>the Commission adopted the plan agreed to by the parties</w:t>
      </w:r>
      <w:r w:rsidRPr="00F205F8" w:rsidR="002B41D3">
        <w:rPr>
          <w:snapToGrid/>
        </w:rPr>
        <w:t xml:space="preserve"> </w:t>
      </w:r>
      <w:r w:rsidRPr="00F205F8" w:rsidR="003F7B74">
        <w:rPr>
          <w:snapToGrid/>
        </w:rPr>
        <w:t xml:space="preserve">that accommodated three new Little LEO systems and allowed two existing licensees, including ORBCOMM, to expand their systems. </w:t>
      </w:r>
      <w:r w:rsidRPr="00F205F8" w:rsidR="008D42BD">
        <w:rPr>
          <w:snapToGrid/>
        </w:rPr>
        <w:t xml:space="preserve"> </w:t>
      </w:r>
      <w:r w:rsidRPr="00F205F8" w:rsidR="00B739BB">
        <w:rPr>
          <w:snapToGrid/>
        </w:rPr>
        <w:t xml:space="preserve">Importantly the Commission noted that the licensing scheme and service rules it was adopting were “applicable to </w:t>
      </w:r>
      <w:r w:rsidRPr="00F205F8" w:rsidR="00B739BB">
        <w:rPr>
          <w:i/>
          <w:snapToGrid/>
        </w:rPr>
        <w:t>second processing</w:t>
      </w:r>
      <w:r w:rsidRPr="00F205F8" w:rsidR="00B739BB">
        <w:rPr>
          <w:snapToGrid/>
        </w:rPr>
        <w:t xml:space="preserve"> round Little LEO licensees.”</w:t>
      </w:r>
      <w:r>
        <w:rPr>
          <w:rStyle w:val="FootnoteReference"/>
          <w:snapToGrid/>
        </w:rPr>
        <w:footnoteReference w:id="42"/>
      </w:r>
      <w:r w:rsidRPr="002B54C0" w:rsidR="00B739BB">
        <w:rPr>
          <w:snapToGrid/>
        </w:rPr>
        <w:t xml:space="preserve"> </w:t>
      </w:r>
      <w:r w:rsidRPr="002B54C0" w:rsidR="005D43A2">
        <w:rPr>
          <w:snapToGrid/>
        </w:rPr>
        <w:t xml:space="preserve"> </w:t>
      </w:r>
      <w:r w:rsidRPr="00F205F8" w:rsidR="008D42BD">
        <w:rPr>
          <w:snapToGrid/>
        </w:rPr>
        <w:t>The applicants were directed to amend their applications to comply with the plan and rules adopted by the Commission, and their authorizations were granted consistent with the plan.</w:t>
      </w:r>
      <w:r>
        <w:rPr>
          <w:rStyle w:val="FootnoteReference"/>
          <w:snapToGrid/>
        </w:rPr>
        <w:footnoteReference w:id="43"/>
      </w:r>
      <w:r w:rsidRPr="002B54C0" w:rsidR="006A2DF6">
        <w:rPr>
          <w:snapToGrid/>
        </w:rPr>
        <w:t xml:space="preserve"> </w:t>
      </w:r>
      <w:r w:rsidRPr="002B54C0" w:rsidR="00E16B1E">
        <w:rPr>
          <w:snapToGrid/>
        </w:rPr>
        <w:t xml:space="preserve"> </w:t>
      </w:r>
      <w:r w:rsidRPr="00F205F8" w:rsidR="00D30333">
        <w:rPr>
          <w:snapToGrid/>
        </w:rPr>
        <w:t>ORBCOMM</w:t>
      </w:r>
      <w:r w:rsidRPr="00F205F8" w:rsidR="00A13A0A">
        <w:rPr>
          <w:snapToGrid/>
        </w:rPr>
        <w:t xml:space="preserve">, however, </w:t>
      </w:r>
      <w:r w:rsidRPr="00F205F8" w:rsidR="00530FED">
        <w:rPr>
          <w:snapToGrid/>
        </w:rPr>
        <w:t xml:space="preserve">interprets the Commission’s adoption of the plan as applying to </w:t>
      </w:r>
      <w:r w:rsidRPr="00F205F8" w:rsidR="00C536CC">
        <w:rPr>
          <w:snapToGrid/>
        </w:rPr>
        <w:t xml:space="preserve">any </w:t>
      </w:r>
      <w:r w:rsidRPr="00F205F8" w:rsidR="003E1993">
        <w:rPr>
          <w:snapToGrid/>
        </w:rPr>
        <w:t>licensee</w:t>
      </w:r>
      <w:r w:rsidRPr="00F205F8" w:rsidR="00C536CC">
        <w:rPr>
          <w:snapToGrid/>
        </w:rPr>
        <w:t xml:space="preserve"> seeking to use NVNG MSS </w:t>
      </w:r>
      <w:r w:rsidRPr="00F205F8" w:rsidR="00AD5E0B">
        <w:rPr>
          <w:snapToGrid/>
        </w:rPr>
        <w:t>frequencies</w:t>
      </w:r>
      <w:r w:rsidRPr="00F205F8" w:rsidR="00C536CC">
        <w:rPr>
          <w:snapToGrid/>
        </w:rPr>
        <w:t xml:space="preserve"> </w:t>
      </w:r>
      <w:r w:rsidRPr="00F205F8" w:rsidR="007C6090">
        <w:rPr>
          <w:snapToGrid/>
        </w:rPr>
        <w:t xml:space="preserve">regardless of the time of </w:t>
      </w:r>
      <w:r w:rsidRPr="00F205F8" w:rsidR="003B217C">
        <w:rPr>
          <w:snapToGrid/>
        </w:rPr>
        <w:t>licensing</w:t>
      </w:r>
      <w:r w:rsidRPr="00F205F8" w:rsidR="007C6090">
        <w:rPr>
          <w:snapToGrid/>
        </w:rPr>
        <w:t>.</w:t>
      </w:r>
      <w:r>
        <w:rPr>
          <w:rStyle w:val="FootnoteReference"/>
          <w:snapToGrid/>
        </w:rPr>
        <w:footnoteReference w:id="44"/>
      </w:r>
      <w:r w:rsidRPr="002B54C0" w:rsidR="003E1993">
        <w:rPr>
          <w:snapToGrid/>
        </w:rPr>
        <w:t xml:space="preserve"> </w:t>
      </w:r>
      <w:r w:rsidRPr="002B54C0" w:rsidR="006B098E">
        <w:rPr>
          <w:snapToGrid/>
        </w:rPr>
        <w:t xml:space="preserve"> We disagree. </w:t>
      </w:r>
      <w:r w:rsidRPr="00F205F8" w:rsidR="007C6090">
        <w:rPr>
          <w:snapToGrid/>
        </w:rPr>
        <w:t xml:space="preserve"> We do not expect or require a NVNG MSS system </w:t>
      </w:r>
      <w:r w:rsidRPr="00F205F8" w:rsidR="006B098E">
        <w:rPr>
          <w:snapToGrid/>
        </w:rPr>
        <w:t xml:space="preserve">that did not participate in the </w:t>
      </w:r>
      <w:r w:rsidRPr="00F205F8" w:rsidR="00530FED">
        <w:rPr>
          <w:snapToGrid/>
        </w:rPr>
        <w:t xml:space="preserve">sharing </w:t>
      </w:r>
      <w:r w:rsidRPr="00F205F8" w:rsidR="006B098E">
        <w:rPr>
          <w:snapToGrid/>
        </w:rPr>
        <w:t>plan</w:t>
      </w:r>
      <w:r w:rsidRPr="00F205F8" w:rsidR="00167F51">
        <w:rPr>
          <w:snapToGrid/>
        </w:rPr>
        <w:t>,</w:t>
      </w:r>
      <w:r w:rsidRPr="00F205F8" w:rsidR="006B098E">
        <w:rPr>
          <w:snapToGrid/>
        </w:rPr>
        <w:t xml:space="preserve"> </w:t>
      </w:r>
      <w:r w:rsidRPr="00F205F8" w:rsidR="00530FED">
        <w:rPr>
          <w:snapToGrid/>
        </w:rPr>
        <w:t xml:space="preserve">mutually agreed to by the </w:t>
      </w:r>
      <w:r w:rsidRPr="00F205F8" w:rsidR="006C1B8E">
        <w:rPr>
          <w:snapToGrid/>
        </w:rPr>
        <w:t>second-round</w:t>
      </w:r>
      <w:r w:rsidRPr="00F205F8" w:rsidR="00530FED">
        <w:rPr>
          <w:snapToGrid/>
        </w:rPr>
        <w:t xml:space="preserve"> applicants</w:t>
      </w:r>
      <w:r w:rsidRPr="00F205F8" w:rsidR="00167F51">
        <w:rPr>
          <w:snapToGrid/>
        </w:rPr>
        <w:t xml:space="preserve">, to be bound by the plan </w:t>
      </w:r>
      <w:r w:rsidRPr="00F205F8" w:rsidR="00973BFC">
        <w:rPr>
          <w:snapToGrid/>
        </w:rPr>
        <w:t>that in any case was intended to apply</w:t>
      </w:r>
      <w:r w:rsidRPr="00F205F8" w:rsidR="005E422E">
        <w:rPr>
          <w:snapToGrid/>
        </w:rPr>
        <w:t xml:space="preserve"> to a </w:t>
      </w:r>
      <w:r w:rsidRPr="00F205F8" w:rsidR="00973BFC">
        <w:rPr>
          <w:snapToGrid/>
        </w:rPr>
        <w:t>processing roun</w:t>
      </w:r>
      <w:r w:rsidRPr="00F205F8" w:rsidR="005E422E">
        <w:rPr>
          <w:snapToGrid/>
        </w:rPr>
        <w:t>d closed more than 20 years ago.</w:t>
      </w:r>
      <w:r>
        <w:rPr>
          <w:rStyle w:val="FootnoteReference"/>
          <w:snapToGrid/>
        </w:rPr>
        <w:footnoteReference w:id="45"/>
      </w:r>
      <w:r w:rsidRPr="002B54C0" w:rsidR="007C6090">
        <w:rPr>
          <w:snapToGrid/>
        </w:rPr>
        <w:t xml:space="preserve">  </w:t>
      </w:r>
      <w:r w:rsidRPr="002B54C0" w:rsidR="003B217C">
        <w:rPr>
          <w:snapToGrid/>
        </w:rPr>
        <w:t>Thus, Swarm</w:t>
      </w:r>
      <w:r w:rsidRPr="00F205F8" w:rsidR="00867BA3">
        <w:rPr>
          <w:snapToGrid/>
        </w:rPr>
        <w:t xml:space="preserve"> </w:t>
      </w:r>
      <w:r w:rsidRPr="00F205F8" w:rsidR="00766982">
        <w:rPr>
          <w:snapToGrid/>
        </w:rPr>
        <w:t>is not required to i</w:t>
      </w:r>
      <w:r w:rsidRPr="00F205F8" w:rsidR="006F193B">
        <w:rPr>
          <w:snapToGrid/>
        </w:rPr>
        <w:t>ncorporate</w:t>
      </w:r>
      <w:r w:rsidRPr="00F205F8" w:rsidR="00A036D6">
        <w:rPr>
          <w:snapToGrid/>
        </w:rPr>
        <w:t xml:space="preserve"> a</w:t>
      </w:r>
      <w:r w:rsidRPr="00F205F8" w:rsidR="00973BFC">
        <w:rPr>
          <w:snapToGrid/>
        </w:rPr>
        <w:t>ny</w:t>
      </w:r>
      <w:r w:rsidRPr="00F205F8" w:rsidR="00A036D6">
        <w:rPr>
          <w:snapToGrid/>
        </w:rPr>
        <w:t xml:space="preserve"> particular </w:t>
      </w:r>
      <w:r w:rsidRPr="00F205F8" w:rsidR="006F193B">
        <w:rPr>
          <w:snapToGrid/>
        </w:rPr>
        <w:t xml:space="preserve">sharing </w:t>
      </w:r>
      <w:r w:rsidRPr="00F205F8" w:rsidR="00973BFC">
        <w:rPr>
          <w:snapToGrid/>
        </w:rPr>
        <w:t>technique</w:t>
      </w:r>
      <w:r w:rsidRPr="00F205F8" w:rsidR="00E27D26">
        <w:rPr>
          <w:snapToGrid/>
        </w:rPr>
        <w:t xml:space="preserve"> agreed to in the </w:t>
      </w:r>
      <w:r w:rsidRPr="00F205F8" w:rsidR="006B098E">
        <w:rPr>
          <w:snapToGrid/>
        </w:rPr>
        <w:t>s</w:t>
      </w:r>
      <w:r w:rsidRPr="00F205F8" w:rsidR="00766982">
        <w:rPr>
          <w:snapToGrid/>
        </w:rPr>
        <w:t xml:space="preserve">econd </w:t>
      </w:r>
      <w:r w:rsidRPr="00F205F8" w:rsidR="006B098E">
        <w:rPr>
          <w:snapToGrid/>
        </w:rPr>
        <w:t>p</w:t>
      </w:r>
      <w:r w:rsidRPr="00F205F8" w:rsidR="00766982">
        <w:rPr>
          <w:snapToGrid/>
        </w:rPr>
        <w:t xml:space="preserve">rocessing </w:t>
      </w:r>
      <w:r w:rsidRPr="00F205F8" w:rsidR="006B098E">
        <w:rPr>
          <w:snapToGrid/>
        </w:rPr>
        <w:t>r</w:t>
      </w:r>
      <w:r w:rsidRPr="00F205F8" w:rsidR="00766982">
        <w:rPr>
          <w:snapToGrid/>
        </w:rPr>
        <w:t xml:space="preserve">ound </w:t>
      </w:r>
      <w:r w:rsidRPr="00F205F8" w:rsidR="00A036D6">
        <w:rPr>
          <w:snapToGrid/>
        </w:rPr>
        <w:t xml:space="preserve">for its proposed </w:t>
      </w:r>
      <w:r w:rsidRPr="00F205F8" w:rsidR="00AD5E0B">
        <w:rPr>
          <w:snapToGrid/>
        </w:rPr>
        <w:t>operations.</w:t>
      </w:r>
      <w:r w:rsidRPr="00F205F8" w:rsidR="006A2DF6">
        <w:rPr>
          <w:snapToGrid/>
        </w:rPr>
        <w:t xml:space="preserve"> </w:t>
      </w:r>
    </w:p>
    <w:p w:rsidR="001D2AC7" w:rsidP="00B6738D">
      <w:pPr>
        <w:pStyle w:val="ParaNum"/>
        <w:widowControl/>
        <w:tabs>
          <w:tab w:val="clear" w:pos="1080"/>
          <w:tab w:val="num" w:pos="1440"/>
        </w:tabs>
        <w:rPr>
          <w:snapToGrid/>
        </w:rPr>
      </w:pPr>
      <w:r w:rsidRPr="009E004D">
        <w:rPr>
          <w:i/>
          <w:snapToGrid/>
        </w:rPr>
        <w:t>Sp</w:t>
      </w:r>
      <w:r w:rsidRPr="009E004D" w:rsidR="002B08B9">
        <w:rPr>
          <w:i/>
          <w:snapToGrid/>
        </w:rPr>
        <w:t>aceX comments</w:t>
      </w:r>
      <w:r w:rsidRPr="009E004D" w:rsidR="002B08B9">
        <w:rPr>
          <w:snapToGrid/>
        </w:rPr>
        <w:t>.</w:t>
      </w:r>
      <w:r w:rsidRPr="009E004D" w:rsidR="00D65BDA">
        <w:rPr>
          <w:snapToGrid/>
        </w:rPr>
        <w:t xml:space="preserve">  </w:t>
      </w:r>
      <w:r w:rsidRPr="009E004D" w:rsidR="002F08FD">
        <w:rPr>
          <w:snapToGrid/>
        </w:rPr>
        <w:t>SpaceX requests that Swarm be required to provide a more detailed risk analysis</w:t>
      </w:r>
      <w:r w:rsidRPr="009E004D" w:rsidR="00680566">
        <w:rPr>
          <w:snapToGrid/>
        </w:rPr>
        <w:t xml:space="preserve"> as it understated the orbital debris risk posed by its constellation.</w:t>
      </w:r>
      <w:r>
        <w:rPr>
          <w:rStyle w:val="FootnoteReference"/>
          <w:snapToGrid/>
        </w:rPr>
        <w:footnoteReference w:id="46"/>
      </w:r>
      <w:r w:rsidRPr="009E004D" w:rsidR="00680566">
        <w:rPr>
          <w:snapToGrid/>
        </w:rPr>
        <w:t xml:space="preserve">  SpaceX </w:t>
      </w:r>
      <w:r w:rsidR="00916CD1">
        <w:rPr>
          <w:snapToGrid/>
        </w:rPr>
        <w:t>identifies</w:t>
      </w:r>
      <w:r w:rsidRPr="009E004D" w:rsidR="00680566">
        <w:rPr>
          <w:snapToGrid/>
        </w:rPr>
        <w:t xml:space="preserve"> several shortcomings, including that Swarm failed to account for antenna size in its calculations.  </w:t>
      </w:r>
      <w:r w:rsidR="006E066B">
        <w:rPr>
          <w:snapToGrid/>
        </w:rPr>
        <w:t>SpaceX</w:t>
      </w:r>
      <w:r w:rsidRPr="009E004D" w:rsidR="00680566">
        <w:rPr>
          <w:snapToGrid/>
        </w:rPr>
        <w:t xml:space="preserve"> also maintains that Swarm’s system poses a risk to the International Space Statio</w:t>
      </w:r>
      <w:r w:rsidRPr="009E004D">
        <w:rPr>
          <w:snapToGrid/>
        </w:rPr>
        <w:t>n</w:t>
      </w:r>
      <w:r w:rsidR="00DB738E">
        <w:rPr>
          <w:snapToGrid/>
        </w:rPr>
        <w:t xml:space="preserve"> (ISS)</w:t>
      </w:r>
      <w:r w:rsidRPr="009E004D">
        <w:rPr>
          <w:snapToGrid/>
        </w:rPr>
        <w:t>.  It states that Sw</w:t>
      </w:r>
      <w:r w:rsidRPr="009E004D" w:rsidR="00680566">
        <w:rPr>
          <w:snapToGrid/>
        </w:rPr>
        <w:t>arm should be required to</w:t>
      </w:r>
      <w:r w:rsidRPr="009E004D" w:rsidR="009F377B">
        <w:rPr>
          <w:snapToGrid/>
        </w:rPr>
        <w:t xml:space="preserve"> coordinate with NASA, and to incorporate technologies to guarantee it can avoid the ISS.</w:t>
      </w:r>
      <w:r w:rsidR="00DB738E">
        <w:rPr>
          <w:snapToGrid/>
        </w:rPr>
        <w:t xml:space="preserve"> </w:t>
      </w:r>
      <w:r w:rsidRPr="009E004D" w:rsidR="009F377B">
        <w:rPr>
          <w:snapToGrid/>
        </w:rPr>
        <w:t xml:space="preserve"> Finally, SpaceX comments that any authorization should </w:t>
      </w:r>
      <w:r w:rsidRPr="009E004D">
        <w:rPr>
          <w:snapToGrid/>
        </w:rPr>
        <w:t>be conditioned to conform with any rules adopted in the Commission’s orbital debris proceeding</w:t>
      </w:r>
      <w:r w:rsidR="00DB738E">
        <w:rPr>
          <w:snapToGrid/>
        </w:rPr>
        <w:t>.</w:t>
      </w:r>
      <w:r>
        <w:rPr>
          <w:rStyle w:val="FootnoteReference"/>
          <w:snapToGrid/>
        </w:rPr>
        <w:footnoteReference w:id="47"/>
      </w:r>
      <w:r w:rsidRPr="009E004D">
        <w:rPr>
          <w:snapToGrid/>
        </w:rPr>
        <w:t xml:space="preserve">  In response, Swarm submitted supplemental materials</w:t>
      </w:r>
      <w:r w:rsidR="009C1499">
        <w:rPr>
          <w:snapToGrid/>
        </w:rPr>
        <w:t xml:space="preserve"> to address these concerns</w:t>
      </w:r>
      <w:r w:rsidRPr="009E004D">
        <w:rPr>
          <w:snapToGrid/>
        </w:rPr>
        <w:t>, including an analysis accounting for deployed antennas.</w:t>
      </w:r>
      <w:r>
        <w:rPr>
          <w:rStyle w:val="FootnoteReference"/>
          <w:snapToGrid/>
        </w:rPr>
        <w:footnoteReference w:id="48"/>
      </w:r>
      <w:r w:rsidRPr="009E004D">
        <w:rPr>
          <w:snapToGrid/>
        </w:rPr>
        <w:t xml:space="preserve"> </w:t>
      </w:r>
      <w:r w:rsidR="00DB738E">
        <w:rPr>
          <w:snapToGrid/>
        </w:rPr>
        <w:t xml:space="preserve"> </w:t>
      </w:r>
      <w:r w:rsidRPr="009E004D">
        <w:rPr>
          <w:snapToGrid/>
        </w:rPr>
        <w:t>Swarm also committed to comply with future rulemaki</w:t>
      </w:r>
      <w:r w:rsidR="00186DFC">
        <w:rPr>
          <w:snapToGrid/>
        </w:rPr>
        <w:t>ngs</w:t>
      </w:r>
      <w:r w:rsidRPr="009E004D">
        <w:rPr>
          <w:snapToGrid/>
        </w:rPr>
        <w:t xml:space="preserve">, and to </w:t>
      </w:r>
      <w:r w:rsidRPr="009E004D" w:rsidR="009E004D">
        <w:rPr>
          <w:snapToGrid/>
        </w:rPr>
        <w:t>coordinate operations with the ISS and other approved operators.</w:t>
      </w:r>
      <w:r>
        <w:rPr>
          <w:rStyle w:val="FootnoteReference"/>
          <w:snapToGrid/>
        </w:rPr>
        <w:footnoteReference w:id="49"/>
      </w:r>
      <w:r w:rsidRPr="009E004D" w:rsidR="009E004D">
        <w:rPr>
          <w:snapToGrid/>
        </w:rPr>
        <w:t xml:space="preserve">  We find that Swarm has taken the appropriate steps to address SpaceX’s concerns</w:t>
      </w:r>
      <w:r w:rsidR="009E004D">
        <w:rPr>
          <w:snapToGrid/>
        </w:rPr>
        <w:t xml:space="preserve">, and condition </w:t>
      </w:r>
      <w:r w:rsidR="00186DFC">
        <w:rPr>
          <w:snapToGrid/>
        </w:rPr>
        <w:t xml:space="preserve">Swarm’s application on compliance </w:t>
      </w:r>
      <w:r w:rsidR="00E03BCA">
        <w:rPr>
          <w:snapToGrid/>
        </w:rPr>
        <w:t xml:space="preserve">with </w:t>
      </w:r>
      <w:r w:rsidR="00186DFC">
        <w:rPr>
          <w:snapToGrid/>
        </w:rPr>
        <w:t xml:space="preserve">the outcome of the </w:t>
      </w:r>
      <w:r w:rsidR="008211DC">
        <w:rPr>
          <w:snapToGrid/>
        </w:rPr>
        <w:t xml:space="preserve">Commission’ </w:t>
      </w:r>
      <w:r w:rsidR="00186DFC">
        <w:rPr>
          <w:snapToGrid/>
        </w:rPr>
        <w:t>Orbital Debris proceeding.</w:t>
      </w:r>
      <w:r>
        <w:rPr>
          <w:rStyle w:val="FootnoteReference"/>
          <w:snapToGrid/>
        </w:rPr>
        <w:footnoteReference w:id="50"/>
      </w:r>
      <w:r w:rsidRPr="008211DC" w:rsidR="008211DC">
        <w:rPr>
          <w:highlight w:val="yellow"/>
        </w:rPr>
        <w:t xml:space="preserve"> </w:t>
      </w:r>
    </w:p>
    <w:p w:rsidR="00D83847" w:rsidRPr="00055A99" w:rsidP="00B6738D">
      <w:pPr>
        <w:pStyle w:val="ParaNum"/>
        <w:widowControl/>
        <w:tabs>
          <w:tab w:val="clear" w:pos="1080"/>
          <w:tab w:val="num" w:pos="1440"/>
        </w:tabs>
        <w:rPr>
          <w:snapToGrid/>
        </w:rPr>
      </w:pPr>
      <w:r w:rsidRPr="00055A99">
        <w:rPr>
          <w:i/>
          <w:snapToGrid/>
        </w:rPr>
        <w:t>Waiver.</w:t>
      </w:r>
      <w:r w:rsidRPr="00055A99">
        <w:rPr>
          <w:snapToGrid/>
        </w:rPr>
        <w:t xml:space="preserve"> </w:t>
      </w:r>
      <w:r w:rsidRPr="00055A99" w:rsidR="00EF200D">
        <w:rPr>
          <w:snapToGrid/>
        </w:rPr>
        <w:t xml:space="preserve"> </w:t>
      </w:r>
      <w:r w:rsidRPr="00055A99" w:rsidR="00055A99">
        <w:rPr>
          <w:szCs w:val="22"/>
        </w:rPr>
        <w:t>As part of its application, Swarm seeks waivers of the Commission’s processing round procedure set forth in section 25.157 of the Commission’s rules</w:t>
      </w:r>
      <w:r w:rsidR="00055A99">
        <w:rPr>
          <w:szCs w:val="22"/>
        </w:rPr>
        <w:t>.</w:t>
      </w:r>
      <w:r w:rsidRPr="00055A99" w:rsidR="00055A99">
        <w:rPr>
          <w:rStyle w:val="FootnoteReference"/>
          <w:snapToGrid/>
        </w:rPr>
        <w:t xml:space="preserve"> </w:t>
      </w:r>
      <w:r>
        <w:rPr>
          <w:rStyle w:val="FootnoteReference"/>
          <w:snapToGrid/>
        </w:rPr>
        <w:footnoteReference w:id="51"/>
      </w:r>
      <w:r w:rsidR="00025858">
        <w:rPr>
          <w:snapToGrid/>
        </w:rPr>
        <w:t xml:space="preserve">  </w:t>
      </w:r>
      <w:r w:rsidRPr="00055A99" w:rsidR="00055A99">
        <w:rPr>
          <w:szCs w:val="22"/>
        </w:rPr>
        <w:t xml:space="preserve">The Commission may waive </w:t>
      </w:r>
      <w:r w:rsidRPr="00055A99" w:rsidR="00055A99">
        <w:rPr>
          <w:szCs w:val="22"/>
        </w:rPr>
        <w:t>any rule for good cause shown.</w:t>
      </w:r>
      <w:r>
        <w:rPr>
          <w:rStyle w:val="FootnoteReference"/>
          <w:sz w:val="22"/>
          <w:szCs w:val="22"/>
        </w:rPr>
        <w:footnoteReference w:id="52"/>
      </w:r>
      <w:r w:rsidRPr="00055A99" w:rsidR="00055A99">
        <w:rPr>
          <w:szCs w:val="22"/>
        </w:rPr>
        <w:t xml:space="preserve">  Waiver is appropriate if special circumstances warrant a deviation from the general rule and such a deviation will serve the public interest.</w:t>
      </w:r>
      <w:r>
        <w:rPr>
          <w:rStyle w:val="FootnoteReference"/>
          <w:sz w:val="22"/>
          <w:szCs w:val="22"/>
        </w:rPr>
        <w:footnoteReference w:id="53"/>
      </w:r>
      <w:r w:rsidRPr="00055A99" w:rsidR="00055A99">
        <w:rPr>
          <w:szCs w:val="22"/>
        </w:rPr>
        <w:t xml:space="preserve">  </w:t>
      </w:r>
      <w:r w:rsidR="00055A99">
        <w:rPr>
          <w:snapToGrid/>
        </w:rPr>
        <w:t xml:space="preserve">We find good cause to grant Swarm’s request.  </w:t>
      </w:r>
      <w:r w:rsidRPr="00055A99" w:rsidR="00071771">
        <w:rPr>
          <w:sz w:val="21"/>
          <w:szCs w:val="21"/>
        </w:rPr>
        <w:t>To accommodate multiple NGSO systems, which generally cannot operate on shared spectrum, the processing round procedure employs frequency band segmentation to assign spectrum among operators</w:t>
      </w:r>
      <w:r w:rsidRPr="00055A99" w:rsidR="004F041F">
        <w:rPr>
          <w:sz w:val="21"/>
          <w:szCs w:val="21"/>
        </w:rPr>
        <w:t xml:space="preserve">. </w:t>
      </w:r>
      <w:r w:rsidRPr="00055A99" w:rsidR="00071771">
        <w:rPr>
          <w:sz w:val="21"/>
          <w:szCs w:val="21"/>
        </w:rPr>
        <w:t xml:space="preserve"> </w:t>
      </w:r>
      <w:r w:rsidRPr="00055A99" w:rsidR="00574DDE">
        <w:rPr>
          <w:sz w:val="21"/>
          <w:szCs w:val="21"/>
        </w:rPr>
        <w:t>The purpose of the </w:t>
      </w:r>
      <w:r w:rsidRPr="00055A99" w:rsidR="00574DDE">
        <w:rPr>
          <w:rStyle w:val="cosearchterm"/>
          <w:bCs/>
          <w:sz w:val="21"/>
          <w:szCs w:val="21"/>
        </w:rPr>
        <w:t>processing</w:t>
      </w:r>
      <w:r w:rsidRPr="00055A99" w:rsidR="00574DDE">
        <w:rPr>
          <w:sz w:val="21"/>
          <w:szCs w:val="21"/>
        </w:rPr>
        <w:t> </w:t>
      </w:r>
      <w:r w:rsidRPr="00055A99" w:rsidR="00574DDE">
        <w:rPr>
          <w:rStyle w:val="cosearchterm"/>
          <w:bCs/>
          <w:sz w:val="21"/>
          <w:szCs w:val="21"/>
        </w:rPr>
        <w:t>round</w:t>
      </w:r>
      <w:r w:rsidRPr="00055A99" w:rsidR="00574DDE">
        <w:rPr>
          <w:sz w:val="21"/>
          <w:szCs w:val="21"/>
        </w:rPr>
        <w:t xml:space="preserve"> procedure is to prevent one applicant from unreasonably precluding additional entry by other operators in the requested </w:t>
      </w:r>
      <w:r w:rsidRPr="00055A99" w:rsidR="00574DDE">
        <w:rPr>
          <w:color w:val="212121"/>
          <w:sz w:val="21"/>
          <w:szCs w:val="21"/>
        </w:rPr>
        <w:t>frequency band.</w:t>
      </w:r>
      <w:r>
        <w:rPr>
          <w:rStyle w:val="FootnoteReference"/>
          <w:szCs w:val="21"/>
        </w:rPr>
        <w:footnoteReference w:id="54"/>
      </w:r>
      <w:r w:rsidRPr="00055A99" w:rsidR="00574DDE">
        <w:rPr>
          <w:color w:val="212121"/>
          <w:sz w:val="21"/>
          <w:szCs w:val="21"/>
        </w:rPr>
        <w:t xml:space="preserve"> </w:t>
      </w:r>
      <w:r w:rsidRPr="00055A99" w:rsidR="00E26D00">
        <w:rPr>
          <w:color w:val="212121"/>
          <w:sz w:val="21"/>
          <w:szCs w:val="21"/>
        </w:rPr>
        <w:t xml:space="preserve"> </w:t>
      </w:r>
      <w:r w:rsidRPr="00055A99" w:rsidR="00574DDE">
        <w:rPr>
          <w:color w:val="212121"/>
          <w:szCs w:val="22"/>
        </w:rPr>
        <w:t>Swarm states it is only using a fraction of the spectrum allocated for Little L</w:t>
      </w:r>
      <w:r w:rsidR="00D72B98">
        <w:rPr>
          <w:color w:val="212121"/>
          <w:szCs w:val="22"/>
        </w:rPr>
        <w:t>EO</w:t>
      </w:r>
      <w:r w:rsidRPr="00055A99" w:rsidR="00574DDE">
        <w:rPr>
          <w:color w:val="212121"/>
          <w:szCs w:val="22"/>
        </w:rPr>
        <w:t xml:space="preserve"> NVNG services </w:t>
      </w:r>
      <w:r w:rsidRPr="00055A99" w:rsidR="00B709E3">
        <w:rPr>
          <w:color w:val="212121"/>
          <w:szCs w:val="22"/>
        </w:rPr>
        <w:t>and there will be ample spectrum for another entrant.</w:t>
      </w:r>
      <w:r>
        <w:rPr>
          <w:rStyle w:val="FootnoteReference"/>
          <w:szCs w:val="22"/>
        </w:rPr>
        <w:footnoteReference w:id="55"/>
      </w:r>
      <w:r w:rsidRPr="00055A99" w:rsidR="00466041">
        <w:rPr>
          <w:color w:val="212121"/>
          <w:szCs w:val="22"/>
        </w:rPr>
        <w:t xml:space="preserve"> </w:t>
      </w:r>
      <w:r w:rsidRPr="00055A99" w:rsidR="00E16B1E">
        <w:rPr>
          <w:color w:val="212121"/>
          <w:szCs w:val="22"/>
        </w:rPr>
        <w:t xml:space="preserve"> </w:t>
      </w:r>
      <w:r w:rsidRPr="00055A99" w:rsidR="00466041">
        <w:rPr>
          <w:color w:val="212121"/>
          <w:szCs w:val="22"/>
        </w:rPr>
        <w:t xml:space="preserve">Currently, </w:t>
      </w:r>
      <w:r w:rsidRPr="00055A99" w:rsidR="009C1499">
        <w:rPr>
          <w:color w:val="212121"/>
          <w:szCs w:val="22"/>
        </w:rPr>
        <w:t xml:space="preserve">there are four other </w:t>
      </w:r>
      <w:r w:rsidRPr="00055A99" w:rsidR="00466041">
        <w:rPr>
          <w:color w:val="212121"/>
          <w:szCs w:val="22"/>
        </w:rPr>
        <w:t xml:space="preserve">NVNG MSS applications on file </w:t>
      </w:r>
      <w:r w:rsidRPr="00055A99" w:rsidR="009C1499">
        <w:rPr>
          <w:color w:val="212121"/>
          <w:szCs w:val="22"/>
        </w:rPr>
        <w:t xml:space="preserve">and none of those </w:t>
      </w:r>
      <w:r w:rsidRPr="00055A99" w:rsidR="00466041">
        <w:rPr>
          <w:color w:val="212121"/>
          <w:szCs w:val="22"/>
        </w:rPr>
        <w:t xml:space="preserve">include proposals to use the </w:t>
      </w:r>
      <w:r w:rsidRPr="00055A99" w:rsidR="00B530C5">
        <w:rPr>
          <w:color w:val="212121"/>
          <w:szCs w:val="22"/>
        </w:rPr>
        <w:t>frequencies</w:t>
      </w:r>
      <w:r w:rsidRPr="00055A99" w:rsidR="005D43A2">
        <w:rPr>
          <w:color w:val="212121"/>
          <w:szCs w:val="22"/>
        </w:rPr>
        <w:t xml:space="preserve"> </w:t>
      </w:r>
      <w:r w:rsidRPr="00055A99" w:rsidR="00466041">
        <w:rPr>
          <w:color w:val="212121"/>
          <w:szCs w:val="22"/>
        </w:rPr>
        <w:t>requested by Swa</w:t>
      </w:r>
      <w:r w:rsidRPr="00055A99" w:rsidR="00B530C5">
        <w:rPr>
          <w:color w:val="212121"/>
          <w:szCs w:val="22"/>
        </w:rPr>
        <w:t>r</w:t>
      </w:r>
      <w:r w:rsidRPr="00055A99" w:rsidR="00466041">
        <w:rPr>
          <w:color w:val="212121"/>
          <w:szCs w:val="22"/>
        </w:rPr>
        <w:t>m.</w:t>
      </w:r>
      <w:r>
        <w:rPr>
          <w:rStyle w:val="FootnoteReference"/>
          <w:szCs w:val="22"/>
        </w:rPr>
        <w:footnoteReference w:id="56"/>
      </w:r>
      <w:r w:rsidRPr="00055A99" w:rsidR="00B709E3">
        <w:rPr>
          <w:color w:val="212121"/>
          <w:szCs w:val="22"/>
        </w:rPr>
        <w:t xml:space="preserve">  </w:t>
      </w:r>
      <w:r w:rsidRPr="00055A99" w:rsidR="00017859">
        <w:rPr>
          <w:color w:val="212121"/>
          <w:szCs w:val="22"/>
        </w:rPr>
        <w:t>Swarm</w:t>
      </w:r>
      <w:r w:rsidRPr="00055A99" w:rsidR="00B709E3">
        <w:rPr>
          <w:color w:val="212121"/>
          <w:szCs w:val="22"/>
        </w:rPr>
        <w:t xml:space="preserve"> also states that after the </w:t>
      </w:r>
      <w:r w:rsidRPr="00055A99">
        <w:rPr>
          <w:color w:val="212121"/>
          <w:szCs w:val="22"/>
        </w:rPr>
        <w:t xml:space="preserve">prior </w:t>
      </w:r>
      <w:r w:rsidRPr="00055A99" w:rsidR="00B709E3">
        <w:rPr>
          <w:color w:val="212121"/>
          <w:szCs w:val="22"/>
        </w:rPr>
        <w:t>processing rounds</w:t>
      </w:r>
      <w:r w:rsidRPr="00055A99">
        <w:rPr>
          <w:color w:val="212121"/>
          <w:szCs w:val="22"/>
        </w:rPr>
        <w:t>, NVNG MSS spectrum was made available on a first-come, first-served basis.</w:t>
      </w:r>
      <w:r>
        <w:rPr>
          <w:rStyle w:val="FootnoteReference"/>
          <w:szCs w:val="22"/>
        </w:rPr>
        <w:footnoteReference w:id="57"/>
      </w:r>
      <w:r w:rsidRPr="00055A99">
        <w:rPr>
          <w:color w:val="212121"/>
          <w:szCs w:val="22"/>
        </w:rPr>
        <w:t xml:space="preserve"> </w:t>
      </w:r>
      <w:r w:rsidRPr="00055A99" w:rsidR="00E16B1E">
        <w:rPr>
          <w:color w:val="212121"/>
          <w:szCs w:val="22"/>
        </w:rPr>
        <w:t xml:space="preserve"> </w:t>
      </w:r>
      <w:r w:rsidRPr="00055A99" w:rsidR="00046D9D">
        <w:rPr>
          <w:snapToGrid/>
        </w:rPr>
        <w:t>ORBCOMM opposes Swarm</w:t>
      </w:r>
      <w:r w:rsidRPr="00055A99" w:rsidR="00996828">
        <w:rPr>
          <w:snapToGrid/>
        </w:rPr>
        <w:t>’</w:t>
      </w:r>
      <w:r w:rsidRPr="00055A99" w:rsidR="00046D9D">
        <w:rPr>
          <w:snapToGrid/>
        </w:rPr>
        <w:t xml:space="preserve">s request for a waiver of </w:t>
      </w:r>
      <w:r w:rsidRPr="00055A99" w:rsidR="00177052">
        <w:rPr>
          <w:snapToGrid/>
        </w:rPr>
        <w:t>processing round rules</w:t>
      </w:r>
      <w:r w:rsidRPr="00055A99" w:rsidR="00A678EF">
        <w:rPr>
          <w:snapToGrid/>
        </w:rPr>
        <w:t xml:space="preserve"> stating that </w:t>
      </w:r>
      <w:r w:rsidRPr="00055A99" w:rsidR="00201729">
        <w:rPr>
          <w:snapToGrid/>
        </w:rPr>
        <w:t>circumstances have changed since</w:t>
      </w:r>
      <w:r w:rsidRPr="00055A99" w:rsidR="00A678EF">
        <w:rPr>
          <w:snapToGrid/>
        </w:rPr>
        <w:t xml:space="preserve"> it</w:t>
      </w:r>
      <w:r w:rsidRPr="00055A99" w:rsidR="00177052">
        <w:rPr>
          <w:snapToGrid/>
        </w:rPr>
        <w:t>s license modification was granted</w:t>
      </w:r>
      <w:r w:rsidRPr="00055A99" w:rsidR="00830DEB">
        <w:rPr>
          <w:snapToGrid/>
        </w:rPr>
        <w:t xml:space="preserve"> </w:t>
      </w:r>
      <w:r w:rsidRPr="00055A99" w:rsidR="00A678EF">
        <w:rPr>
          <w:snapToGrid/>
        </w:rPr>
        <w:t xml:space="preserve">on a first-come, first-served basis in </w:t>
      </w:r>
      <w:r w:rsidRPr="00055A99" w:rsidR="00201729">
        <w:rPr>
          <w:snapToGrid/>
        </w:rPr>
        <w:t>2007</w:t>
      </w:r>
      <w:r w:rsidRPr="00055A99" w:rsidR="00A678EF">
        <w:rPr>
          <w:snapToGrid/>
        </w:rPr>
        <w:t xml:space="preserve">, </w:t>
      </w:r>
      <w:r w:rsidRPr="00055A99" w:rsidR="00B614F5">
        <w:rPr>
          <w:snapToGrid/>
        </w:rPr>
        <w:t>when there was little likelihood of additional applicants.</w:t>
      </w:r>
      <w:r>
        <w:rPr>
          <w:rStyle w:val="FootnoteReference"/>
          <w:snapToGrid/>
        </w:rPr>
        <w:footnoteReference w:id="58"/>
      </w:r>
      <w:r w:rsidRPr="00055A99" w:rsidR="00B614F5">
        <w:rPr>
          <w:snapToGrid/>
        </w:rPr>
        <w:t xml:space="preserve">  </w:t>
      </w:r>
    </w:p>
    <w:p w:rsidR="0012284F" w:rsidRPr="0012284F" w:rsidP="00B6738D">
      <w:pPr>
        <w:pStyle w:val="ParaNum"/>
        <w:widowControl/>
        <w:tabs>
          <w:tab w:val="clear" w:pos="1080"/>
          <w:tab w:val="num" w:pos="1440"/>
        </w:tabs>
        <w:rPr>
          <w:snapToGrid/>
        </w:rPr>
      </w:pPr>
      <w:r w:rsidRPr="00CB3ADE">
        <w:rPr>
          <w:snapToGrid/>
        </w:rPr>
        <w:t>T</w:t>
      </w:r>
      <w:r w:rsidRPr="00CB3ADE">
        <w:t>he Commission has granted several </w:t>
      </w:r>
      <w:r w:rsidRPr="00CB3ADE">
        <w:rPr>
          <w:rStyle w:val="cosearchterm"/>
          <w:bCs/>
          <w:color w:val="252525"/>
          <w:szCs w:val="21"/>
        </w:rPr>
        <w:t>waivers</w:t>
      </w:r>
      <w:r w:rsidRPr="00CB3ADE">
        <w:t> of the </w:t>
      </w:r>
      <w:r w:rsidRPr="00CB3ADE">
        <w:rPr>
          <w:rStyle w:val="cosearchterm"/>
          <w:bCs/>
          <w:color w:val="252525"/>
          <w:szCs w:val="21"/>
        </w:rPr>
        <w:t>processing</w:t>
      </w:r>
      <w:r w:rsidRPr="00CB3ADE">
        <w:t> </w:t>
      </w:r>
      <w:r w:rsidRPr="00CB3ADE">
        <w:rPr>
          <w:rStyle w:val="cosearchterm"/>
          <w:bCs/>
          <w:color w:val="252525"/>
          <w:szCs w:val="21"/>
        </w:rPr>
        <w:t>round</w:t>
      </w:r>
      <w:r w:rsidRPr="00CB3ADE">
        <w:t> rules for NGSO satellites, including small satellites.</w:t>
      </w:r>
      <w:r>
        <w:rPr>
          <w:rStyle w:val="FootnoteReference"/>
        </w:rPr>
        <w:footnoteReference w:id="59"/>
      </w:r>
      <w:r w:rsidRPr="00CB3ADE">
        <w:t xml:space="preserve">  </w:t>
      </w:r>
      <w:r w:rsidRPr="00B6738D" w:rsidR="00B6738D">
        <w:t xml:space="preserve">Swarm has stated that while it uses </w:t>
      </w:r>
      <w:bookmarkStart w:id="5" w:name="_Hlk22719896"/>
      <w:r w:rsidRPr="00B6738D" w:rsidR="00B6738D">
        <w:t xml:space="preserve">a Carrier-Sense Multiple Access (CSMA) protocol </w:t>
      </w:r>
      <w:bookmarkEnd w:id="5"/>
      <w:r w:rsidRPr="00B6738D" w:rsidR="00B6738D">
        <w:t>it is also capable of sharing channels using TDMA, and geographic sharing</w:t>
      </w:r>
      <w:r w:rsidRPr="00CB3ADE">
        <w:t>.  In sum, Swarm asserts that its system is capable of sharing with future networks in a variety of ways.</w:t>
      </w:r>
      <w:r>
        <w:rPr>
          <w:rStyle w:val="FootnoteReference"/>
        </w:rPr>
        <w:footnoteReference w:id="60"/>
      </w:r>
      <w:r w:rsidRPr="00CB3ADE">
        <w:t xml:space="preserve"> </w:t>
      </w:r>
      <w:r w:rsidRPr="00CB3ADE">
        <w:rPr>
          <w:rStyle w:val="Emphasis"/>
          <w:color w:val="212121"/>
          <w:szCs w:val="22"/>
        </w:rPr>
        <w:t xml:space="preserve"> </w:t>
      </w:r>
      <w:r w:rsidRPr="00CB3ADE">
        <w:rPr>
          <w:rStyle w:val="Emphasis"/>
          <w:i w:val="0"/>
          <w:color w:val="212121"/>
          <w:szCs w:val="22"/>
        </w:rPr>
        <w:t>To the extent that authorizing Swarm to operate in certain sub-bands of the NVNG MSS spectrum does not preclude other NVNG MSS systems from operating in these bands, we grant Swarm’s request for a waiver.  We note, however, that granting Swarm’s application before any possible future applications for the same frequencies does not confer on Swarm a higher status with respect to later authorized systems</w:t>
      </w:r>
      <w:r w:rsidR="00C629DF">
        <w:rPr>
          <w:rStyle w:val="Emphasis"/>
          <w:i w:val="0"/>
          <w:color w:val="212121"/>
          <w:szCs w:val="22"/>
        </w:rPr>
        <w:t>, unlike</w:t>
      </w:r>
      <w:r w:rsidRPr="00CB3ADE">
        <w:rPr>
          <w:rStyle w:val="Emphasis"/>
          <w:i w:val="0"/>
          <w:color w:val="212121"/>
          <w:szCs w:val="22"/>
        </w:rPr>
        <w:t xml:space="preserve"> the first-come</w:t>
      </w:r>
      <w:r w:rsidR="00996828">
        <w:rPr>
          <w:rStyle w:val="Emphasis"/>
          <w:i w:val="0"/>
          <w:color w:val="212121"/>
          <w:szCs w:val="22"/>
        </w:rPr>
        <w:t>,</w:t>
      </w:r>
      <w:r w:rsidRPr="00CB3ADE">
        <w:rPr>
          <w:rStyle w:val="Emphasis"/>
          <w:i w:val="0"/>
          <w:color w:val="212121"/>
          <w:szCs w:val="22"/>
        </w:rPr>
        <w:t xml:space="preserve"> first-served system specified in the Commission’s rules for GSO-like satellite operations</w:t>
      </w:r>
      <w:r w:rsidR="00C629DF">
        <w:rPr>
          <w:rStyle w:val="Emphasis"/>
          <w:i w:val="0"/>
          <w:color w:val="212121"/>
          <w:szCs w:val="22"/>
        </w:rPr>
        <w:t xml:space="preserve">.  </w:t>
      </w:r>
      <w:r w:rsidRPr="00CB3ADE">
        <w:rPr>
          <w:rStyle w:val="Emphasis"/>
          <w:i w:val="0"/>
          <w:color w:val="212121"/>
          <w:szCs w:val="22"/>
        </w:rPr>
        <w:t xml:space="preserve">Moreover, depending on the number of </w:t>
      </w:r>
      <w:r w:rsidR="006D3766">
        <w:rPr>
          <w:rStyle w:val="Emphasis"/>
          <w:i w:val="0"/>
          <w:color w:val="212121"/>
          <w:szCs w:val="22"/>
        </w:rPr>
        <w:t xml:space="preserve">any such </w:t>
      </w:r>
      <w:r w:rsidRPr="00CB3ADE">
        <w:rPr>
          <w:rStyle w:val="Emphasis"/>
          <w:i w:val="0"/>
          <w:color w:val="212121"/>
          <w:szCs w:val="22"/>
        </w:rPr>
        <w:t>applications and their ability to effectively share spectrum, a processing round</w:t>
      </w:r>
      <w:r w:rsidR="006D3766">
        <w:rPr>
          <w:rStyle w:val="Emphasis"/>
          <w:i w:val="0"/>
          <w:color w:val="212121"/>
          <w:szCs w:val="22"/>
        </w:rPr>
        <w:t>, including Swarm,</w:t>
      </w:r>
      <w:r w:rsidRPr="00CB3ADE">
        <w:rPr>
          <w:rStyle w:val="Emphasis"/>
          <w:i w:val="0"/>
          <w:color w:val="212121"/>
          <w:szCs w:val="22"/>
        </w:rPr>
        <w:t xml:space="preserve"> may be initiated in the future to resolve mutual exclusivity concerns.  </w:t>
      </w:r>
    </w:p>
    <w:p w:rsidR="00C470B4" w:rsidRPr="0012284F" w:rsidP="0012284F">
      <w:pPr>
        <w:pStyle w:val="Heading1"/>
        <w:rPr>
          <w:snapToGrid/>
        </w:rPr>
      </w:pPr>
      <w:r w:rsidRPr="0012284F">
        <w:rPr>
          <w:snapToGrid/>
        </w:rPr>
        <w:t>orderINg Clauses</w:t>
      </w:r>
    </w:p>
    <w:p w:rsidR="00C762D9" w:rsidP="00B6738D">
      <w:pPr>
        <w:pStyle w:val="ParaNum"/>
        <w:widowControl/>
        <w:tabs>
          <w:tab w:val="clear" w:pos="1080"/>
          <w:tab w:val="num" w:pos="1440"/>
        </w:tabs>
      </w:pPr>
      <w:r>
        <w:t>Accordingly, IT IS ORDERED that the Application filed by Swarm Technologies</w:t>
      </w:r>
      <w:r w:rsidR="00FF34AC">
        <w:t>, Inc.</w:t>
      </w:r>
      <w:r>
        <w:t xml:space="preserve"> is GRANTED, as set forth in this Memorandum Opinion</w:t>
      </w:r>
      <w:r w:rsidR="00CA666A">
        <w:t>,</w:t>
      </w:r>
      <w:r>
        <w:t xml:space="preserve"> Order</w:t>
      </w:r>
      <w:r w:rsidR="00CA666A">
        <w:t xml:space="preserve"> and Authorization</w:t>
      </w:r>
      <w:r>
        <w:t xml:space="preserve">, </w:t>
      </w:r>
      <w:r w:rsidRPr="00C762D9">
        <w:t xml:space="preserve">pursuant to </w:t>
      </w:r>
      <w:r w:rsidR="00E26D00">
        <w:t>s</w:t>
      </w:r>
      <w:r w:rsidRPr="00C762D9">
        <w:t>ection 309(a) of the Communications Act of 1934, as amended, 47 U.S.C. § 309(a).</w:t>
      </w:r>
      <w:r w:rsidR="00A541FD">
        <w:t xml:space="preserve">  Swarm Technologies, Inc. is AUTHORIZED to construct, </w:t>
      </w:r>
      <w:r w:rsidR="002A30DE">
        <w:t>deploy</w:t>
      </w:r>
      <w:r w:rsidR="00A541FD">
        <w:t xml:space="preserve">, and operate 150 satellites capable of operating in the 137-138 MHz (space-to-Earth) and in the 148-149.95 MHz (Earth-to-space) bands in accordance with the technical specifications set forth in its application and in compliance with the Commission’s rules, unless waived herein, </w:t>
      </w:r>
      <w:r w:rsidRPr="00191B77" w:rsidR="00A541FD">
        <w:t>and subject to the following conditions</w:t>
      </w:r>
      <w:r w:rsidRPr="00191B77" w:rsidR="00D13A91">
        <w:t>:</w:t>
      </w:r>
    </w:p>
    <w:p w:rsidR="001D5AA8" w:rsidP="00B6738D">
      <w:pPr>
        <w:pStyle w:val="ParaNum"/>
        <w:widowControl/>
        <w:numPr>
          <w:ilvl w:val="0"/>
          <w:numId w:val="0"/>
        </w:numPr>
        <w:ind w:left="1440" w:hanging="360"/>
      </w:pPr>
      <w:r>
        <w:t>a.</w:t>
      </w:r>
      <w:r w:rsidR="00B6738D">
        <w:tab/>
      </w:r>
      <w:r w:rsidR="00A7731E">
        <w:t>Swarm is authorized to operate in the following sub-bands: 137.025</w:t>
      </w:r>
      <w:r w:rsidR="009127BE">
        <w:t>0</w:t>
      </w:r>
      <w:r w:rsidR="00A7731E">
        <w:t>-137.175</w:t>
      </w:r>
      <w:r w:rsidR="009127BE">
        <w:t>0</w:t>
      </w:r>
      <w:r w:rsidR="00A7731E">
        <w:t xml:space="preserve"> MHz</w:t>
      </w:r>
      <w:r w:rsidR="005D43A2">
        <w:t>,</w:t>
      </w:r>
      <w:r w:rsidR="00A7731E">
        <w:t xml:space="preserve"> 137.32</w:t>
      </w:r>
      <w:r w:rsidR="009127BE">
        <w:t>75</w:t>
      </w:r>
      <w:r w:rsidR="00A7731E">
        <w:t>-137</w:t>
      </w:r>
      <w:r w:rsidR="00CA666A">
        <w:t>.</w:t>
      </w:r>
      <w:r w:rsidR="00A7731E">
        <w:t>375</w:t>
      </w:r>
      <w:r w:rsidR="009127BE">
        <w:t>0</w:t>
      </w:r>
      <w:r w:rsidR="00A7731E">
        <w:t xml:space="preserve"> MHz</w:t>
      </w:r>
      <w:r w:rsidR="005D43A2">
        <w:t>,</w:t>
      </w:r>
      <w:r w:rsidR="00A7731E">
        <w:t xml:space="preserve"> 137.47</w:t>
      </w:r>
      <w:r w:rsidR="009127BE">
        <w:t>25</w:t>
      </w:r>
      <w:r w:rsidR="00A7731E">
        <w:t>-137.535</w:t>
      </w:r>
      <w:r w:rsidR="009127BE">
        <w:t>0</w:t>
      </w:r>
      <w:r w:rsidR="00A7731E">
        <w:t xml:space="preserve"> MHz</w:t>
      </w:r>
      <w:r w:rsidR="005D43A2">
        <w:t>,</w:t>
      </w:r>
      <w:r w:rsidR="00A7731E">
        <w:t xml:space="preserve"> 137.585</w:t>
      </w:r>
      <w:r w:rsidR="009127BE">
        <w:t>0</w:t>
      </w:r>
      <w:r w:rsidR="00A7731E">
        <w:t>-137.65</w:t>
      </w:r>
      <w:r w:rsidR="009127BE">
        <w:t>00</w:t>
      </w:r>
      <w:r w:rsidR="00A7731E">
        <w:t xml:space="preserve"> MHz, and 137.81</w:t>
      </w:r>
      <w:r w:rsidR="009127BE">
        <w:t>25</w:t>
      </w:r>
      <w:r w:rsidR="00A7731E">
        <w:t>-138.0</w:t>
      </w:r>
      <w:r w:rsidR="009127BE">
        <w:t>000</w:t>
      </w:r>
      <w:r w:rsidR="00A7731E">
        <w:t xml:space="preserve"> MHz (space-to-Earth)</w:t>
      </w:r>
      <w:r w:rsidR="005D43A2">
        <w:t>;</w:t>
      </w:r>
      <w:r w:rsidR="00A7731E">
        <w:t xml:space="preserve"> and 148.25</w:t>
      </w:r>
      <w:r w:rsidR="009127BE">
        <w:t>00</w:t>
      </w:r>
      <w:r w:rsidR="00A7731E">
        <w:t>-148.585</w:t>
      </w:r>
      <w:r w:rsidR="009127BE">
        <w:t>0</w:t>
      </w:r>
      <w:r w:rsidR="00A7731E">
        <w:t xml:space="preserve"> MHz</w:t>
      </w:r>
      <w:r w:rsidR="005D43A2">
        <w:t>,</w:t>
      </w:r>
      <w:r w:rsidR="00C7700C">
        <w:t xml:space="preserve"> 148.635</w:t>
      </w:r>
      <w:r w:rsidR="009127BE">
        <w:t>0</w:t>
      </w:r>
      <w:r w:rsidR="00C7700C">
        <w:t>-148.75</w:t>
      </w:r>
      <w:r w:rsidR="009127BE">
        <w:t>00</w:t>
      </w:r>
      <w:r w:rsidR="00C7700C">
        <w:t xml:space="preserve"> MHz,</w:t>
      </w:r>
      <w:r w:rsidR="00A7731E">
        <w:t xml:space="preserve"> and 149.</w:t>
      </w:r>
      <w:r w:rsidR="00C7700C">
        <w:t>9</w:t>
      </w:r>
      <w:r w:rsidR="009127BE">
        <w:t>000</w:t>
      </w:r>
      <w:r w:rsidR="00C7700C">
        <w:t>-</w:t>
      </w:r>
      <w:r w:rsidR="00A7731E">
        <w:t>149.95</w:t>
      </w:r>
      <w:r w:rsidR="009127BE">
        <w:t>00</w:t>
      </w:r>
      <w:r w:rsidR="00A7731E">
        <w:t xml:space="preserve"> MHz (Earth-to-space). </w:t>
      </w:r>
    </w:p>
    <w:p w:rsidR="00463A22" w:rsidRPr="00191B77" w:rsidP="00B6738D">
      <w:pPr>
        <w:pStyle w:val="ParaNum"/>
        <w:widowControl/>
        <w:numPr>
          <w:ilvl w:val="0"/>
          <w:numId w:val="0"/>
        </w:numPr>
        <w:ind w:left="1440" w:hanging="360"/>
      </w:pPr>
      <w:r>
        <w:t>b.</w:t>
      </w:r>
      <w:r w:rsidR="00B6738D">
        <w:tab/>
      </w:r>
      <w:r w:rsidRPr="00C7700C">
        <w:t>Swarm’s</w:t>
      </w:r>
      <w:r>
        <w:t xml:space="preserve"> operations in the </w:t>
      </w:r>
      <w:r w:rsidR="00F71F6B">
        <w:t xml:space="preserve">frequency range </w:t>
      </w:r>
      <w:r>
        <w:t xml:space="preserve">137.825-138.0000 MHz (space-to-Earth) </w:t>
      </w:r>
      <w:r w:rsidR="00093E5C">
        <w:t>will be conducted</w:t>
      </w:r>
      <w:r w:rsidR="00F71F6B">
        <w:t xml:space="preserve"> </w:t>
      </w:r>
      <w:r>
        <w:t xml:space="preserve">on </w:t>
      </w:r>
      <w:r w:rsidR="00F71F6B">
        <w:t xml:space="preserve">a </w:t>
      </w:r>
      <w:r>
        <w:t xml:space="preserve">secondary basis. </w:t>
      </w:r>
    </w:p>
    <w:p w:rsidR="00A541FD" w:rsidP="00B6738D">
      <w:pPr>
        <w:pStyle w:val="Heading2"/>
        <w:numPr>
          <w:ilvl w:val="0"/>
          <w:numId w:val="0"/>
        </w:numPr>
        <w:ind w:left="1440" w:hanging="360"/>
      </w:pPr>
      <w:r>
        <w:rPr>
          <w:b w:val="0"/>
        </w:rPr>
        <w:t>c</w:t>
      </w:r>
      <w:r w:rsidR="00160002">
        <w:rPr>
          <w:b w:val="0"/>
        </w:rPr>
        <w:t>.</w:t>
      </w:r>
      <w:r w:rsidR="00B6738D">
        <w:rPr>
          <w:b w:val="0"/>
        </w:rPr>
        <w:tab/>
      </w:r>
      <w:r w:rsidRPr="00191B77" w:rsidR="003915C2">
        <w:rPr>
          <w:b w:val="0"/>
        </w:rPr>
        <w:t xml:space="preserve">Swarm must coordinate its operations in the </w:t>
      </w:r>
      <w:r w:rsidR="00C7700C">
        <w:rPr>
          <w:b w:val="0"/>
        </w:rPr>
        <w:t>bands</w:t>
      </w:r>
      <w:r w:rsidR="009127BE">
        <w:rPr>
          <w:b w:val="0"/>
        </w:rPr>
        <w:t xml:space="preserve"> listed above</w:t>
      </w:r>
      <w:r w:rsidR="00C7700C">
        <w:rPr>
          <w:b w:val="0"/>
        </w:rPr>
        <w:t xml:space="preserve"> </w:t>
      </w:r>
      <w:r w:rsidR="003915C2">
        <w:rPr>
          <w:b w:val="0"/>
        </w:rPr>
        <w:t xml:space="preserve">with </w:t>
      </w:r>
      <w:r w:rsidRPr="003915C2" w:rsidR="00D13A91">
        <w:rPr>
          <w:b w:val="0"/>
        </w:rPr>
        <w:t>U.S. Government systems operating in th</w:t>
      </w:r>
      <w:r w:rsidR="009127BE">
        <w:rPr>
          <w:b w:val="0"/>
        </w:rPr>
        <w:t>e</w:t>
      </w:r>
      <w:r w:rsidRPr="003915C2" w:rsidR="00D13A91">
        <w:rPr>
          <w:b w:val="0"/>
        </w:rPr>
        <w:t xml:space="preserve"> </w:t>
      </w:r>
      <w:r w:rsidR="009127BE">
        <w:rPr>
          <w:b w:val="0"/>
        </w:rPr>
        <w:t xml:space="preserve">same </w:t>
      </w:r>
      <w:r w:rsidRPr="003915C2" w:rsidR="00D13A91">
        <w:rPr>
          <w:b w:val="0"/>
        </w:rPr>
        <w:t>band</w:t>
      </w:r>
      <w:r w:rsidR="009127BE">
        <w:rPr>
          <w:b w:val="0"/>
        </w:rPr>
        <w:t>s</w:t>
      </w:r>
      <w:r w:rsidRPr="003915C2" w:rsidR="00D13A91">
        <w:rPr>
          <w:b w:val="0"/>
        </w:rPr>
        <w:t xml:space="preserve">. </w:t>
      </w:r>
    </w:p>
    <w:p w:rsidR="003E708A" w:rsidP="00B6738D">
      <w:pPr>
        <w:pStyle w:val="ParaNum"/>
        <w:numPr>
          <w:ilvl w:val="0"/>
          <w:numId w:val="0"/>
        </w:numPr>
        <w:ind w:left="1440" w:hanging="360"/>
      </w:pPr>
      <w:r>
        <w:t>d.</w:t>
      </w:r>
      <w:r w:rsidR="00B6738D">
        <w:tab/>
      </w:r>
      <w:r w:rsidRPr="00C7700C">
        <w:t>Swarm’s</w:t>
      </w:r>
      <w:r>
        <w:t xml:space="preserve"> operations must comply </w:t>
      </w:r>
      <w:r w:rsidR="00093E5C">
        <w:t xml:space="preserve">in general </w:t>
      </w:r>
      <w:r>
        <w:t xml:space="preserve">with the emission limitations set forth in </w:t>
      </w:r>
      <w:r w:rsidR="00E26D00">
        <w:t>s</w:t>
      </w:r>
      <w:r>
        <w:t xml:space="preserve">ection 25.202(f) of the Commission’s rules. </w:t>
      </w:r>
      <w:r w:rsidR="00093E5C">
        <w:t>However, in frequencies below 136.9875 MHz,</w:t>
      </w:r>
      <w:r w:rsidRPr="004147A0" w:rsidR="004147A0">
        <w:t xml:space="preserve"> the power flux density </w:t>
      </w:r>
      <w:r w:rsidR="00093E5C">
        <w:t>on the Earth generated by</w:t>
      </w:r>
      <w:r w:rsidRPr="004147A0" w:rsidR="004147A0">
        <w:t xml:space="preserve"> downlink </w:t>
      </w:r>
      <w:r w:rsidR="00093E5C">
        <w:t>transmissions from a Swarm space station</w:t>
      </w:r>
      <w:r w:rsidRPr="004147A0" w:rsidR="004147A0">
        <w:t xml:space="preserve"> </w:t>
      </w:r>
      <w:r w:rsidR="00093E5C">
        <w:t>must</w:t>
      </w:r>
      <w:r w:rsidRPr="004147A0" w:rsidR="004147A0">
        <w:t xml:space="preserve"> not exceed -175 dB(W/m2</w:t>
      </w:r>
      <w:r w:rsidR="00093E5C">
        <w:t>)/</w:t>
      </w:r>
      <w:r w:rsidR="000F5D6E">
        <w:t>4kHz</w:t>
      </w:r>
      <w:r w:rsidRPr="004147A0" w:rsidR="004147A0">
        <w:t>.</w:t>
      </w:r>
    </w:p>
    <w:p w:rsidR="00687540" w:rsidP="00B6738D">
      <w:pPr>
        <w:pStyle w:val="ParaNum"/>
        <w:numPr>
          <w:ilvl w:val="0"/>
          <w:numId w:val="0"/>
        </w:numPr>
        <w:ind w:left="1440" w:hanging="360"/>
      </w:pPr>
      <w:r>
        <w:t>e.</w:t>
      </w:r>
      <w:r w:rsidR="00B6738D">
        <w:tab/>
      </w:r>
      <w:r>
        <w:t>The total number of satellites deployed</w:t>
      </w:r>
      <w:r w:rsidR="00711D2F">
        <w:t xml:space="preserve"> during the license term</w:t>
      </w:r>
      <w:r>
        <w:t xml:space="preserve">, including technically identical replacement satellites </w:t>
      </w:r>
      <w:r w:rsidR="003548DB">
        <w:t xml:space="preserve">deployed pursuant to 47 CFR </w:t>
      </w:r>
      <w:r w:rsidRPr="00697622" w:rsidR="003548DB">
        <w:t>§</w:t>
      </w:r>
      <w:r w:rsidR="003548DB">
        <w:t xml:space="preserve"> 25.113(i), must not exceed 600. Swarm must report within 30 days, by submission to the International Bureau Filing System, if at any point the percentage of satellites that have failed prior to their planned end of life at approximately 300</w:t>
      </w:r>
      <w:r w:rsidR="004A669D">
        <w:t>-</w:t>
      </w:r>
      <w:r w:rsidR="003548DB">
        <w:t>k</w:t>
      </w:r>
      <w:r w:rsidR="00867D64">
        <w:t xml:space="preserve">ilometer </w:t>
      </w:r>
      <w:r w:rsidR="003548DB">
        <w:t xml:space="preserve">altitude exceeds ten percent (excluding any satellites lost due to launch failures). </w:t>
      </w:r>
    </w:p>
    <w:p w:rsidR="00F71F6B" w:rsidP="00B6738D">
      <w:pPr>
        <w:pStyle w:val="ParaNum"/>
        <w:numPr>
          <w:ilvl w:val="0"/>
          <w:numId w:val="0"/>
        </w:numPr>
        <w:ind w:left="1440" w:hanging="360"/>
      </w:pPr>
      <w:r>
        <w:t>f.</w:t>
      </w:r>
      <w:r w:rsidR="00B6738D">
        <w:tab/>
      </w:r>
      <w:r>
        <w:t>Swarm’s operations in the frequency band 137-138 MHz will be conducted in accordance with any coordination agreement between Swarm and the Department of Commerce Frequency Management Office to</w:t>
      </w:r>
      <w:r w:rsidRPr="00842CAE">
        <w:rPr>
          <w:color w:val="212121"/>
          <w:szCs w:val="22"/>
        </w:rPr>
        <w:t xml:space="preserve"> </w:t>
      </w:r>
      <w:r>
        <w:rPr>
          <w:color w:val="212121"/>
          <w:szCs w:val="22"/>
        </w:rPr>
        <w:t>protect NOAA meteorological satellite systems operating within this frequency band.</w:t>
      </w:r>
    </w:p>
    <w:p w:rsidR="00697622" w:rsidRPr="00697622" w:rsidP="00B6738D">
      <w:pPr>
        <w:pStyle w:val="ParaNum"/>
        <w:widowControl/>
        <w:tabs>
          <w:tab w:val="clear" w:pos="1080"/>
          <w:tab w:val="num" w:pos="1440"/>
        </w:tabs>
      </w:pPr>
      <w:r w:rsidRPr="00697622">
        <w:t xml:space="preserve">IT IS FURTHER ORDERED that this </w:t>
      </w:r>
      <w:r w:rsidR="00F719BD">
        <w:t>authorization</w:t>
      </w:r>
      <w:r w:rsidRPr="00697622">
        <w:t xml:space="preserve"> IS SUBJECT to the following requirements</w:t>
      </w:r>
      <w:bookmarkStart w:id="6" w:name="_Hlk21514967"/>
      <w:r w:rsidRPr="00697622">
        <w:t>:</w:t>
      </w:r>
    </w:p>
    <w:p w:rsidR="00697622" w:rsidRPr="00697622" w:rsidP="00B6738D">
      <w:pPr>
        <w:numPr>
          <w:ilvl w:val="0"/>
          <w:numId w:val="26"/>
        </w:numPr>
        <w:spacing w:before="120" w:after="120"/>
        <w:ind w:left="1440"/>
      </w:pPr>
      <w:r>
        <w:t>Swarm m</w:t>
      </w:r>
      <w:r w:rsidRPr="00697622">
        <w:t xml:space="preserve">ust post a surety bond in satisfaction of 47 CFR §§ 25.165(a)(1) &amp; (b) no later than </w:t>
      </w:r>
      <w:r w:rsidRPr="00F20C9B" w:rsidR="00B87A04">
        <w:t xml:space="preserve">November </w:t>
      </w:r>
      <w:r w:rsidRPr="00F20C9B" w:rsidR="00F20C9B">
        <w:t>16</w:t>
      </w:r>
      <w:r w:rsidRPr="00F20C9B" w:rsidR="00B87A04">
        <w:t>, 2019</w:t>
      </w:r>
      <w:r w:rsidRPr="00F20C9B">
        <w:t>, and</w:t>
      </w:r>
      <w:r w:rsidRPr="00697622">
        <w:t xml:space="preserve"> thereafter maintain on file a surety bond requiring payment in the event of a default in an amount, at minimum, determined according to the formula set forth in 47 CFR § 25.165(a)(1); and</w:t>
      </w:r>
    </w:p>
    <w:p w:rsidR="00697622" w:rsidRPr="00697622" w:rsidP="00B6738D">
      <w:pPr>
        <w:numPr>
          <w:ilvl w:val="0"/>
          <w:numId w:val="26"/>
        </w:numPr>
        <w:spacing w:before="120" w:after="120"/>
        <w:ind w:left="1440"/>
      </w:pPr>
      <w:r>
        <w:t xml:space="preserve">Swarm </w:t>
      </w:r>
      <w:r w:rsidRPr="00697622">
        <w:t xml:space="preserve">must launch 50 percent of the maximum number of proposed space stations, place them in the assigned orbits, and operate them in accordance with this </w:t>
      </w:r>
      <w:r w:rsidR="00F719BD">
        <w:t>authorization</w:t>
      </w:r>
      <w:r w:rsidR="00867D64">
        <w:t xml:space="preserve"> </w:t>
      </w:r>
      <w:r w:rsidRPr="00697622">
        <w:t xml:space="preserve">no later than </w:t>
      </w:r>
      <w:r w:rsidRPr="00153E20" w:rsidR="0012380B">
        <w:t xml:space="preserve">October </w:t>
      </w:r>
      <w:r w:rsidR="00F20C9B">
        <w:t>17</w:t>
      </w:r>
      <w:r w:rsidRPr="00153E20" w:rsidR="0012380B">
        <w:t>, 20</w:t>
      </w:r>
      <w:r w:rsidRPr="00153E20" w:rsidR="00153E20">
        <w:t>25</w:t>
      </w:r>
      <w:r w:rsidR="00153E20">
        <w:t>,</w:t>
      </w:r>
      <w:r w:rsidRPr="00153E20" w:rsidR="00153E20">
        <w:t xml:space="preserve"> </w:t>
      </w:r>
      <w:r w:rsidRPr="00153E20">
        <w:t>and must launch the remaining space stations necessary to complete its authorized service constellation, place them in their assigned orbits, and operate them in accordance with the</w:t>
      </w:r>
      <w:r w:rsidRPr="00697622">
        <w:t xml:space="preserve"> authorization no later than </w:t>
      </w:r>
      <w:r w:rsidRPr="00F20C9B" w:rsidR="00153E20">
        <w:t xml:space="preserve">October </w:t>
      </w:r>
      <w:r w:rsidRPr="00F20C9B" w:rsidR="00F20C9B">
        <w:t>17</w:t>
      </w:r>
      <w:r w:rsidRPr="00F20C9B" w:rsidR="00153E20">
        <w:t>, 2028</w:t>
      </w:r>
      <w:r w:rsidRPr="00F20C9B">
        <w:t>.</w:t>
      </w:r>
      <w:r w:rsidRPr="00697622">
        <w:t xml:space="preserve">  47 CFR § 25.164(b).</w:t>
      </w:r>
    </w:p>
    <w:p w:rsidR="00697622" w:rsidP="00B6738D">
      <w:pPr>
        <w:numPr>
          <w:ilvl w:val="0"/>
          <w:numId w:val="26"/>
        </w:numPr>
        <w:spacing w:before="120" w:after="120"/>
        <w:ind w:left="1440"/>
      </w:pPr>
      <w:r w:rsidRPr="00697622">
        <w:t xml:space="preserve">Failure to post and maintain a surety bond will render this </w:t>
      </w:r>
      <w:r w:rsidR="00F719BD">
        <w:t>authorization</w:t>
      </w:r>
      <w:r w:rsidRPr="00697622">
        <w:t xml:space="preserve"> null and void automatically, without further Commission action.  Failure to meet the milestone requirements of 47 CFR § 25.164(b) may result in </w:t>
      </w:r>
      <w:r w:rsidR="00D77A3D">
        <w:t>Swarm’s</w:t>
      </w:r>
      <w:r w:rsidRPr="00697622">
        <w:t xml:space="preserve"> authorization being reduced to the number of satellites in use at the milestone date.  Failure to comply with the milestone requirements of 47 CFR § 25.164(b) will also result in forfeiture of </w:t>
      </w:r>
      <w:r w:rsidR="00D77A3D">
        <w:t>Swarm’s</w:t>
      </w:r>
      <w:r w:rsidRPr="00697622">
        <w:t xml:space="preserve"> </w:t>
      </w:r>
      <w:r w:rsidRPr="00697622">
        <w:t xml:space="preserve">surety bond.  By </w:t>
      </w:r>
      <w:r w:rsidR="00F20C9B">
        <w:t xml:space="preserve">November 1, </w:t>
      </w:r>
      <w:r w:rsidRPr="00F20C9B" w:rsidR="00F20C9B">
        <w:t>2025</w:t>
      </w:r>
      <w:r w:rsidRPr="00F20C9B">
        <w:t xml:space="preserve">, </w:t>
      </w:r>
      <w:r w:rsidRPr="00F20C9B" w:rsidR="00D77A3D">
        <w:t>S</w:t>
      </w:r>
      <w:r w:rsidR="00D77A3D">
        <w:t xml:space="preserve">warm </w:t>
      </w:r>
      <w:r w:rsidRPr="00697622">
        <w:t>must either demonstrate compliance with this milestone requirement or notify the Commission in writing that the requirement was not met.  47 CFR § 25.164(f).</w:t>
      </w:r>
    </w:p>
    <w:bookmarkEnd w:id="6"/>
    <w:p w:rsidR="001C2763" w:rsidRPr="001C2763" w:rsidP="00B6738D">
      <w:pPr>
        <w:pStyle w:val="ParaNum"/>
        <w:widowControl/>
        <w:tabs>
          <w:tab w:val="clear" w:pos="1080"/>
          <w:tab w:val="num" w:pos="1440"/>
        </w:tabs>
        <w:rPr>
          <w:szCs w:val="22"/>
        </w:rPr>
      </w:pPr>
      <w:r w:rsidRPr="001C2763">
        <w:rPr>
          <w:szCs w:val="22"/>
          <w:shd w:val="clear" w:color="auto" w:fill="FFFFFF"/>
        </w:rPr>
        <w:t>Swarm Technologies</w:t>
      </w:r>
      <w:r w:rsidR="00FF34AC">
        <w:rPr>
          <w:szCs w:val="22"/>
          <w:shd w:val="clear" w:color="auto" w:fill="FFFFFF"/>
        </w:rPr>
        <w:t>,</w:t>
      </w:r>
      <w:r w:rsidRPr="001C2763">
        <w:rPr>
          <w:szCs w:val="22"/>
          <w:shd w:val="clear" w:color="auto" w:fill="FFFFFF"/>
        </w:rPr>
        <w:t xml:space="preserve"> Inc. must timely provide the Commission with the information required for Advance Publication, Coordination, and Notification of the frequency assignment(s) for this constellation, including due diligence information, pursuant to Articles 9 and 11 of the ITU Radio Regulations. </w:t>
      </w:r>
      <w:r>
        <w:rPr>
          <w:szCs w:val="22"/>
          <w:shd w:val="clear" w:color="auto" w:fill="FFFFFF"/>
        </w:rPr>
        <w:t xml:space="preserve"> </w:t>
      </w:r>
      <w:r w:rsidRPr="001C2763">
        <w:rPr>
          <w:szCs w:val="22"/>
          <w:shd w:val="clear" w:color="auto" w:fill="FFFFFF"/>
        </w:rPr>
        <w:t>This authorization may be modified, without prior notice, consistent with the coordination of the frequency assignment(s) with other Administrations</w:t>
      </w:r>
      <w:r w:rsidR="006E066B">
        <w:rPr>
          <w:szCs w:val="22"/>
          <w:shd w:val="clear" w:color="auto" w:fill="FFFFFF"/>
        </w:rPr>
        <w:t xml:space="preserve">, </w:t>
      </w:r>
      <w:hyperlink r:id="rId5" w:anchor="co_pp_a83b000018c76" w:history="1">
        <w:r w:rsidRPr="001C2763">
          <w:rPr>
            <w:szCs w:val="22"/>
            <w:bdr w:val="none" w:sz="0" w:space="0" w:color="auto" w:frame="1"/>
            <w:shd w:val="clear" w:color="auto" w:fill="FFFFFF"/>
          </w:rPr>
          <w:t>47 CFR § 25.111(b)</w:t>
        </w:r>
      </w:hyperlink>
      <w:r w:rsidRPr="001C2763">
        <w:rPr>
          <w:szCs w:val="22"/>
          <w:shd w:val="clear" w:color="auto" w:fill="FFFFFF"/>
        </w:rPr>
        <w:t xml:space="preserve">. </w:t>
      </w:r>
      <w:r>
        <w:rPr>
          <w:szCs w:val="22"/>
          <w:shd w:val="clear" w:color="auto" w:fill="FFFFFF"/>
        </w:rPr>
        <w:t xml:space="preserve">Swarm </w:t>
      </w:r>
      <w:r w:rsidRPr="001C2763">
        <w:rPr>
          <w:szCs w:val="22"/>
          <w:shd w:val="clear" w:color="auto" w:fill="FFFFFF"/>
        </w:rPr>
        <w:t>is responsible for all cost-recovery fees associated with the ITU filings</w:t>
      </w:r>
      <w:r w:rsidR="006E066B">
        <w:rPr>
          <w:szCs w:val="22"/>
          <w:shd w:val="clear" w:color="auto" w:fill="FFFFFF"/>
        </w:rPr>
        <w:t>,</w:t>
      </w:r>
      <w:r w:rsidR="006E066B">
        <w:rPr>
          <w:i/>
          <w:szCs w:val="22"/>
          <w:shd w:val="clear" w:color="auto" w:fill="FFFFFF"/>
        </w:rPr>
        <w:t xml:space="preserve"> </w:t>
      </w:r>
      <w:hyperlink r:id="rId5" w:anchor="co_pp_5ba1000067d06" w:history="1">
        <w:r w:rsidRPr="001C2763">
          <w:rPr>
            <w:szCs w:val="22"/>
            <w:bdr w:val="none" w:sz="0" w:space="0" w:color="auto" w:frame="1"/>
            <w:shd w:val="clear" w:color="auto" w:fill="FFFFFF"/>
          </w:rPr>
          <w:t>47 CFR § 25.111(d)</w:t>
        </w:r>
      </w:hyperlink>
      <w:r w:rsidRPr="001C2763">
        <w:rPr>
          <w:szCs w:val="22"/>
          <w:shd w:val="clear" w:color="auto" w:fill="FFFFFF"/>
        </w:rPr>
        <w:t>.</w:t>
      </w:r>
    </w:p>
    <w:p w:rsidR="00783C3C" w:rsidRPr="00867D64" w:rsidP="00B6738D">
      <w:pPr>
        <w:pStyle w:val="ParaNum"/>
        <w:widowControl/>
        <w:tabs>
          <w:tab w:val="clear" w:pos="1080"/>
          <w:tab w:val="num" w:pos="1440"/>
        </w:tabs>
        <w:rPr>
          <w:szCs w:val="22"/>
        </w:rPr>
      </w:pPr>
      <w:r w:rsidRPr="00783C3C">
        <w:rPr>
          <w:szCs w:val="22"/>
          <w:shd w:val="clear" w:color="auto" w:fill="FFFFFF"/>
        </w:rPr>
        <w:t xml:space="preserve">IT IS FURTHER ORDERED that this </w:t>
      </w:r>
      <w:r w:rsidR="00F719BD">
        <w:rPr>
          <w:szCs w:val="22"/>
          <w:shd w:val="clear" w:color="auto" w:fill="FFFFFF"/>
        </w:rPr>
        <w:t>authorizatio</w:t>
      </w:r>
      <w:r w:rsidR="00867D64">
        <w:rPr>
          <w:szCs w:val="22"/>
          <w:shd w:val="clear" w:color="auto" w:fill="FFFFFF"/>
        </w:rPr>
        <w:t>n</w:t>
      </w:r>
      <w:r w:rsidRPr="00783C3C">
        <w:rPr>
          <w:szCs w:val="22"/>
          <w:shd w:val="clear" w:color="auto" w:fill="FFFFFF"/>
        </w:rPr>
        <w:t xml:space="preserve"> </w:t>
      </w:r>
      <w:r w:rsidR="00F719BD">
        <w:rPr>
          <w:szCs w:val="22"/>
          <w:shd w:val="clear" w:color="auto" w:fill="FFFFFF"/>
        </w:rPr>
        <w:t xml:space="preserve">and </w:t>
      </w:r>
      <w:r w:rsidRPr="00783C3C">
        <w:rPr>
          <w:szCs w:val="22"/>
          <w:shd w:val="clear" w:color="auto" w:fill="FFFFFF"/>
        </w:rPr>
        <w:t>any earth station licenses granted in the future are subject to modification to bring them into conformance with any rules or policies adopted by the Commission in the future</w:t>
      </w:r>
      <w:r w:rsidR="0072500F">
        <w:rPr>
          <w:szCs w:val="22"/>
          <w:shd w:val="clear" w:color="auto" w:fill="FFFFFF"/>
        </w:rPr>
        <w:t xml:space="preserve">, including </w:t>
      </w:r>
      <w:hyperlink r:id="rId6" w:history="1">
        <w:r w:rsidRPr="00867D64" w:rsidR="0072500F">
          <w:rPr>
            <w:i/>
            <w:iCs/>
            <w:szCs w:val="22"/>
            <w:bdr w:val="none" w:sz="0" w:space="0" w:color="auto" w:frame="1"/>
            <w:shd w:val="clear" w:color="auto" w:fill="FFFFFF"/>
          </w:rPr>
          <w:t>Mitigation of </w:t>
        </w:r>
        <w:r w:rsidRPr="00867D64" w:rsidR="0072500F">
          <w:rPr>
            <w:bCs/>
            <w:i/>
            <w:iCs/>
            <w:szCs w:val="22"/>
            <w:bdr w:val="none" w:sz="0" w:space="0" w:color="auto" w:frame="1"/>
            <w:shd w:val="clear" w:color="auto" w:fill="FFFFFF"/>
          </w:rPr>
          <w:t>Orbital</w:t>
        </w:r>
        <w:r w:rsidRPr="00867D64" w:rsidR="0072500F">
          <w:rPr>
            <w:i/>
            <w:iCs/>
            <w:szCs w:val="22"/>
            <w:bdr w:val="none" w:sz="0" w:space="0" w:color="auto" w:frame="1"/>
            <w:shd w:val="clear" w:color="auto" w:fill="FFFFFF"/>
          </w:rPr>
          <w:t> </w:t>
        </w:r>
        <w:r w:rsidRPr="00867D64" w:rsidR="0072500F">
          <w:rPr>
            <w:bCs/>
            <w:i/>
            <w:iCs/>
            <w:szCs w:val="22"/>
            <w:bdr w:val="none" w:sz="0" w:space="0" w:color="auto" w:frame="1"/>
            <w:shd w:val="clear" w:color="auto" w:fill="FFFFFF"/>
          </w:rPr>
          <w:t>Debris</w:t>
        </w:r>
        <w:r w:rsidRPr="00867D64" w:rsidR="0072500F">
          <w:rPr>
            <w:i/>
            <w:iCs/>
            <w:szCs w:val="22"/>
            <w:bdr w:val="none" w:sz="0" w:space="0" w:color="auto" w:frame="1"/>
            <w:shd w:val="clear" w:color="auto" w:fill="FFFFFF"/>
          </w:rPr>
          <w:t> in the New Space Age</w:t>
        </w:r>
        <w:r w:rsidRPr="00867D64" w:rsidR="0072500F">
          <w:rPr>
            <w:szCs w:val="22"/>
            <w:bdr w:val="none" w:sz="0" w:space="0" w:color="auto" w:frame="1"/>
            <w:shd w:val="clear" w:color="auto" w:fill="FFFFFF"/>
          </w:rPr>
          <w:t>, Notice of Proposed Rulemaking, 33 FCC Rcd 11352 (2018)</w:t>
        </w:r>
      </w:hyperlink>
      <w:r w:rsidRPr="00867D64" w:rsidR="0072500F">
        <w:rPr>
          <w:szCs w:val="22"/>
        </w:rPr>
        <w:t>.</w:t>
      </w:r>
    </w:p>
    <w:p w:rsidR="001664AF" w:rsidRPr="0072500F" w:rsidP="00B6738D">
      <w:pPr>
        <w:pStyle w:val="ParaNum"/>
        <w:widowControl/>
        <w:tabs>
          <w:tab w:val="clear" w:pos="1080"/>
          <w:tab w:val="num" w:pos="1440"/>
        </w:tabs>
        <w:rPr>
          <w:szCs w:val="22"/>
        </w:rPr>
      </w:pPr>
      <w:r w:rsidRPr="00697622">
        <w:t>IT IS FURTHER ORDERED</w:t>
      </w:r>
      <w:r>
        <w:t xml:space="preserve"> that Swarm Technologies’ earth stations are subject to the requirements of Footnote US323 of the U.S. Table of Frequency Allocations, 47 CFR § 2.106, Footnote US323. </w:t>
      </w:r>
    </w:p>
    <w:p w:rsidR="00697622" w:rsidP="00B6738D">
      <w:pPr>
        <w:pStyle w:val="ParaNum"/>
        <w:widowControl/>
        <w:tabs>
          <w:tab w:val="clear" w:pos="1080"/>
          <w:tab w:val="num" w:pos="1440"/>
        </w:tabs>
      </w:pPr>
      <w:r w:rsidRPr="00697622">
        <w:t xml:space="preserve">IT IS FURTHER ORDERED that </w:t>
      </w:r>
      <w:r w:rsidR="002C4A13">
        <w:t>the request of Swarm Technologies</w:t>
      </w:r>
      <w:r w:rsidR="00FF34AC">
        <w:t>,</w:t>
      </w:r>
      <w:r w:rsidR="002C4A13">
        <w:t xml:space="preserve"> Inc for a waiver of </w:t>
      </w:r>
      <w:r w:rsidR="009C24EA">
        <w:t xml:space="preserve">the processing round procedures specified in </w:t>
      </w:r>
      <w:r w:rsidR="00E26D00">
        <w:t>s</w:t>
      </w:r>
      <w:r w:rsidRPr="00697622">
        <w:t xml:space="preserve">ection 25.157 IS GRANTED.  </w:t>
      </w:r>
    </w:p>
    <w:p w:rsidR="00191B77" w:rsidRPr="00697622" w:rsidP="00B6738D">
      <w:pPr>
        <w:pStyle w:val="ParaNum"/>
        <w:widowControl/>
        <w:tabs>
          <w:tab w:val="clear" w:pos="1080"/>
          <w:tab w:val="num" w:pos="1440"/>
        </w:tabs>
      </w:pPr>
      <w:r>
        <w:t xml:space="preserve">IT IS FURTHER ORDERED that the Petition to Deny, Dismiss, or Hold in Abeyance filed by ORBCOMM Licensee Corporation is DENIED. </w:t>
      </w:r>
    </w:p>
    <w:p w:rsidR="00191B77" w:rsidP="00B6738D">
      <w:pPr>
        <w:pStyle w:val="ParaNum"/>
        <w:widowControl/>
        <w:tabs>
          <w:tab w:val="clear" w:pos="1080"/>
          <w:tab w:val="num" w:pos="1440"/>
        </w:tabs>
        <w:rPr>
          <w:snapToGrid/>
        </w:rPr>
      </w:pPr>
      <w:r>
        <w:rPr>
          <w:snapToGrid/>
        </w:rPr>
        <w:t>I</w:t>
      </w:r>
      <w:r w:rsidRPr="00191B77">
        <w:rPr>
          <w:snapToGrid/>
        </w:rPr>
        <w:t xml:space="preserve">T IS FURTHER ORDERED that </w:t>
      </w:r>
      <w:r>
        <w:rPr>
          <w:snapToGrid/>
        </w:rPr>
        <w:t>Swarm Technologies</w:t>
      </w:r>
      <w:r w:rsidR="00FF34AC">
        <w:rPr>
          <w:snapToGrid/>
        </w:rPr>
        <w:t>,</w:t>
      </w:r>
      <w:r>
        <w:rPr>
          <w:snapToGrid/>
        </w:rPr>
        <w:t xml:space="preserve"> </w:t>
      </w:r>
      <w:r w:rsidR="001C2763">
        <w:rPr>
          <w:snapToGrid/>
        </w:rPr>
        <w:t xml:space="preserve">Inc. </w:t>
      </w:r>
      <w:r w:rsidRPr="00191B77">
        <w:rPr>
          <w:snapToGrid/>
        </w:rPr>
        <w:t xml:space="preserve">is afforded 30 days from the date of release of this Order to decline this authorization as conditioned. </w:t>
      </w:r>
      <w:r w:rsidR="001C2763">
        <w:rPr>
          <w:snapToGrid/>
        </w:rPr>
        <w:t xml:space="preserve"> </w:t>
      </w:r>
      <w:r w:rsidRPr="00191B77">
        <w:rPr>
          <w:snapToGrid/>
        </w:rPr>
        <w:t>Failure to respond within that period will constitute formal acceptance of the authorization as conditioned.</w:t>
      </w:r>
    </w:p>
    <w:p w:rsidR="00051BCA" w:rsidRPr="00783C3C" w:rsidP="00B6738D">
      <w:pPr>
        <w:pStyle w:val="ParaNum"/>
        <w:widowControl/>
        <w:tabs>
          <w:tab w:val="clear" w:pos="1080"/>
          <w:tab w:val="num" w:pos="1440"/>
          <w:tab w:val="num" w:pos="1800"/>
        </w:tabs>
        <w:rPr>
          <w:snapToGrid/>
        </w:rPr>
      </w:pPr>
      <w:r w:rsidRPr="00783C3C">
        <w:rPr>
          <w:snapToGrid/>
        </w:rPr>
        <w:t xml:space="preserve">IT IS FURTHER ORDERED that this Order is issued pursuant to </w:t>
      </w:r>
      <w:r w:rsidR="00E26D00">
        <w:rPr>
          <w:snapToGrid/>
        </w:rPr>
        <w:t>s</w:t>
      </w:r>
      <w:r w:rsidRPr="00783C3C">
        <w:rPr>
          <w:snapToGrid/>
        </w:rPr>
        <w:t>ection 0.261 of the Commission's Rules, </w:t>
      </w:r>
      <w:hyperlink r:id="rId7" w:history="1">
        <w:r w:rsidRPr="00783C3C">
          <w:rPr>
            <w:snapToGrid/>
          </w:rPr>
          <w:t>47 CF</w:t>
        </w:r>
        <w:r w:rsidR="00E26D00">
          <w:rPr>
            <w:snapToGrid/>
          </w:rPr>
          <w:t>R</w:t>
        </w:r>
        <w:r w:rsidRPr="00783C3C">
          <w:rPr>
            <w:snapToGrid/>
          </w:rPr>
          <w:t xml:space="preserve"> § 0.261</w:t>
        </w:r>
      </w:hyperlink>
      <w:r w:rsidRPr="00783C3C">
        <w:rPr>
          <w:snapToGrid/>
        </w:rPr>
        <w:t xml:space="preserve">. </w:t>
      </w:r>
      <w:r w:rsidR="003E708A">
        <w:rPr>
          <w:snapToGrid/>
        </w:rPr>
        <w:t xml:space="preserve"> </w:t>
      </w:r>
      <w:r w:rsidRPr="00783C3C">
        <w:rPr>
          <w:snapToGrid/>
        </w:rPr>
        <w:t xml:space="preserve">Petitions for reconsideration under </w:t>
      </w:r>
      <w:r w:rsidR="00E26D00">
        <w:rPr>
          <w:snapToGrid/>
        </w:rPr>
        <w:t>s</w:t>
      </w:r>
      <w:r w:rsidRPr="00783C3C">
        <w:rPr>
          <w:snapToGrid/>
        </w:rPr>
        <w:t xml:space="preserve">ection 1.106 or applications for review under </w:t>
      </w:r>
      <w:r w:rsidR="00E26D00">
        <w:rPr>
          <w:snapToGrid/>
        </w:rPr>
        <w:t>s</w:t>
      </w:r>
      <w:r w:rsidRPr="00783C3C">
        <w:rPr>
          <w:snapToGrid/>
        </w:rPr>
        <w:t>ection 1.115 of the Commission's Rules, </w:t>
      </w:r>
      <w:hyperlink r:id="rId8" w:history="1">
        <w:r w:rsidRPr="00783C3C">
          <w:rPr>
            <w:snapToGrid/>
          </w:rPr>
          <w:t>47 CFR §§ 1.106</w:t>
        </w:r>
      </w:hyperlink>
      <w:r w:rsidRPr="00783C3C">
        <w:rPr>
          <w:snapToGrid/>
        </w:rPr>
        <w:t> and </w:t>
      </w:r>
      <w:hyperlink r:id="rId9" w:history="1">
        <w:r w:rsidRPr="00783C3C">
          <w:rPr>
            <w:snapToGrid/>
          </w:rPr>
          <w:t>1.115</w:t>
        </w:r>
      </w:hyperlink>
      <w:r w:rsidRPr="00783C3C">
        <w:rPr>
          <w:snapToGrid/>
        </w:rPr>
        <w:t>, may be filed within 30 days of the date of public notice of this Order.</w:t>
      </w:r>
    </w:p>
    <w:p w:rsidR="00191B77" w:rsidRPr="00C57B1A" w:rsidP="00B6738D">
      <w:pPr>
        <w:pStyle w:val="ParaNum"/>
        <w:widowControl/>
        <w:numPr>
          <w:ilvl w:val="0"/>
          <w:numId w:val="0"/>
        </w:numPr>
        <w:spacing w:after="0"/>
      </w:pPr>
    </w:p>
    <w:p w:rsidR="00051BCA" w:rsidP="00B6738D">
      <w:r>
        <w:tab/>
      </w:r>
      <w:r>
        <w:tab/>
      </w:r>
      <w:r>
        <w:tab/>
      </w:r>
      <w:r>
        <w:tab/>
      </w:r>
      <w:r>
        <w:tab/>
      </w:r>
      <w:r>
        <w:tab/>
      </w:r>
      <w:r w:rsidR="003D63D5">
        <w:t>FEDERAL COMMUNICATIONS COMMISSION</w:t>
      </w:r>
    </w:p>
    <w:p w:rsidR="00051BCA" w:rsidP="00051BCA"/>
    <w:p w:rsidR="00051BCA" w:rsidP="00051BCA"/>
    <w:p w:rsidR="00051BCA" w:rsidP="00051BCA"/>
    <w:p w:rsidR="00B6738D" w:rsidP="00051BCA"/>
    <w:p w:rsidR="00051BCA" w:rsidP="00B6738D">
      <w:r>
        <w:tab/>
      </w:r>
      <w:r>
        <w:tab/>
      </w:r>
      <w:r>
        <w:tab/>
      </w:r>
      <w:r>
        <w:tab/>
      </w:r>
      <w:r>
        <w:tab/>
      </w:r>
      <w:r>
        <w:tab/>
      </w:r>
      <w:r w:rsidR="003D63D5">
        <w:t xml:space="preserve">Jose </w:t>
      </w:r>
      <w:r w:rsidR="00D80826">
        <w:t xml:space="preserve">P. </w:t>
      </w:r>
      <w:r w:rsidR="003D63D5">
        <w:t>Albuquerque</w:t>
      </w:r>
    </w:p>
    <w:p w:rsidR="00D77A3D" w:rsidP="00B6738D">
      <w:r>
        <w:tab/>
      </w:r>
      <w:r>
        <w:tab/>
      </w:r>
      <w:r>
        <w:tab/>
      </w:r>
      <w:r>
        <w:tab/>
      </w:r>
      <w:r>
        <w:tab/>
      </w:r>
      <w:r>
        <w:tab/>
      </w:r>
      <w:r w:rsidR="003D63D5">
        <w:t>Chief, Satellite Division</w:t>
      </w:r>
    </w:p>
    <w:p w:rsidR="00D77A3D" w:rsidRPr="00D82F60" w:rsidP="00B6738D">
      <w:r>
        <w:tab/>
      </w:r>
      <w:r>
        <w:tab/>
      </w:r>
      <w:r>
        <w:tab/>
      </w:r>
      <w:r>
        <w:tab/>
      </w:r>
      <w:r>
        <w:tab/>
      </w:r>
      <w:r>
        <w:tab/>
      </w:r>
      <w:r w:rsidR="003D63D5">
        <w:t>International Bureau</w:t>
      </w:r>
    </w:p>
    <w:p w:rsidR="00B6738D" w:rsidP="00644518">
      <w:pPr>
        <w:pStyle w:val="ParaNum"/>
        <w:numPr>
          <w:ilvl w:val="0"/>
          <w:numId w:val="0"/>
        </w:numPr>
        <w:jc w:val="center"/>
        <w:rPr>
          <w:b/>
        </w:rPr>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rsidR="00644518" w:rsidP="00B6738D">
      <w:pPr>
        <w:pStyle w:val="ParaNum"/>
        <w:numPr>
          <w:ilvl w:val="0"/>
          <w:numId w:val="0"/>
        </w:numPr>
        <w:spacing w:after="0"/>
        <w:jc w:val="center"/>
        <w:rPr>
          <w:b/>
        </w:rPr>
      </w:pPr>
      <w:r>
        <w:rPr>
          <w:b/>
        </w:rPr>
        <w:t>ATTACHMENT</w:t>
      </w:r>
    </w:p>
    <w:p w:rsidR="00B6738D" w:rsidRPr="00FE7B59" w:rsidP="00B6738D">
      <w:pPr>
        <w:pStyle w:val="ParaNum"/>
        <w:numPr>
          <w:ilvl w:val="0"/>
          <w:numId w:val="0"/>
        </w:numPr>
        <w:jc w:val="center"/>
        <w:rPr>
          <w:b/>
        </w:rPr>
      </w:pPr>
    </w:p>
    <w:p w:rsidR="00644518" w:rsidRPr="00FE7B59" w:rsidP="00B6738D">
      <w:pPr>
        <w:pStyle w:val="ParaNum"/>
        <w:numPr>
          <w:ilvl w:val="0"/>
          <w:numId w:val="0"/>
        </w:numPr>
        <w:spacing w:after="220"/>
      </w:pPr>
      <w:r w:rsidRPr="00FE7B59">
        <w:t>The following entities filed letters in support of granting Swarm’s application, IBFS File No. SAT-LOA-20181221-00094:</w:t>
      </w:r>
    </w:p>
    <w:p w:rsidR="006346B2" w:rsidP="006346B2">
      <w:pPr>
        <w:pStyle w:val="ParaNum"/>
        <w:numPr>
          <w:ilvl w:val="0"/>
          <w:numId w:val="0"/>
        </w:numPr>
      </w:pPr>
      <w:r>
        <w:t>Aclima</w:t>
      </w:r>
    </w:p>
    <w:p w:rsidR="006346B2" w:rsidP="006346B2">
      <w:pPr>
        <w:pStyle w:val="ParaNum"/>
        <w:numPr>
          <w:ilvl w:val="0"/>
          <w:numId w:val="0"/>
        </w:numPr>
      </w:pPr>
      <w:r>
        <w:t>Arable, Inc.</w:t>
      </w:r>
    </w:p>
    <w:p w:rsidR="006346B2" w:rsidP="006346B2">
      <w:pPr>
        <w:pStyle w:val="ParaNum"/>
        <w:numPr>
          <w:ilvl w:val="0"/>
          <w:numId w:val="0"/>
        </w:numPr>
      </w:pPr>
      <w:r>
        <w:t>Arch Systems, Inc.</w:t>
      </w:r>
    </w:p>
    <w:p w:rsidR="00644518" w:rsidP="00644518">
      <w:pPr>
        <w:pStyle w:val="ParaNum"/>
        <w:numPr>
          <w:ilvl w:val="0"/>
          <w:numId w:val="0"/>
        </w:numPr>
      </w:pPr>
      <w:r>
        <w:t>Aut</w:t>
      </w:r>
      <w:r w:rsidR="006C1B8E">
        <w:t>n</w:t>
      </w:r>
      <w:r>
        <w:t>omic</w:t>
      </w:r>
    </w:p>
    <w:p w:rsidR="006346B2" w:rsidP="006346B2">
      <w:pPr>
        <w:pStyle w:val="ParaNum"/>
        <w:numPr>
          <w:ilvl w:val="0"/>
          <w:numId w:val="0"/>
        </w:numPr>
      </w:pPr>
      <w:r>
        <w:t>Bluetown</w:t>
      </w:r>
    </w:p>
    <w:p w:rsidR="00644518" w:rsidP="00644518">
      <w:pPr>
        <w:pStyle w:val="ParaNum"/>
        <w:numPr>
          <w:ilvl w:val="0"/>
          <w:numId w:val="0"/>
        </w:numPr>
      </w:pPr>
      <w:r>
        <w:t>Brush New Zealand, Ltd.</w:t>
      </w:r>
    </w:p>
    <w:p w:rsidR="006346B2" w:rsidP="006346B2">
      <w:pPr>
        <w:pStyle w:val="ParaNum"/>
        <w:numPr>
          <w:ilvl w:val="0"/>
          <w:numId w:val="0"/>
        </w:numPr>
      </w:pPr>
      <w:r>
        <w:t>Droneseed</w:t>
      </w:r>
    </w:p>
    <w:p w:rsidR="006C1B8E" w:rsidP="006C1B8E">
      <w:pPr>
        <w:pStyle w:val="ParaNum"/>
        <w:numPr>
          <w:ilvl w:val="0"/>
          <w:numId w:val="0"/>
        </w:numPr>
      </w:pPr>
      <w:r>
        <w:t>Ford Smart Mobility, LLC</w:t>
      </w:r>
    </w:p>
    <w:p w:rsidR="006346B2" w:rsidP="006346B2">
      <w:pPr>
        <w:pStyle w:val="ParaNum"/>
        <w:numPr>
          <w:ilvl w:val="0"/>
          <w:numId w:val="0"/>
        </w:numPr>
      </w:pPr>
      <w:r>
        <w:t>Foss Marine Company</w:t>
      </w:r>
    </w:p>
    <w:p w:rsidR="006C1B8E" w:rsidP="006346B2">
      <w:pPr>
        <w:pStyle w:val="ParaNum"/>
        <w:numPr>
          <w:ilvl w:val="0"/>
          <w:numId w:val="0"/>
        </w:numPr>
      </w:pPr>
      <w:r>
        <w:t>Greeneridge</w:t>
      </w:r>
      <w:r>
        <w:t xml:space="preserve"> Sciences, Inc.</w:t>
      </w:r>
    </w:p>
    <w:p w:rsidR="006346B2" w:rsidP="006346B2">
      <w:pPr>
        <w:pStyle w:val="ParaNum"/>
        <w:numPr>
          <w:ilvl w:val="0"/>
          <w:numId w:val="0"/>
        </w:numPr>
      </w:pPr>
      <w:r>
        <w:t xml:space="preserve">Heather </w:t>
      </w:r>
      <w:r>
        <w:t>Mariash</w:t>
      </w:r>
      <w:r>
        <w:t>, PhD</w:t>
      </w:r>
    </w:p>
    <w:p w:rsidR="00644518" w:rsidP="00644518">
      <w:pPr>
        <w:pStyle w:val="ParaNum"/>
        <w:numPr>
          <w:ilvl w:val="0"/>
          <w:numId w:val="0"/>
        </w:numPr>
      </w:pPr>
      <w:r>
        <w:t>Hop</w:t>
      </w:r>
      <w:r w:rsidR="006C1B8E">
        <w:t>k</w:t>
      </w:r>
      <w:r>
        <w:t>ins Marine Station</w:t>
      </w:r>
    </w:p>
    <w:p w:rsidR="00644518" w:rsidP="00644518">
      <w:pPr>
        <w:pStyle w:val="ParaNum"/>
        <w:numPr>
          <w:ilvl w:val="0"/>
          <w:numId w:val="0"/>
        </w:numPr>
      </w:pPr>
      <w:r>
        <w:t>Lower Yukon School District</w:t>
      </w:r>
    </w:p>
    <w:p w:rsidR="006346B2" w:rsidP="006346B2">
      <w:pPr>
        <w:pStyle w:val="ParaNum"/>
        <w:numPr>
          <w:ilvl w:val="0"/>
          <w:numId w:val="0"/>
        </w:numPr>
      </w:pPr>
      <w:r>
        <w:t>Social Capital</w:t>
      </w:r>
    </w:p>
    <w:p w:rsidR="00644518" w:rsidP="00644518">
      <w:pPr>
        <w:pStyle w:val="ParaNum"/>
        <w:numPr>
          <w:ilvl w:val="0"/>
          <w:numId w:val="0"/>
        </w:numPr>
      </w:pPr>
      <w:r>
        <w:t>Sofar</w:t>
      </w:r>
      <w:r>
        <w:t xml:space="preserve"> Ocean Technology</w:t>
      </w:r>
    </w:p>
    <w:p w:rsidR="006C1B8E" w:rsidP="006C1B8E">
      <w:pPr>
        <w:pStyle w:val="ParaNum"/>
        <w:numPr>
          <w:ilvl w:val="0"/>
          <w:numId w:val="0"/>
        </w:numPr>
      </w:pPr>
      <w:r>
        <w:t>Sweet Sense, Inc.</w:t>
      </w:r>
    </w:p>
    <w:p w:rsidR="006346B2" w:rsidP="006346B2">
      <w:pPr>
        <w:pStyle w:val="ParaNum"/>
        <w:numPr>
          <w:ilvl w:val="0"/>
          <w:numId w:val="0"/>
        </w:numPr>
      </w:pPr>
      <w:r>
        <w:t>The Freshwater Trust</w:t>
      </w:r>
    </w:p>
    <w:p w:rsidR="00644518" w:rsidP="00644518">
      <w:pPr>
        <w:pStyle w:val="ParaNum"/>
        <w:numPr>
          <w:ilvl w:val="0"/>
          <w:numId w:val="0"/>
        </w:numPr>
      </w:pPr>
      <w:r>
        <w:t>Tule Technologies</w:t>
      </w:r>
    </w:p>
    <w:p w:rsidR="006346B2" w:rsidP="006346B2">
      <w:pPr>
        <w:pStyle w:val="ParaNum"/>
        <w:numPr>
          <w:ilvl w:val="0"/>
          <w:numId w:val="0"/>
        </w:numPr>
      </w:pPr>
      <w:r>
        <w:t>University of Houston</w:t>
      </w:r>
    </w:p>
    <w:p w:rsidR="00644518" w:rsidRPr="00051BCA" w:rsidP="00B6738D">
      <w:pPr>
        <w:pStyle w:val="ParaNum"/>
        <w:numPr>
          <w:ilvl w:val="0"/>
          <w:numId w:val="0"/>
        </w:numPr>
      </w:pPr>
      <w:r>
        <w:t>Vodafone Group Service</w:t>
      </w:r>
    </w:p>
    <w:sectPr w:rsidSect="00B6738D">
      <w:headerReference w:type="first" r:id="rId15"/>
      <w:footerReference w:type="first" r:id="rId16"/>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43AEE">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sidR="00F71F6B">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38D" w:rsidP="00B6738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63D5">
      <w:r>
        <w:separator/>
      </w:r>
    </w:p>
  </w:footnote>
  <w:footnote w:type="continuationSeparator" w:id="1">
    <w:p w:rsidR="003D63D5" w:rsidP="00C721AC">
      <w:pPr>
        <w:spacing w:before="120"/>
        <w:rPr>
          <w:sz w:val="20"/>
        </w:rPr>
      </w:pPr>
      <w:r>
        <w:rPr>
          <w:sz w:val="20"/>
        </w:rPr>
        <w:t xml:space="preserve">(Continued from previous page)  </w:t>
      </w:r>
      <w:r>
        <w:rPr>
          <w:sz w:val="20"/>
        </w:rPr>
        <w:separator/>
      </w:r>
    </w:p>
  </w:footnote>
  <w:footnote w:type="continuationNotice" w:id="2">
    <w:p w:rsidR="003D63D5" w:rsidP="00C721AC">
      <w:pPr>
        <w:jc w:val="right"/>
        <w:rPr>
          <w:sz w:val="20"/>
        </w:rPr>
      </w:pPr>
      <w:r>
        <w:rPr>
          <w:sz w:val="20"/>
        </w:rPr>
        <w:t>(continued….)</w:t>
      </w:r>
    </w:p>
  </w:footnote>
  <w:footnote w:id="3">
    <w:p w:rsidR="009D7E60" w:rsidRPr="00D07D87" w:rsidP="009D7E60">
      <w:pPr>
        <w:pStyle w:val="FootnoteText"/>
      </w:pPr>
      <w:r>
        <w:rPr>
          <w:rStyle w:val="FootnoteReference"/>
        </w:rPr>
        <w:footnoteRef/>
      </w:r>
      <w:r>
        <w:t xml:space="preserve"> </w:t>
      </w:r>
      <w:r w:rsidRPr="00D07D87">
        <w:rPr>
          <w:color w:val="212121"/>
        </w:rPr>
        <w:t>NVNG MSS is a mobile-satellite service reserved for use by non-geostationary satellites in the provision of non-voice communications.</w:t>
      </w:r>
      <w:r w:rsidRPr="00D07D87">
        <w:rPr>
          <w:i/>
        </w:rPr>
        <w:t xml:space="preserve"> </w:t>
      </w:r>
      <w:r w:rsidRPr="00D07D87">
        <w:t xml:space="preserve"> </w:t>
      </w:r>
      <w:r w:rsidR="00BB49D3">
        <w:t>A</w:t>
      </w:r>
      <w:r w:rsidRPr="00D07D87">
        <w:t>t the</w:t>
      </w:r>
      <w:r w:rsidRPr="00D07D87">
        <w:rPr>
          <w:color w:val="212121"/>
        </w:rPr>
        <w:t xml:space="preserve"> </w:t>
      </w:r>
      <w:r w:rsidR="00BB49D3">
        <w:rPr>
          <w:color w:val="212121"/>
        </w:rPr>
        <w:t xml:space="preserve">1992 </w:t>
      </w:r>
      <w:r w:rsidRPr="00D07D87">
        <w:rPr>
          <w:color w:val="212121"/>
        </w:rPr>
        <w:t>World Administrative Radio Conference, the 137–138 MHz, 148–150.05 MH</w:t>
      </w:r>
      <w:r w:rsidR="00BB49D3">
        <w:rPr>
          <w:color w:val="212121"/>
        </w:rPr>
        <w:t>z,</w:t>
      </w:r>
      <w:r w:rsidRPr="00D07D87">
        <w:rPr>
          <w:color w:val="212121"/>
        </w:rPr>
        <w:t xml:space="preserve"> and 400.15–401 MHz frequency bands were allocated on a worldwide primary shared basis to </w:t>
      </w:r>
      <w:r w:rsidR="0007588E">
        <w:rPr>
          <w:color w:val="212121"/>
        </w:rPr>
        <w:t xml:space="preserve">the </w:t>
      </w:r>
      <w:r w:rsidRPr="00D07D87">
        <w:rPr>
          <w:color w:val="212121"/>
        </w:rPr>
        <w:t>mobile-satellite service</w:t>
      </w:r>
      <w:r w:rsidR="0007588E">
        <w:rPr>
          <w:color w:val="212121"/>
        </w:rPr>
        <w:t xml:space="preserve">, limited to </w:t>
      </w:r>
      <w:r w:rsidRPr="0007588E" w:rsidR="0007588E">
        <w:rPr>
          <w:color w:val="212121"/>
        </w:rPr>
        <w:t>non-geostationary</w:t>
      </w:r>
      <w:r w:rsidR="0007588E">
        <w:rPr>
          <w:color w:val="212121"/>
        </w:rPr>
        <w:t xml:space="preserve"> satellite systems</w:t>
      </w:r>
      <w:r w:rsidRPr="00D07D87">
        <w:t>.</w:t>
      </w:r>
      <w:r w:rsidRPr="00D07D87" w:rsidR="00F1675A">
        <w:t xml:space="preserve">  </w:t>
      </w:r>
      <w:r w:rsidRPr="00D07D87" w:rsidR="00F1675A">
        <w:rPr>
          <w:snapToGrid w:val="0"/>
          <w:kern w:val="28"/>
        </w:rPr>
        <w:t xml:space="preserve">The Commission </w:t>
      </w:r>
      <w:r w:rsidR="00DE72CC">
        <w:rPr>
          <w:snapToGrid w:val="0"/>
          <w:kern w:val="28"/>
        </w:rPr>
        <w:t xml:space="preserve">classified satellites providing NVNG </w:t>
      </w:r>
      <w:r w:rsidR="0007588E">
        <w:rPr>
          <w:snapToGrid w:val="0"/>
          <w:kern w:val="28"/>
        </w:rPr>
        <w:t xml:space="preserve">in </w:t>
      </w:r>
      <w:r w:rsidR="00DE72CC">
        <w:rPr>
          <w:snapToGrid w:val="0"/>
          <w:kern w:val="28"/>
        </w:rPr>
        <w:t xml:space="preserve">MSS </w:t>
      </w:r>
      <w:r w:rsidR="0007588E">
        <w:rPr>
          <w:snapToGrid w:val="0"/>
          <w:kern w:val="28"/>
        </w:rPr>
        <w:t>frequencies</w:t>
      </w:r>
      <w:r w:rsidR="00DE72CC">
        <w:rPr>
          <w:snapToGrid w:val="0"/>
          <w:kern w:val="28"/>
        </w:rPr>
        <w:t xml:space="preserve"> below 1 GHz as </w:t>
      </w:r>
      <w:r w:rsidRPr="00D07D87" w:rsidR="00F1675A">
        <w:rPr>
          <w:bCs/>
          <w:snapToGrid w:val="0"/>
          <w:kern w:val="28"/>
        </w:rPr>
        <w:t>Little</w:t>
      </w:r>
      <w:r w:rsidRPr="00D07D87" w:rsidR="00F1675A">
        <w:rPr>
          <w:snapToGrid w:val="0"/>
          <w:kern w:val="28"/>
        </w:rPr>
        <w:t> </w:t>
      </w:r>
      <w:r w:rsidRPr="00D07D87" w:rsidR="00F1675A">
        <w:rPr>
          <w:bCs/>
          <w:snapToGrid w:val="0"/>
          <w:kern w:val="28"/>
        </w:rPr>
        <w:t>LEOs</w:t>
      </w:r>
      <w:r w:rsidR="00DE72CC">
        <w:rPr>
          <w:bCs/>
          <w:snapToGrid w:val="0"/>
          <w:kern w:val="28"/>
        </w:rPr>
        <w:t xml:space="preserve">.  </w:t>
      </w:r>
      <w:hyperlink r:id="rId1" w:history="1">
        <w:r w:rsidRPr="00D07D87" w:rsidR="00F1675A">
          <w:rPr>
            <w:i/>
            <w:iCs/>
            <w:snapToGrid w:val="0"/>
            <w:kern w:val="28"/>
          </w:rPr>
          <w:t>Review of Spectrum Sharing Plan Among Non-Geostationary Satellite Orbit Mobile Satellite Service Systems in the 1.6/2.4 GHz Bands</w:t>
        </w:r>
        <w:r w:rsidRPr="00D07D87" w:rsidR="00F1675A">
          <w:rPr>
            <w:snapToGrid w:val="0"/>
            <w:kern w:val="28"/>
          </w:rPr>
          <w:t xml:space="preserve">, Report and Order, Fourth Report and Order, and Further Notice of Proposed Rulemaking, </w:t>
        </w:r>
        <w:r w:rsidR="00A72D14">
          <w:rPr>
            <w:snapToGrid w:val="0"/>
            <w:kern w:val="28"/>
          </w:rPr>
          <w:t xml:space="preserve">19 </w:t>
        </w:r>
        <w:r w:rsidRPr="00D07D87" w:rsidR="00F1675A">
          <w:rPr>
            <w:snapToGrid w:val="0"/>
            <w:kern w:val="28"/>
          </w:rPr>
          <w:t>FCC</w:t>
        </w:r>
        <w:r w:rsidR="00A72D14">
          <w:rPr>
            <w:snapToGrid w:val="0"/>
            <w:kern w:val="28"/>
          </w:rPr>
          <w:t xml:space="preserve"> Rcd 1335</w:t>
        </w:r>
        <w:r w:rsidR="00CB11D1">
          <w:rPr>
            <w:snapToGrid w:val="0"/>
            <w:kern w:val="28"/>
          </w:rPr>
          <w:t>7,</w:t>
        </w:r>
        <w:r w:rsidRPr="00D07D87" w:rsidR="00F1675A">
          <w:rPr>
            <w:snapToGrid w:val="0"/>
            <w:kern w:val="28"/>
          </w:rPr>
          <w:t xml:space="preserve"> at para. 1, n.1 (2004)</w:t>
        </w:r>
      </w:hyperlink>
      <w:r w:rsidRPr="00D07D87" w:rsidR="00F1675A">
        <w:rPr>
          <w:rFonts w:ascii="Arial" w:hAnsi="Arial" w:cs="Arial"/>
          <w:snapToGrid w:val="0"/>
          <w:color w:val="212121"/>
          <w:kern w:val="28"/>
        </w:rPr>
        <w:t>.</w:t>
      </w:r>
    </w:p>
  </w:footnote>
  <w:footnote w:id="4">
    <w:p w:rsidR="00D24113">
      <w:pPr>
        <w:pStyle w:val="FootnoteText"/>
      </w:pPr>
      <w:r>
        <w:rPr>
          <w:rStyle w:val="FootnoteReference"/>
        </w:rPr>
        <w:footnoteRef/>
      </w:r>
      <w:r>
        <w:t xml:space="preserve"> Swarm Technologies, Inc., IBFS File No. SAT-LOA-20181221-00094</w:t>
      </w:r>
      <w:r w:rsidR="00A01AD2">
        <w:t xml:space="preserve"> (Swarm Application)</w:t>
      </w:r>
      <w:r>
        <w:t>, Narrative at 6.</w:t>
      </w:r>
    </w:p>
  </w:footnote>
  <w:footnote w:id="5">
    <w:p w:rsidR="00D24113">
      <w:pPr>
        <w:pStyle w:val="FootnoteText"/>
      </w:pPr>
      <w:r>
        <w:rPr>
          <w:rStyle w:val="FootnoteReference"/>
        </w:rPr>
        <w:footnoteRef/>
      </w:r>
      <w:r>
        <w:t xml:space="preserve"> </w:t>
      </w:r>
      <w:r w:rsidRPr="008D15A6">
        <w:rPr>
          <w:i/>
        </w:rPr>
        <w:t>Id</w:t>
      </w:r>
      <w:r>
        <w:t xml:space="preserve">. at 2. </w:t>
      </w:r>
    </w:p>
  </w:footnote>
  <w:footnote w:id="6">
    <w:p w:rsidR="007B3914">
      <w:pPr>
        <w:pStyle w:val="FootnoteText"/>
      </w:pPr>
      <w:r>
        <w:rPr>
          <w:rStyle w:val="FootnoteReference"/>
        </w:rPr>
        <w:footnoteRef/>
      </w:r>
      <w:r>
        <w:t xml:space="preserve"> </w:t>
      </w:r>
      <w:r w:rsidR="003835E5">
        <w:t>Swarm identifies four “desired” and “representative” orbits at inclinations of 10, 45, 97.4</w:t>
      </w:r>
      <w:r w:rsidR="00CE0144">
        <w:t>,</w:t>
      </w:r>
      <w:r w:rsidR="003835E5">
        <w:t xml:space="preserve"> and 97.6 degrees. Swarm Application, Exhibit A at 3.</w:t>
      </w:r>
      <w:r w:rsidR="00C30F3D">
        <w:t xml:space="preserve">  Swarm estimates that 506 satellites will need to be deployed </w:t>
      </w:r>
      <w:r w:rsidR="00687540">
        <w:t>during the</w:t>
      </w:r>
      <w:r w:rsidR="00C30F3D">
        <w:t xml:space="preserve"> </w:t>
      </w:r>
      <w:r w:rsidR="00711D2F">
        <w:t>fifteen-year</w:t>
      </w:r>
      <w:r w:rsidR="00C30F3D">
        <w:t xml:space="preserve"> </w:t>
      </w:r>
      <w:r w:rsidR="00687540">
        <w:t>license term</w:t>
      </w:r>
      <w:r w:rsidR="00711D2F">
        <w:t xml:space="preserve"> </w:t>
      </w:r>
      <w:r w:rsidR="00C30F3D">
        <w:t>to maintain a constellation of 150 operational satellites.</w:t>
      </w:r>
      <w:r w:rsidR="00CE0144">
        <w:t xml:space="preserve">  </w:t>
      </w:r>
      <w:r w:rsidRPr="00CE0144" w:rsidR="00C30F3D">
        <w:rPr>
          <w:i/>
        </w:rPr>
        <w:t>Id.</w:t>
      </w:r>
      <w:r w:rsidR="00C30F3D">
        <w:t xml:space="preserve"> at</w:t>
      </w:r>
      <w:r w:rsidR="00687540">
        <w:t xml:space="preserve"> 7.</w:t>
      </w:r>
    </w:p>
  </w:footnote>
  <w:footnote w:id="7">
    <w:p w:rsidR="00D24113">
      <w:pPr>
        <w:pStyle w:val="FootnoteText"/>
      </w:pPr>
      <w:r>
        <w:rPr>
          <w:rStyle w:val="FootnoteReference"/>
        </w:rPr>
        <w:footnoteRef/>
      </w:r>
      <w:r>
        <w:t xml:space="preserve"> </w:t>
      </w:r>
      <w:r w:rsidRPr="00E26D00">
        <w:rPr>
          <w:i/>
        </w:rPr>
        <w:t>Public Notice</w:t>
      </w:r>
      <w:r>
        <w:t>, Satellite Policy Branch Information, Report No. SAT-01374</w:t>
      </w:r>
      <w:r w:rsidR="008127D8">
        <w:t xml:space="preserve"> (March 1, 2019).</w:t>
      </w:r>
    </w:p>
  </w:footnote>
  <w:footnote w:id="8">
    <w:p w:rsidR="006772B2">
      <w:pPr>
        <w:pStyle w:val="FootnoteText"/>
      </w:pPr>
      <w:r>
        <w:rPr>
          <w:rStyle w:val="FootnoteReference"/>
        </w:rPr>
        <w:footnoteRef/>
      </w:r>
      <w:r>
        <w:t xml:space="preserve"> ORBCOMM License Corp., Petition to Dismiss, Deny, or Hold in Abeyance (filed April 1, 2019) (ORBCOMM </w:t>
      </w:r>
      <w:r w:rsidR="00CD0CD5">
        <w:t>P</w:t>
      </w:r>
      <w:r>
        <w:t xml:space="preserve">etition). </w:t>
      </w:r>
    </w:p>
  </w:footnote>
  <w:footnote w:id="9">
    <w:p w:rsidR="002235E3">
      <w:pPr>
        <w:pStyle w:val="FootnoteText"/>
      </w:pPr>
      <w:r>
        <w:rPr>
          <w:rStyle w:val="FootnoteReference"/>
        </w:rPr>
        <w:footnoteRef/>
      </w:r>
      <w:r>
        <w:t xml:space="preserve"> </w:t>
      </w:r>
      <w:r w:rsidRPr="002235E3">
        <w:rPr>
          <w:i/>
        </w:rPr>
        <w:t>Id</w:t>
      </w:r>
      <w:r>
        <w:t>. at 6.</w:t>
      </w:r>
    </w:p>
  </w:footnote>
  <w:footnote w:id="10">
    <w:p w:rsidR="00556D17" w:rsidRPr="00556D17">
      <w:pPr>
        <w:pStyle w:val="FootnoteText"/>
      </w:pPr>
      <w:r>
        <w:rPr>
          <w:rStyle w:val="FootnoteReference"/>
        </w:rPr>
        <w:footnoteRef/>
      </w:r>
      <w:r>
        <w:t xml:space="preserve"> </w:t>
      </w:r>
      <w:r>
        <w:rPr>
          <w:i/>
        </w:rPr>
        <w:t>Id</w:t>
      </w:r>
      <w:r>
        <w:t xml:space="preserve">. at </w:t>
      </w:r>
      <w:r w:rsidR="008413A4">
        <w:t>ii, 9-10.</w:t>
      </w:r>
    </w:p>
  </w:footnote>
  <w:footnote w:id="11">
    <w:p w:rsidR="00B024F2">
      <w:pPr>
        <w:pStyle w:val="FootnoteText"/>
      </w:pPr>
      <w:r>
        <w:rPr>
          <w:rStyle w:val="FootnoteReference"/>
        </w:rPr>
        <w:footnoteRef/>
      </w:r>
      <w:r>
        <w:t xml:space="preserve"> Comments of Space Exploration Holdings, LLC filed April 1, 2019</w:t>
      </w:r>
      <w:r w:rsidR="00556D17">
        <w:t xml:space="preserve"> (SpaceX Comments)</w:t>
      </w:r>
      <w:r>
        <w:t xml:space="preserve">. </w:t>
      </w:r>
    </w:p>
  </w:footnote>
  <w:footnote w:id="12">
    <w:p w:rsidR="008B4D10">
      <w:pPr>
        <w:pStyle w:val="FootnoteText"/>
      </w:pPr>
      <w:r>
        <w:rPr>
          <w:rStyle w:val="FootnoteReference"/>
        </w:rPr>
        <w:footnoteRef/>
      </w:r>
      <w:r>
        <w:t xml:space="preserve"> </w:t>
      </w:r>
      <w:r w:rsidRPr="00CD0CD5">
        <w:rPr>
          <w:i/>
        </w:rPr>
        <w:t>See</w:t>
      </w:r>
      <w:r>
        <w:t xml:space="preserve"> Letters in support filed in IBFS File No. SAT-LOA-20181221-00094</w:t>
      </w:r>
      <w:r w:rsidR="00A9761B">
        <w:t xml:space="preserve"> </w:t>
      </w:r>
      <w:r w:rsidR="00830EFD">
        <w:t xml:space="preserve">and listed </w:t>
      </w:r>
      <w:r w:rsidR="00A9761B">
        <w:t xml:space="preserve">in Attachment A to this Order. </w:t>
      </w:r>
    </w:p>
  </w:footnote>
  <w:footnote w:id="13">
    <w:p w:rsidR="004A669D">
      <w:pPr>
        <w:pStyle w:val="FootnoteText"/>
      </w:pPr>
      <w:r>
        <w:rPr>
          <w:rStyle w:val="FootnoteReference"/>
        </w:rPr>
        <w:footnoteRef/>
      </w:r>
      <w:r>
        <w:t xml:space="preserve"> </w:t>
      </w:r>
      <w:r w:rsidRPr="00683B24">
        <w:rPr>
          <w:i/>
        </w:rPr>
        <w:t>See</w:t>
      </w:r>
      <w:r>
        <w:t xml:space="preserve"> Letter to Marlene Dortch, Secretary, FCC</w:t>
      </w:r>
      <w:r w:rsidR="00F7044A">
        <w:t>,</w:t>
      </w:r>
      <w:r>
        <w:t xml:space="preserve"> from Edward A. Yorkgitis, Jr., Counsel for Aviation Spectrum Resources, Inc. (Oct. 7, 2019) (summary of discussions with Swarm addressing Swarm’s operations in the 137.025-137.175 MHz band and protections to adjacent band aviation safety services). </w:t>
      </w:r>
    </w:p>
  </w:footnote>
  <w:footnote w:id="14">
    <w:p w:rsidR="00867D64" w:rsidP="00867D64">
      <w:pPr>
        <w:pStyle w:val="FootnoteText"/>
      </w:pPr>
      <w:r>
        <w:rPr>
          <w:rStyle w:val="FootnoteReference"/>
        </w:rPr>
        <w:footnoteRef/>
      </w:r>
      <w:r>
        <w:t xml:space="preserve"> 47 CFR </w:t>
      </w:r>
      <w:bookmarkStart w:id="1" w:name="_Hlk17728765"/>
      <w:r>
        <w:t xml:space="preserve">§ </w:t>
      </w:r>
      <w:bookmarkEnd w:id="1"/>
      <w:r>
        <w:t xml:space="preserve">25.259. </w:t>
      </w:r>
    </w:p>
  </w:footnote>
  <w:footnote w:id="15">
    <w:p w:rsidR="00696415">
      <w:pPr>
        <w:pStyle w:val="FootnoteText"/>
      </w:pPr>
      <w:r>
        <w:rPr>
          <w:rStyle w:val="FootnoteReference"/>
        </w:rPr>
        <w:footnoteRef/>
      </w:r>
      <w:r>
        <w:t xml:space="preserve"> Swarm Application, Narrative at 22.</w:t>
      </w:r>
    </w:p>
  </w:footnote>
  <w:footnote w:id="16">
    <w:p w:rsidR="00D559D8">
      <w:pPr>
        <w:pStyle w:val="FootnoteText"/>
      </w:pPr>
      <w:r>
        <w:rPr>
          <w:rStyle w:val="FootnoteReference"/>
        </w:rPr>
        <w:footnoteRef/>
      </w:r>
      <w:r>
        <w:t xml:space="preserve"> Under an international footnote, </w:t>
      </w:r>
      <w:r w:rsidR="00E81991">
        <w:t>space operation service</w:t>
      </w:r>
      <w:r w:rsidRPr="00D559D8">
        <w:t xml:space="preserve"> operations in the 14</w:t>
      </w:r>
      <w:r>
        <w:t>8</w:t>
      </w:r>
      <w:r w:rsidRPr="00D559D8">
        <w:t>-1</w:t>
      </w:r>
      <w:r>
        <w:t>49.9</w:t>
      </w:r>
      <w:r w:rsidRPr="00D559D8">
        <w:t xml:space="preserve"> MHz band</w:t>
      </w:r>
      <w:r>
        <w:t xml:space="preserve"> are subject to agreement obtained under No. 9.21 of the ITU Radio Regulations. </w:t>
      </w:r>
      <w:r w:rsidR="00867D64">
        <w:t xml:space="preserve"> </w:t>
      </w:r>
      <w:r>
        <w:t>The bandwidth of any individual transmission shall not exceed ±25 kHz.</w:t>
      </w:r>
    </w:p>
  </w:footnote>
  <w:footnote w:id="17">
    <w:p w:rsidR="00E81991">
      <w:pPr>
        <w:pStyle w:val="FootnoteText"/>
      </w:pPr>
      <w:r>
        <w:rPr>
          <w:rStyle w:val="FootnoteReference"/>
        </w:rPr>
        <w:footnoteRef/>
      </w:r>
      <w:r>
        <w:t xml:space="preserve"> </w:t>
      </w:r>
      <w:r w:rsidRPr="00E81991">
        <w:t>Under an international footnote, MSS operations in the 14</w:t>
      </w:r>
      <w:r>
        <w:t>8</w:t>
      </w:r>
      <w:r w:rsidRPr="00E81991">
        <w:t>-1</w:t>
      </w:r>
      <w:r>
        <w:t>49.9</w:t>
      </w:r>
      <w:r w:rsidRPr="00E81991">
        <w:t xml:space="preserve"> MHz band must be coordinated under No. 9.11A of the ITU Radio </w:t>
      </w:r>
      <w:r w:rsidRPr="00E81991" w:rsidR="00B935FB">
        <w:t>Regulations and</w:t>
      </w:r>
      <w:r w:rsidRPr="00E81991">
        <w:t xml:space="preserve"> use of the band by the MSS shall not constrain the development and use of t</w:t>
      </w:r>
      <w:r w:rsidR="0083069A">
        <w:t>he fixed, mobile and space operation services in this band</w:t>
      </w:r>
      <w:r w:rsidRPr="00E81991">
        <w:t>.</w:t>
      </w:r>
    </w:p>
  </w:footnote>
  <w:footnote w:id="18">
    <w:p w:rsidR="00CA0A4E" w:rsidP="00D21B95">
      <w:pPr>
        <w:pStyle w:val="ParaNum"/>
        <w:widowControl/>
        <w:numPr>
          <w:ilvl w:val="0"/>
          <w:numId w:val="0"/>
        </w:numPr>
      </w:pPr>
      <w:r>
        <w:rPr>
          <w:rStyle w:val="FootnoteReference"/>
        </w:rPr>
        <w:footnoteRef/>
      </w:r>
      <w:r>
        <w:t xml:space="preserve"> </w:t>
      </w:r>
      <w:bookmarkStart w:id="2" w:name="_Hlk17188798"/>
      <w:r w:rsidRPr="00D156CB">
        <w:rPr>
          <w:snapToGrid/>
          <w:sz w:val="20"/>
        </w:rPr>
        <w:t xml:space="preserve">Under an international footnote, </w:t>
      </w:r>
      <w:bookmarkStart w:id="3" w:name="_Hlk17188034"/>
      <w:r w:rsidRPr="00D156CB">
        <w:rPr>
          <w:snapToGrid/>
          <w:sz w:val="20"/>
        </w:rPr>
        <w:t xml:space="preserve">MSS operations in the 149.9-150.05 MHz band </w:t>
      </w:r>
      <w:bookmarkEnd w:id="3"/>
      <w:r w:rsidRPr="00D156CB">
        <w:rPr>
          <w:snapToGrid/>
          <w:sz w:val="20"/>
        </w:rPr>
        <w:t>must be coordinated under No. 9.11A of the ITU R</w:t>
      </w:r>
      <w:r w:rsidR="00D559D8">
        <w:rPr>
          <w:snapToGrid/>
          <w:sz w:val="20"/>
        </w:rPr>
        <w:t xml:space="preserve">adio </w:t>
      </w:r>
      <w:r w:rsidRPr="00D156CB">
        <w:rPr>
          <w:snapToGrid/>
          <w:sz w:val="20"/>
        </w:rPr>
        <w:t>R</w:t>
      </w:r>
      <w:r w:rsidR="00D559D8">
        <w:rPr>
          <w:snapToGrid/>
          <w:sz w:val="20"/>
        </w:rPr>
        <w:t>egulations</w:t>
      </w:r>
      <w:r w:rsidR="00D156CB">
        <w:rPr>
          <w:snapToGrid/>
          <w:sz w:val="20"/>
        </w:rPr>
        <w:t xml:space="preserve"> </w:t>
      </w:r>
      <w:r w:rsidRPr="00D156CB">
        <w:rPr>
          <w:snapToGrid/>
          <w:sz w:val="20"/>
        </w:rPr>
        <w:t>and use of the band by the MSS shall not constrain the development and use of the band by the radionavigation satellite-service.</w:t>
      </w:r>
    </w:p>
    <w:bookmarkEnd w:id="2"/>
  </w:footnote>
  <w:footnote w:id="19">
    <w:p w:rsidR="00C37045" w:rsidP="00C37045">
      <w:pPr>
        <w:pStyle w:val="FootnoteText"/>
      </w:pPr>
      <w:r>
        <w:rPr>
          <w:rStyle w:val="FootnoteReference"/>
        </w:rPr>
        <w:footnoteRef/>
      </w:r>
      <w:r>
        <w:t xml:space="preserve"> ORBCOMM states that if the Commission does not deny or dismiss Swarm’s application, it should hold the application in abeyance until Swarm amends the application to demonstrate compliance with the Commission’s requirements for NVNG MSS applicants. ORBCOMM Petition at 12.</w:t>
      </w:r>
      <w:r w:rsidR="00E16B1E">
        <w:t xml:space="preserve">  </w:t>
      </w:r>
    </w:p>
  </w:footnote>
  <w:footnote w:id="20">
    <w:p w:rsidR="006F679D" w:rsidRPr="00547E76" w:rsidP="00AF4025">
      <w:pPr>
        <w:widowControl/>
        <w:rPr>
          <w:sz w:val="20"/>
        </w:rPr>
      </w:pPr>
      <w:r w:rsidRPr="0085622E">
        <w:rPr>
          <w:rStyle w:val="FootnoteReference"/>
          <w:sz w:val="22"/>
          <w:szCs w:val="22"/>
        </w:rPr>
        <w:footnoteRef/>
      </w:r>
      <w:r w:rsidRPr="00092970">
        <w:rPr>
          <w:szCs w:val="22"/>
        </w:rPr>
        <w:t xml:space="preserve"> </w:t>
      </w:r>
      <w:r w:rsidRPr="00547E76" w:rsidR="00ED1A81">
        <w:rPr>
          <w:sz w:val="20"/>
        </w:rPr>
        <w:t xml:space="preserve">For an overview, </w:t>
      </w:r>
      <w:r w:rsidRPr="00547E76" w:rsidR="001A6F40">
        <w:rPr>
          <w:i/>
          <w:sz w:val="20"/>
        </w:rPr>
        <w:t>s</w:t>
      </w:r>
      <w:r w:rsidRPr="00547E76" w:rsidR="00ED1A81">
        <w:rPr>
          <w:i/>
          <w:sz w:val="20"/>
        </w:rPr>
        <w:t xml:space="preserve">ee </w:t>
      </w:r>
      <w:hyperlink r:id="rId2" w:history="1">
        <w:r w:rsidRPr="00547E76">
          <w:rPr>
            <w:i/>
            <w:iCs/>
            <w:sz w:val="20"/>
          </w:rPr>
          <w:t>Amendment of Part 25 of the Commission's Rules to Establish Rules and Policies Pertaining to the Second Processing Round of the Non-Voice, Non-Geostationary Mobile Satellite Service</w:t>
        </w:r>
        <w:r w:rsidRPr="00547E76">
          <w:rPr>
            <w:i/>
            <w:sz w:val="20"/>
          </w:rPr>
          <w:t>,</w:t>
        </w:r>
        <w:r w:rsidRPr="00547E76">
          <w:rPr>
            <w:sz w:val="20"/>
          </w:rPr>
          <w:t xml:space="preserve"> Report and Order, 13 FCC Rcd 9111 (1997)</w:t>
        </w:r>
      </w:hyperlink>
      <w:r w:rsidRPr="00547E76" w:rsidR="008D15A6">
        <w:rPr>
          <w:sz w:val="20"/>
        </w:rPr>
        <w:t xml:space="preserve"> (</w:t>
      </w:r>
      <w:r w:rsidRPr="00547E76" w:rsidR="008D15A6">
        <w:rPr>
          <w:i/>
          <w:sz w:val="20"/>
        </w:rPr>
        <w:t>Second Processing Round Order</w:t>
      </w:r>
      <w:r w:rsidRPr="00547E76" w:rsidR="008D15A6">
        <w:rPr>
          <w:sz w:val="20"/>
        </w:rPr>
        <w:t>)</w:t>
      </w:r>
      <w:r w:rsidRPr="00547E76">
        <w:rPr>
          <w:sz w:val="20"/>
        </w:rPr>
        <w:t>.</w:t>
      </w:r>
      <w:r w:rsidRPr="00547E76" w:rsidR="009818AE">
        <w:rPr>
          <w:sz w:val="20"/>
        </w:rPr>
        <w:t xml:space="preserve">  </w:t>
      </w:r>
    </w:p>
    <w:p w:rsidR="00AF4025" w:rsidRPr="00547E76" w:rsidP="00AF4025">
      <w:pPr>
        <w:widowControl/>
        <w:rPr>
          <w:sz w:val="20"/>
        </w:rPr>
      </w:pPr>
    </w:p>
  </w:footnote>
  <w:footnote w:id="21">
    <w:p w:rsidR="008875CD">
      <w:pPr>
        <w:pStyle w:val="FootnoteText"/>
      </w:pPr>
      <w:r>
        <w:rPr>
          <w:rStyle w:val="FootnoteReference"/>
        </w:rPr>
        <w:footnoteRef/>
      </w:r>
      <w:r>
        <w:t xml:space="preserve"> </w:t>
      </w:r>
      <w:r w:rsidRPr="00010B0C" w:rsidR="00AC1EEF">
        <w:rPr>
          <w:i/>
        </w:rPr>
        <w:t xml:space="preserve">See </w:t>
      </w:r>
      <w:r w:rsidRPr="0012284F" w:rsidR="00010B0C">
        <w:rPr>
          <w:i/>
        </w:rPr>
        <w:t>Orbital Communications, Corp</w:t>
      </w:r>
      <w:r w:rsidR="00010B0C">
        <w:t xml:space="preserve">., Order and Authorization, 9 FCC Rcd 6476 (Int’l Bur. 1994); Starsys Global Positioning, Inc., Order and Authorization, 11 FCC Rcd 1237 (Int’l Bur. 1995); and </w:t>
      </w:r>
      <w:r w:rsidRPr="0012284F" w:rsidR="00010B0C">
        <w:rPr>
          <w:i/>
        </w:rPr>
        <w:t>Volunteers in Technical Assistance</w:t>
      </w:r>
      <w:r w:rsidR="00010B0C">
        <w:t xml:space="preserve">, Order and Authorization, 11 FCC Rcd 1358 (Int’l Bur. 1995). </w:t>
      </w:r>
    </w:p>
  </w:footnote>
  <w:footnote w:id="22">
    <w:p w:rsidR="006F679D" w:rsidRPr="006F679D">
      <w:pPr>
        <w:pStyle w:val="FootnoteText"/>
      </w:pPr>
      <w:r>
        <w:rPr>
          <w:rStyle w:val="FootnoteReference"/>
        </w:rPr>
        <w:footnoteRef/>
      </w:r>
      <w:r>
        <w:t xml:space="preserve"> </w:t>
      </w:r>
      <w:hyperlink r:id="rId3" w:history="1">
        <w:r w:rsidRPr="006F679D">
          <w:rPr>
            <w:i/>
            <w:iCs/>
            <w:snapToGrid w:val="0"/>
            <w:kern w:val="28"/>
          </w:rPr>
          <w:t>Applications by ORBCOMM License Corp.</w:t>
        </w:r>
        <w:r w:rsidRPr="006F679D">
          <w:rPr>
            <w:snapToGrid w:val="0"/>
            <w:kern w:val="28"/>
          </w:rPr>
          <w:t>, Order and Authorization, 23 FCC Rcd 4804 (IB, OET 2008)</w:t>
        </w:r>
      </w:hyperlink>
      <w:r w:rsidRPr="006F679D">
        <w:rPr>
          <w:snapToGrid w:val="0"/>
          <w:kern w:val="28"/>
        </w:rPr>
        <w:t> (</w:t>
      </w:r>
      <w:r w:rsidRPr="0085622E">
        <w:rPr>
          <w:i/>
          <w:iCs/>
          <w:snapToGrid w:val="0"/>
          <w:kern w:val="28"/>
        </w:rPr>
        <w:t>ORBCOMM 2008 Order</w:t>
      </w:r>
      <w:r w:rsidRPr="006F679D">
        <w:rPr>
          <w:snapToGrid w:val="0"/>
          <w:kern w:val="28"/>
        </w:rPr>
        <w:t>).</w:t>
      </w:r>
    </w:p>
  </w:footnote>
  <w:footnote w:id="23">
    <w:p w:rsidR="006F679D" w:rsidRPr="006F679D">
      <w:pPr>
        <w:pStyle w:val="FootnoteText"/>
      </w:pPr>
      <w:r>
        <w:rPr>
          <w:rStyle w:val="FootnoteReference"/>
        </w:rPr>
        <w:footnoteRef/>
      </w:r>
      <w:r>
        <w:t xml:space="preserve"> </w:t>
      </w:r>
      <w:r w:rsidRPr="006F679D">
        <w:rPr>
          <w:i/>
          <w:iCs/>
          <w:snapToGrid w:val="0"/>
          <w:kern w:val="28"/>
        </w:rPr>
        <w:t xml:space="preserve">See </w:t>
      </w:r>
      <w:r w:rsidRPr="0085622E">
        <w:rPr>
          <w:i/>
          <w:iCs/>
          <w:snapToGrid w:val="0"/>
          <w:kern w:val="28"/>
        </w:rPr>
        <w:t>ORBCOMM 2008 Order</w:t>
      </w:r>
      <w:r w:rsidRPr="006F679D">
        <w:rPr>
          <w:snapToGrid w:val="0"/>
          <w:kern w:val="28"/>
        </w:rPr>
        <w:t>, </w:t>
      </w:r>
      <w:hyperlink r:id="rId4" w:anchor="co_pp_sp_4493_4812" w:history="1">
        <w:r w:rsidRPr="006F679D">
          <w:rPr>
            <w:snapToGrid w:val="0"/>
            <w:kern w:val="28"/>
          </w:rPr>
          <w:t>23 FCC Rcd at 4812-13</w:t>
        </w:r>
      </w:hyperlink>
      <w:r w:rsidRPr="006F679D">
        <w:rPr>
          <w:snapToGrid w:val="0"/>
          <w:kern w:val="28"/>
        </w:rPr>
        <w:t>; </w:t>
      </w:r>
      <w:r w:rsidRPr="00D21B95">
        <w:rPr>
          <w:iCs/>
          <w:snapToGrid w:val="0"/>
          <w:kern w:val="28"/>
        </w:rPr>
        <w:t>ORBCOMM License Corp</w:t>
      </w:r>
      <w:r w:rsidRPr="006F679D">
        <w:rPr>
          <w:i/>
          <w:iCs/>
          <w:snapToGrid w:val="0"/>
          <w:kern w:val="28"/>
        </w:rPr>
        <w:t>.</w:t>
      </w:r>
      <w:r w:rsidRPr="006F679D">
        <w:rPr>
          <w:snapToGrid w:val="0"/>
          <w:kern w:val="28"/>
        </w:rPr>
        <w:t>, SAT-MOD-20111021-00207, SAT-AMD-20130212</w:t>
      </w:r>
      <w:r w:rsidR="00ED1A81">
        <w:rPr>
          <w:snapToGrid w:val="0"/>
          <w:kern w:val="28"/>
        </w:rPr>
        <w:t>-</w:t>
      </w:r>
      <w:r w:rsidRPr="006F679D">
        <w:rPr>
          <w:snapToGrid w:val="0"/>
          <w:kern w:val="28"/>
        </w:rPr>
        <w:t>00020, and SAT-AMD-20151223-00087 (partial grant of Apr. 25, 2013 and partial grant of Dec. 17, 2015).</w:t>
      </w:r>
    </w:p>
  </w:footnote>
  <w:footnote w:id="24">
    <w:p w:rsidR="006F679D" w:rsidRPr="006F679D">
      <w:pPr>
        <w:pStyle w:val="FootnoteText"/>
      </w:pPr>
      <w:r>
        <w:rPr>
          <w:rStyle w:val="FootnoteReference"/>
        </w:rPr>
        <w:footnoteRef/>
      </w:r>
      <w:r>
        <w:t xml:space="preserve"> </w:t>
      </w:r>
      <w:r w:rsidRPr="0085622E" w:rsidR="00010B0C">
        <w:rPr>
          <w:i/>
        </w:rPr>
        <w:t>ORBCOMM</w:t>
      </w:r>
      <w:r w:rsidRPr="0085622E" w:rsidR="005C3F75">
        <w:rPr>
          <w:i/>
        </w:rPr>
        <w:t xml:space="preserve"> 2008 </w:t>
      </w:r>
      <w:r w:rsidRPr="0085622E" w:rsidR="00010B0C">
        <w:rPr>
          <w:i/>
        </w:rPr>
        <w:t>Order</w:t>
      </w:r>
      <w:r w:rsidR="00010B0C">
        <w:t xml:space="preserve">, 23 FCC Rcd at 4808. </w:t>
      </w:r>
    </w:p>
  </w:footnote>
  <w:footnote w:id="25">
    <w:p w:rsidR="008413A4">
      <w:pPr>
        <w:pStyle w:val="FootnoteText"/>
      </w:pPr>
      <w:r>
        <w:rPr>
          <w:rStyle w:val="FootnoteReference"/>
        </w:rPr>
        <w:footnoteRef/>
      </w:r>
      <w:r>
        <w:t xml:space="preserve"> </w:t>
      </w:r>
      <w:r w:rsidRPr="0085622E">
        <w:rPr>
          <w:i/>
        </w:rPr>
        <w:t>See e</w:t>
      </w:r>
      <w:r w:rsidR="00867D64">
        <w:rPr>
          <w:i/>
        </w:rPr>
        <w:t xml:space="preserve">.g., </w:t>
      </w:r>
      <w:r>
        <w:t>Swarm Technologies</w:t>
      </w:r>
      <w:r w:rsidR="006603F1">
        <w:t xml:space="preserve">, File No. 0158-EX-CN-2019 Granted July 19, 2019. </w:t>
      </w:r>
    </w:p>
  </w:footnote>
  <w:footnote w:id="26">
    <w:p w:rsidR="00D156CB">
      <w:pPr>
        <w:pStyle w:val="FootnoteText"/>
      </w:pPr>
      <w:r>
        <w:rPr>
          <w:rStyle w:val="FootnoteReference"/>
        </w:rPr>
        <w:footnoteRef/>
      </w:r>
      <w:r>
        <w:t xml:space="preserve"> ORBCOMM Petition at 9. </w:t>
      </w:r>
    </w:p>
  </w:footnote>
  <w:footnote w:id="27">
    <w:p w:rsidR="000C0408" w:rsidRPr="008551D4" w:rsidP="000C0408">
      <w:pPr>
        <w:pStyle w:val="FootnoteText"/>
      </w:pPr>
      <w:r>
        <w:rPr>
          <w:rStyle w:val="FootnoteReference"/>
        </w:rPr>
        <w:footnoteRef/>
      </w:r>
      <w:r>
        <w:t xml:space="preserve"> </w:t>
      </w:r>
      <w:r w:rsidRPr="00D21B95">
        <w:rPr>
          <w:i/>
        </w:rPr>
        <w:t>Id</w:t>
      </w:r>
      <w:r>
        <w:t xml:space="preserve">.  </w:t>
      </w:r>
      <w:r w:rsidRPr="008551D4">
        <w:t xml:space="preserve">In adopting a spectrum sharing plan in the </w:t>
      </w:r>
      <w:r w:rsidRPr="008551D4">
        <w:rPr>
          <w:i/>
        </w:rPr>
        <w:t>Second Processing Round Order</w:t>
      </w:r>
      <w:r w:rsidRPr="008551D4">
        <w:t xml:space="preserve">, the Commission utilized defined “Systems” based on the needs of several new applicants and the incumbent licensees, including ORBCOMM.  Specifically, the Commission stated that one new Little LEO applicant could operate a system (System 1) in the </w:t>
      </w:r>
      <w:r w:rsidRPr="008551D4">
        <w:rPr>
          <w:rFonts w:cs="Arial"/>
          <w:color w:val="212121"/>
        </w:rPr>
        <w:t xml:space="preserve">148-150.05 MHz (uplink) band, and the 137-137.025 MHz, 400.15-400.505 MHz and 400.645-401 MHz (downlink) bands.  </w:t>
      </w:r>
      <w:r w:rsidRPr="008551D4">
        <w:rPr>
          <w:rFonts w:cs="Arial"/>
          <w:snapToGrid w:val="0"/>
          <w:color w:val="212121"/>
          <w:kern w:val="28"/>
        </w:rPr>
        <w:t xml:space="preserve">A second new Little LEO applicant could operate a system (“System 2”) in the 148-150.05 MHz (uplink) and the 400.15-401 MHz and 137-138 MHz (downlink) bands.  The spectrum available to Systems 1 and 2 would be used most efficiently with FDMA/TDMA transmission techniques.  </w:t>
      </w:r>
      <w:r w:rsidRPr="008551D4">
        <w:rPr>
          <w:rFonts w:cs="Arial"/>
          <w:color w:val="212121"/>
        </w:rPr>
        <w:t xml:space="preserve">A third new Little LEO applicant could operate a system (“System 3”) in the 148-148.905 MHz (uplink) and the 137.0725-137.9275 MHz (downlink) spectrum using </w:t>
      </w:r>
      <w:r w:rsidRPr="008551D4">
        <w:rPr>
          <w:rFonts w:cs="Arial"/>
          <w:snapToGrid w:val="0"/>
          <w:color w:val="212121"/>
          <w:kern w:val="28"/>
        </w:rPr>
        <w:t xml:space="preserve">a spread spectrum system to accommodate NOAA.  Further, the Commission anticipated that </w:t>
      </w:r>
      <w:r w:rsidRPr="008551D4">
        <w:rPr>
          <w:rFonts w:cs="Arial"/>
          <w:color w:val="212121"/>
        </w:rPr>
        <w:t xml:space="preserve">ORBCOMM would operate in accordance with DCAAS/FDMA transmission techniques to minimize interference among its system, System 1 and System 2. </w:t>
      </w:r>
      <w:r w:rsidRPr="008551D4">
        <w:rPr>
          <w:rFonts w:cs="Arial"/>
          <w:i/>
          <w:color w:val="212121"/>
        </w:rPr>
        <w:t>Second Processing Round Order</w:t>
      </w:r>
      <w:r w:rsidRPr="008551D4">
        <w:rPr>
          <w:rFonts w:cs="Arial"/>
          <w:color w:val="212121"/>
        </w:rPr>
        <w:t>, 13 FCC Rcd at 9135.</w:t>
      </w:r>
    </w:p>
  </w:footnote>
  <w:footnote w:id="28">
    <w:p w:rsidR="00D156CB">
      <w:pPr>
        <w:pStyle w:val="FootnoteText"/>
      </w:pPr>
      <w:r>
        <w:rPr>
          <w:rStyle w:val="FootnoteReference"/>
        </w:rPr>
        <w:footnoteRef/>
      </w:r>
      <w:r>
        <w:t xml:space="preserve"> ORBCOMM Petition at 4. </w:t>
      </w:r>
    </w:p>
  </w:footnote>
  <w:footnote w:id="29">
    <w:p w:rsidR="00D156CB">
      <w:pPr>
        <w:pStyle w:val="FootnoteText"/>
      </w:pPr>
      <w:r>
        <w:rPr>
          <w:rStyle w:val="FootnoteReference"/>
        </w:rPr>
        <w:footnoteRef/>
      </w:r>
      <w:r>
        <w:t xml:space="preserve"> </w:t>
      </w:r>
      <w:r w:rsidRPr="00D156CB">
        <w:rPr>
          <w:i/>
        </w:rPr>
        <w:t>Id</w:t>
      </w:r>
      <w:r>
        <w:rPr>
          <w:i/>
        </w:rPr>
        <w:t>.</w:t>
      </w:r>
      <w:r>
        <w:t xml:space="preserve"> at 3. </w:t>
      </w:r>
    </w:p>
  </w:footnote>
  <w:footnote w:id="30">
    <w:p w:rsidR="0013144E" w:rsidRPr="00326F83">
      <w:pPr>
        <w:pStyle w:val="FootnoteText"/>
      </w:pPr>
      <w:r w:rsidRPr="0013144E">
        <w:rPr>
          <w:rStyle w:val="FootnoteReference"/>
        </w:rPr>
        <w:footnoteRef/>
      </w:r>
      <w:r w:rsidRPr="0013144E">
        <w:t xml:space="preserve"> </w:t>
      </w:r>
      <w:r w:rsidR="00CD17CE">
        <w:t xml:space="preserve">47 CFR § 2.106, </w:t>
      </w:r>
      <w:r w:rsidRPr="00326F83" w:rsidR="00CD17CE">
        <w:t xml:space="preserve">Footnote </w:t>
      </w:r>
      <w:r w:rsidRPr="00326F83">
        <w:rPr>
          <w:rStyle w:val="cosearchterm"/>
          <w:bCs/>
          <w:bdr w:val="none" w:sz="0" w:space="0" w:color="auto" w:frame="1"/>
        </w:rPr>
        <w:t>US323</w:t>
      </w:r>
      <w:r w:rsidRPr="00326F83" w:rsidR="00B81D95">
        <w:rPr>
          <w:rStyle w:val="cosearchterm"/>
          <w:bCs/>
          <w:bdr w:val="none" w:sz="0" w:space="0" w:color="auto" w:frame="1"/>
        </w:rPr>
        <w:t xml:space="preserve">, providing in part that “individual mobile earth stations in the band that do not avoid frequencies actively being used by the fixed and mobile services shall not exceed a power density of </w:t>
      </w:r>
      <w:r w:rsidRPr="00326F83" w:rsidR="00F719BD">
        <w:rPr>
          <w:rStyle w:val="cosearchterm"/>
          <w:bCs/>
          <w:bdr w:val="none" w:sz="0" w:space="0" w:color="auto" w:frame="1"/>
        </w:rPr>
        <w:t xml:space="preserve">-16dBW/4 kHz and shall transmit no more than 0.25% of the time during any </w:t>
      </w:r>
      <w:r w:rsidRPr="00326F83" w:rsidR="00B87A04">
        <w:rPr>
          <w:rStyle w:val="cosearchterm"/>
          <w:bCs/>
          <w:bdr w:val="none" w:sz="0" w:space="0" w:color="auto" w:frame="1"/>
        </w:rPr>
        <w:t>15</w:t>
      </w:r>
      <w:r w:rsidR="00B87A04">
        <w:rPr>
          <w:rStyle w:val="cosearchterm"/>
          <w:bCs/>
          <w:bdr w:val="none" w:sz="0" w:space="0" w:color="auto" w:frame="1"/>
        </w:rPr>
        <w:t>-minute</w:t>
      </w:r>
      <w:r w:rsidRPr="00326F83" w:rsidR="00F719BD">
        <w:rPr>
          <w:rStyle w:val="cosearchterm"/>
          <w:bCs/>
          <w:bdr w:val="none" w:sz="0" w:space="0" w:color="auto" w:frame="1"/>
        </w:rPr>
        <w:t xml:space="preserve"> period. </w:t>
      </w:r>
      <w:r w:rsidRPr="00326F83" w:rsidR="00FB016D">
        <w:rPr>
          <w:shd w:val="clear" w:color="auto" w:fill="FFFFFF"/>
        </w:rPr>
        <w:t xml:space="preserve"> </w:t>
      </w:r>
    </w:p>
  </w:footnote>
  <w:footnote w:id="31">
    <w:p w:rsidR="00D156CB">
      <w:pPr>
        <w:pStyle w:val="FootnoteText"/>
      </w:pPr>
      <w:r>
        <w:rPr>
          <w:rStyle w:val="FootnoteReference"/>
        </w:rPr>
        <w:footnoteRef/>
      </w:r>
      <w:r>
        <w:t xml:space="preserve"> Swarm Technologies Inc., Consolidated Opposition and Response filed April 15, 2019 (Swarm </w:t>
      </w:r>
      <w:r w:rsidR="00167F51">
        <w:t>Consolidated Response</w:t>
      </w:r>
      <w:r>
        <w:t>)</w:t>
      </w:r>
      <w:r w:rsidR="00E8326B">
        <w:t xml:space="preserve"> at 2.</w:t>
      </w:r>
    </w:p>
  </w:footnote>
  <w:footnote w:id="32">
    <w:p w:rsidR="00E8326B">
      <w:pPr>
        <w:pStyle w:val="FootnoteText"/>
      </w:pPr>
      <w:r>
        <w:rPr>
          <w:rStyle w:val="FootnoteReference"/>
        </w:rPr>
        <w:footnoteRef/>
      </w:r>
      <w:r>
        <w:t xml:space="preserve"> </w:t>
      </w:r>
      <w:r w:rsidRPr="005D0614" w:rsidR="005D0614">
        <w:rPr>
          <w:i/>
        </w:rPr>
        <w:t>Id</w:t>
      </w:r>
      <w:r w:rsidR="005D0614">
        <w:t xml:space="preserve">. at </w:t>
      </w:r>
      <w:r>
        <w:t xml:space="preserve">10. </w:t>
      </w:r>
    </w:p>
  </w:footnote>
  <w:footnote w:id="33">
    <w:p w:rsidR="00766982">
      <w:pPr>
        <w:pStyle w:val="FootnoteText"/>
      </w:pPr>
      <w:r>
        <w:rPr>
          <w:rStyle w:val="FootnoteReference"/>
        </w:rPr>
        <w:footnoteRef/>
      </w:r>
      <w:r>
        <w:t xml:space="preserve"> </w:t>
      </w:r>
      <w:r w:rsidRPr="00766982">
        <w:rPr>
          <w:i/>
        </w:rPr>
        <w:t>Id</w:t>
      </w:r>
      <w:r>
        <w:t xml:space="preserve">. at 11. </w:t>
      </w:r>
    </w:p>
  </w:footnote>
  <w:footnote w:id="34">
    <w:p w:rsidR="00025858" w:rsidP="00025858">
      <w:pPr>
        <w:pStyle w:val="FootnoteText"/>
      </w:pPr>
      <w:r>
        <w:rPr>
          <w:rStyle w:val="FootnoteReference"/>
        </w:rPr>
        <w:footnoteRef/>
      </w:r>
      <w:r>
        <w:t xml:space="preserve"> </w:t>
      </w:r>
      <w:r w:rsidRPr="00FB016D">
        <w:rPr>
          <w:i/>
        </w:rPr>
        <w:t>Id</w:t>
      </w:r>
      <w:r>
        <w:t xml:space="preserve">. at 18. </w:t>
      </w:r>
    </w:p>
  </w:footnote>
  <w:footnote w:id="35">
    <w:p w:rsidR="00B45C71" w:rsidRPr="000052E4" w:rsidP="00E17A67">
      <w:pPr>
        <w:pStyle w:val="ParaNum"/>
        <w:widowControl/>
        <w:numPr>
          <w:ilvl w:val="0"/>
          <w:numId w:val="0"/>
        </w:numPr>
        <w:rPr>
          <w:sz w:val="20"/>
        </w:rPr>
      </w:pPr>
      <w:r>
        <w:rPr>
          <w:rStyle w:val="FootnoteReference"/>
        </w:rPr>
        <w:footnoteRef/>
      </w:r>
      <w:r>
        <w:t xml:space="preserve"> </w:t>
      </w:r>
      <w:r w:rsidRPr="000052E4">
        <w:rPr>
          <w:i/>
          <w:sz w:val="20"/>
        </w:rPr>
        <w:t>Second Processing Round Order</w:t>
      </w:r>
      <w:r w:rsidRPr="000052E4" w:rsidR="001321E6">
        <w:rPr>
          <w:sz w:val="20"/>
        </w:rPr>
        <w:t>,</w:t>
      </w:r>
      <w:r w:rsidRPr="000052E4">
        <w:rPr>
          <w:sz w:val="20"/>
        </w:rPr>
        <w:t xml:space="preserve"> 13 FCC Rcd at </w:t>
      </w:r>
      <w:r w:rsidRPr="000052E4" w:rsidR="00604E15">
        <w:rPr>
          <w:sz w:val="20"/>
        </w:rPr>
        <w:t>9132.</w:t>
      </w:r>
      <w:r w:rsidRPr="000052E4" w:rsidR="00E17A67">
        <w:rPr>
          <w:sz w:val="20"/>
        </w:rPr>
        <w:t xml:space="preserve"> </w:t>
      </w:r>
      <w:r w:rsidR="0012284F">
        <w:rPr>
          <w:sz w:val="20"/>
        </w:rPr>
        <w:t xml:space="preserve"> </w:t>
      </w:r>
      <w:r w:rsidRPr="000052E4" w:rsidR="00E17A67">
        <w:rPr>
          <w:snapToGrid/>
          <w:sz w:val="20"/>
        </w:rPr>
        <w:t xml:space="preserve">It also stated that the objective in the </w:t>
      </w:r>
      <w:r w:rsidRPr="000052E4" w:rsidR="00E17A67">
        <w:rPr>
          <w:i/>
          <w:snapToGrid/>
          <w:sz w:val="20"/>
        </w:rPr>
        <w:t>Second Processing Round Order</w:t>
      </w:r>
      <w:r w:rsidRPr="000052E4" w:rsidR="00E17A67">
        <w:rPr>
          <w:snapToGrid/>
          <w:sz w:val="20"/>
        </w:rPr>
        <w:t xml:space="preserve"> was to foster an environment that promotes competition through new entry… and to produce new and </w:t>
      </w:r>
      <w:r w:rsidRPr="000052E4" w:rsidR="00E17A67">
        <w:rPr>
          <w:sz w:val="20"/>
        </w:rPr>
        <w:t xml:space="preserve">innovative Little LEO service offerings to the public. </w:t>
      </w:r>
      <w:r w:rsidRPr="000052E4" w:rsidR="006269F4">
        <w:rPr>
          <w:i/>
          <w:sz w:val="20"/>
        </w:rPr>
        <w:t>Id.</w:t>
      </w:r>
      <w:r w:rsidRPr="000052E4" w:rsidR="006269F4">
        <w:rPr>
          <w:sz w:val="20"/>
        </w:rPr>
        <w:t xml:space="preserve"> at </w:t>
      </w:r>
      <w:r w:rsidRPr="000052E4" w:rsidR="001A120D">
        <w:rPr>
          <w:sz w:val="20"/>
        </w:rPr>
        <w:t>9117</w:t>
      </w:r>
      <w:r w:rsidRPr="000052E4" w:rsidR="006269F4">
        <w:rPr>
          <w:sz w:val="20"/>
        </w:rPr>
        <w:t xml:space="preserve">. </w:t>
      </w:r>
    </w:p>
  </w:footnote>
  <w:footnote w:id="36">
    <w:p w:rsidR="00C12FD8" w:rsidRPr="000052E4">
      <w:pPr>
        <w:pStyle w:val="FootnoteText"/>
      </w:pPr>
      <w:r w:rsidRPr="000052E4">
        <w:rPr>
          <w:rStyle w:val="FootnoteReference"/>
        </w:rPr>
        <w:footnoteRef/>
      </w:r>
      <w:r w:rsidRPr="000052E4">
        <w:t xml:space="preserve"> ORBCOMM </w:t>
      </w:r>
      <w:r w:rsidR="007152C7">
        <w:t xml:space="preserve">2008 Order, </w:t>
      </w:r>
      <w:r w:rsidRPr="000052E4">
        <w:t>23 FCC Rcd at 4807.</w:t>
      </w:r>
    </w:p>
  </w:footnote>
  <w:footnote w:id="37">
    <w:p w:rsidR="00C12FD8" w:rsidRPr="000052E4">
      <w:pPr>
        <w:pStyle w:val="FootnoteText"/>
      </w:pPr>
      <w:r w:rsidRPr="000052E4">
        <w:rPr>
          <w:rStyle w:val="FootnoteReference"/>
        </w:rPr>
        <w:footnoteRef/>
      </w:r>
      <w:r w:rsidRPr="000052E4">
        <w:t xml:space="preserve"> </w:t>
      </w:r>
      <w:r w:rsidRPr="000052E4">
        <w:rPr>
          <w:i/>
        </w:rPr>
        <w:t>Id</w:t>
      </w:r>
      <w:r w:rsidRPr="000052E4">
        <w:t>. at 4808.</w:t>
      </w:r>
      <w:r w:rsidR="0012284F">
        <w:t xml:space="preserve"> </w:t>
      </w:r>
      <w:r w:rsidRPr="000052E4" w:rsidR="006C1B8E">
        <w:t xml:space="preserve"> Operators using spectrum on a secondary basis may not cause harmful interference to or claim protection from harmful interference caused by operations on a primary basis.</w:t>
      </w:r>
    </w:p>
  </w:footnote>
  <w:footnote w:id="38">
    <w:p w:rsidR="005D0614" w:rsidP="005D0614">
      <w:pPr>
        <w:widowControl/>
        <w:rPr>
          <w:rFonts w:cs="Arial"/>
          <w:snapToGrid/>
          <w:kern w:val="0"/>
          <w:sz w:val="20"/>
          <w:shd w:val="clear" w:color="auto" w:fill="FFFFFF"/>
        </w:rPr>
      </w:pPr>
      <w:r w:rsidRPr="000052E4">
        <w:rPr>
          <w:rStyle w:val="FootnoteReference"/>
        </w:rPr>
        <w:footnoteRef/>
      </w:r>
      <w:r w:rsidRPr="000052E4">
        <w:rPr>
          <w:sz w:val="20"/>
        </w:rPr>
        <w:t xml:space="preserve"> </w:t>
      </w:r>
      <w:r w:rsidRPr="000052E4">
        <w:rPr>
          <w:i/>
          <w:sz w:val="20"/>
        </w:rPr>
        <w:t>Id</w:t>
      </w:r>
      <w:r w:rsidRPr="000052E4">
        <w:rPr>
          <w:sz w:val="20"/>
        </w:rPr>
        <w:t>.</w:t>
      </w:r>
      <w:r w:rsidR="00086387">
        <w:rPr>
          <w:sz w:val="20"/>
        </w:rPr>
        <w:t xml:space="preserve"> </w:t>
      </w:r>
      <w:r w:rsidRPr="000052E4">
        <w:rPr>
          <w:sz w:val="20"/>
        </w:rPr>
        <w:t xml:space="preserve"> </w:t>
      </w:r>
      <w:r w:rsidR="00086387">
        <w:rPr>
          <w:sz w:val="20"/>
        </w:rPr>
        <w:t>Specifically, the Commission authorized</w:t>
      </w:r>
      <w:r w:rsidRPr="000052E4">
        <w:rPr>
          <w:sz w:val="20"/>
        </w:rPr>
        <w:t xml:space="preserve"> operations in the </w:t>
      </w:r>
      <w:r w:rsidRPr="000052E4">
        <w:rPr>
          <w:rFonts w:cs="Arial"/>
          <w:snapToGrid/>
          <w:color w:val="000000"/>
          <w:kern w:val="0"/>
          <w:sz w:val="20"/>
          <w:shd w:val="clear" w:color="auto" w:fill="FFFFFF"/>
        </w:rPr>
        <w:t xml:space="preserve">148-148.25 MHz, 148.75-148.855 MHz, and 148.905-149.9 MHz uplink frequency bands, and the 137.175-137.3275 MHz, 137.4225-137.4725 MHz, 137.535-137.585 MHz, 137.650-137.750 MHz and 137.7875-137.8125 MHz downlink frequency </w:t>
      </w:r>
      <w:r w:rsidRPr="000052E4" w:rsidR="009126E9">
        <w:rPr>
          <w:rFonts w:cs="Arial"/>
          <w:snapToGrid/>
          <w:color w:val="000000"/>
          <w:kern w:val="0"/>
          <w:sz w:val="20"/>
          <w:shd w:val="clear" w:color="auto" w:fill="FFFFFF"/>
        </w:rPr>
        <w:t xml:space="preserve">bands </w:t>
      </w:r>
      <w:r w:rsidRPr="000052E4" w:rsidR="00CE487C">
        <w:rPr>
          <w:rFonts w:cs="Arial"/>
          <w:snapToGrid/>
          <w:color w:val="000000"/>
          <w:kern w:val="0"/>
          <w:sz w:val="20"/>
          <w:shd w:val="clear" w:color="auto" w:fill="FFFFFF"/>
        </w:rPr>
        <w:t xml:space="preserve">and additional frequency bands described as </w:t>
      </w:r>
      <w:r w:rsidRPr="00B530C5" w:rsidR="00CE487C">
        <w:rPr>
          <w:rFonts w:cs="Arial"/>
          <w:snapToGrid/>
          <w:kern w:val="0"/>
          <w:sz w:val="20"/>
          <w:shd w:val="clear" w:color="auto" w:fill="FFFFFF"/>
        </w:rPr>
        <w:t xml:space="preserve">“System 1” in the </w:t>
      </w:r>
      <w:r w:rsidRPr="00B530C5" w:rsidR="00CE487C">
        <w:rPr>
          <w:rFonts w:cs="Arial"/>
          <w:i/>
          <w:snapToGrid/>
          <w:kern w:val="0"/>
          <w:sz w:val="20"/>
          <w:shd w:val="clear" w:color="auto" w:fill="FFFFFF"/>
        </w:rPr>
        <w:t>Second Processing Round Order</w:t>
      </w:r>
      <w:r w:rsidR="007C02C2">
        <w:rPr>
          <w:rFonts w:cs="Arial"/>
          <w:i/>
          <w:snapToGrid/>
          <w:kern w:val="0"/>
          <w:sz w:val="20"/>
          <w:shd w:val="clear" w:color="auto" w:fill="FFFFFF"/>
        </w:rPr>
        <w:t>,</w:t>
      </w:r>
      <w:r w:rsidR="0012284F">
        <w:rPr>
          <w:rFonts w:cs="Arial"/>
          <w:i/>
          <w:snapToGrid/>
          <w:kern w:val="0"/>
          <w:sz w:val="20"/>
          <w:shd w:val="clear" w:color="auto" w:fill="FFFFFF"/>
        </w:rPr>
        <w:t xml:space="preserve"> </w:t>
      </w:r>
      <w:r w:rsidR="007C02C2">
        <w:rPr>
          <w:rFonts w:cs="Arial"/>
          <w:snapToGrid/>
          <w:kern w:val="0"/>
          <w:sz w:val="20"/>
          <w:shd w:val="clear" w:color="auto" w:fill="FFFFFF"/>
        </w:rPr>
        <w:t>generally including the</w:t>
      </w:r>
      <w:r w:rsidRPr="00B530C5" w:rsidR="00CE487C">
        <w:rPr>
          <w:rFonts w:cs="Arial"/>
          <w:snapToGrid/>
          <w:kern w:val="0"/>
          <w:sz w:val="20"/>
          <w:shd w:val="clear" w:color="auto" w:fill="FFFFFF"/>
        </w:rPr>
        <w:t xml:space="preserve"> </w:t>
      </w:r>
      <w:r w:rsidRPr="00B530C5" w:rsidR="00DA0486">
        <w:rPr>
          <w:rFonts w:cs="Arial"/>
          <w:snapToGrid/>
          <w:kern w:val="0"/>
          <w:sz w:val="20"/>
          <w:shd w:val="clear" w:color="auto" w:fill="FFFFFF"/>
        </w:rPr>
        <w:t>1</w:t>
      </w:r>
      <w:r w:rsidRPr="00B530C5" w:rsidR="00DA0486">
        <w:rPr>
          <w:sz w:val="20"/>
          <w:shd w:val="clear" w:color="auto" w:fill="FFFFFF"/>
        </w:rPr>
        <w:t xml:space="preserve">48-148.25 MHz, 148.75-148.855 MHz, 148.905-149.81, and 150.05 MHz uplink frequency bands, and the 137-137.025 MHz, and 400.15-400.505, and 400.645-401 MHz downlink frequency bands, on a primary basis. Operations on other frequencies in the 137-138 MHz and 148-150.05 MHz bands are </w:t>
      </w:r>
      <w:r w:rsidRPr="00B530C5" w:rsidR="00167F51">
        <w:rPr>
          <w:sz w:val="20"/>
          <w:shd w:val="clear" w:color="auto" w:fill="FFFFFF"/>
        </w:rPr>
        <w:t>“</w:t>
      </w:r>
      <w:r w:rsidRPr="00B530C5" w:rsidR="00DA0486">
        <w:rPr>
          <w:sz w:val="20"/>
          <w:shd w:val="clear" w:color="auto" w:fill="FFFFFF"/>
        </w:rPr>
        <w:t xml:space="preserve">authorized </w:t>
      </w:r>
      <w:r w:rsidRPr="00B530C5">
        <w:rPr>
          <w:rFonts w:cs="Arial"/>
          <w:snapToGrid/>
          <w:kern w:val="0"/>
          <w:sz w:val="20"/>
          <w:shd w:val="clear" w:color="auto" w:fill="FFFFFF"/>
        </w:rPr>
        <w:t xml:space="preserve">subject to ORBCOMM </w:t>
      </w:r>
      <w:r w:rsidR="007152C7">
        <w:rPr>
          <w:rFonts w:cs="Arial"/>
          <w:snapToGrid/>
          <w:kern w:val="0"/>
          <w:sz w:val="20"/>
          <w:shd w:val="clear" w:color="auto" w:fill="FFFFFF"/>
        </w:rPr>
        <w:t xml:space="preserve">Licensee Corp. </w:t>
      </w:r>
      <w:r w:rsidRPr="00B530C5">
        <w:rPr>
          <w:rFonts w:cs="Arial"/>
          <w:snapToGrid/>
          <w:kern w:val="0"/>
          <w:sz w:val="20"/>
          <w:shd w:val="clear" w:color="auto" w:fill="FFFFFF"/>
        </w:rPr>
        <w:t>operating using only frequency bands assigned to it on a primary basis, consistent with the spectrum sharing plan adopted by the Commission in that </w:t>
      </w:r>
      <w:r w:rsidRPr="00B530C5">
        <w:rPr>
          <w:rFonts w:cs="Arial"/>
          <w:i/>
          <w:iCs/>
          <w:snapToGrid/>
          <w:kern w:val="0"/>
          <w:sz w:val="20"/>
        </w:rPr>
        <w:t>Report and Order</w:t>
      </w:r>
      <w:r w:rsidRPr="00B530C5">
        <w:rPr>
          <w:rFonts w:cs="Arial"/>
          <w:snapToGrid/>
          <w:kern w:val="0"/>
          <w:sz w:val="20"/>
          <w:shd w:val="clear" w:color="auto" w:fill="FFFFFF"/>
        </w:rPr>
        <w:t>, upon commencement of operations by another U.S.-licensed non-voice, non-geostationary mobile satellite system.</w:t>
      </w:r>
      <w:r w:rsidRPr="00B530C5" w:rsidR="00167F51">
        <w:rPr>
          <w:rFonts w:cs="Arial"/>
          <w:snapToGrid/>
          <w:kern w:val="0"/>
          <w:sz w:val="20"/>
          <w:shd w:val="clear" w:color="auto" w:fill="FFFFFF"/>
        </w:rPr>
        <w:t>”</w:t>
      </w:r>
      <w:r w:rsidRPr="00B530C5">
        <w:rPr>
          <w:rFonts w:cs="Arial"/>
          <w:snapToGrid/>
          <w:kern w:val="0"/>
          <w:sz w:val="20"/>
          <w:shd w:val="clear" w:color="auto" w:fill="FFFFFF"/>
        </w:rPr>
        <w:t xml:space="preserve"> </w:t>
      </w:r>
      <w:r w:rsidR="004B3684">
        <w:rPr>
          <w:rFonts w:cs="Arial"/>
          <w:snapToGrid/>
          <w:kern w:val="0"/>
          <w:sz w:val="20"/>
          <w:shd w:val="clear" w:color="auto" w:fill="FFFFFF"/>
        </w:rPr>
        <w:t xml:space="preserve"> </w:t>
      </w:r>
      <w:r w:rsidRPr="00B530C5">
        <w:rPr>
          <w:rFonts w:cs="Arial"/>
          <w:i/>
          <w:snapToGrid/>
          <w:kern w:val="0"/>
          <w:sz w:val="20"/>
          <w:shd w:val="clear" w:color="auto" w:fill="FFFFFF"/>
        </w:rPr>
        <w:t>Id</w:t>
      </w:r>
      <w:r w:rsidRPr="00B530C5">
        <w:rPr>
          <w:rFonts w:cs="Arial"/>
          <w:snapToGrid/>
          <w:kern w:val="0"/>
          <w:sz w:val="20"/>
          <w:shd w:val="clear" w:color="auto" w:fill="FFFFFF"/>
        </w:rPr>
        <w:t>. at 4812.</w:t>
      </w:r>
    </w:p>
    <w:p w:rsidR="00025858" w:rsidRPr="000052E4" w:rsidP="005D0614">
      <w:pPr>
        <w:widowControl/>
        <w:rPr>
          <w:sz w:val="20"/>
        </w:rPr>
      </w:pPr>
    </w:p>
  </w:footnote>
  <w:footnote w:id="39">
    <w:p w:rsidR="0055668B" w:rsidRPr="000052E4">
      <w:pPr>
        <w:pStyle w:val="FootnoteText"/>
      </w:pPr>
      <w:r w:rsidRPr="000052E4">
        <w:rPr>
          <w:rStyle w:val="FootnoteReference"/>
        </w:rPr>
        <w:footnoteRef/>
      </w:r>
      <w:r w:rsidRPr="000052E4">
        <w:t xml:space="preserve"> </w:t>
      </w:r>
      <w:r w:rsidRPr="000052E4" w:rsidR="00DD3AC2">
        <w:rPr>
          <w:i/>
        </w:rPr>
        <w:t>Id</w:t>
      </w:r>
      <w:r w:rsidRPr="000052E4" w:rsidR="00DD3AC2">
        <w:t xml:space="preserve">. </w:t>
      </w:r>
      <w:r w:rsidRPr="000052E4">
        <w:t xml:space="preserve"> </w:t>
      </w:r>
    </w:p>
  </w:footnote>
  <w:footnote w:id="40">
    <w:p w:rsidR="00403F92">
      <w:pPr>
        <w:pStyle w:val="FootnoteText"/>
      </w:pPr>
      <w:r w:rsidRPr="000052E4">
        <w:rPr>
          <w:rStyle w:val="FootnoteReference"/>
        </w:rPr>
        <w:footnoteRef/>
      </w:r>
      <w:r w:rsidRPr="000052E4">
        <w:t xml:space="preserve"> ORBCOMM Petition at 8; </w:t>
      </w:r>
      <w:bookmarkStart w:id="4" w:name="_Hlk13226017"/>
      <w:r w:rsidRPr="0085622E">
        <w:rPr>
          <w:i/>
        </w:rPr>
        <w:t>see also</w:t>
      </w:r>
      <w:r w:rsidRPr="000052E4">
        <w:t xml:space="preserve"> </w:t>
      </w:r>
      <w:r w:rsidR="004B3684">
        <w:t>L</w:t>
      </w:r>
      <w:r w:rsidRPr="000052E4">
        <w:t>etter</w:t>
      </w:r>
      <w:r w:rsidR="004B3684">
        <w:t xml:space="preserve"> </w:t>
      </w:r>
      <w:r w:rsidRPr="000052E4" w:rsidR="004B3684">
        <w:t>from Walter H. Sonnenfeldt, Regulatory Counsel, ORBCOMM License Corp.</w:t>
      </w:r>
      <w:r w:rsidR="004B3684">
        <w:t xml:space="preserve">, </w:t>
      </w:r>
      <w:r w:rsidRPr="000052E4">
        <w:t>to Marlene H. Dortch, Secretary, FCC, (July 1, 2019</w:t>
      </w:r>
      <w:r>
        <w:t>)</w:t>
      </w:r>
      <w:r w:rsidR="00CA666A">
        <w:t xml:space="preserve"> (ORBCOMM July 2019 </w:t>
      </w:r>
      <w:r w:rsidR="00CA666A">
        <w:rPr>
          <w:i/>
        </w:rPr>
        <w:t>Ex Parte</w:t>
      </w:r>
      <w:r w:rsidR="00CA666A">
        <w:t xml:space="preserve"> Letter)</w:t>
      </w:r>
      <w:r>
        <w:t xml:space="preserve"> (</w:t>
      </w:r>
      <w:r w:rsidR="002B54C0">
        <w:t xml:space="preserve">arguing that </w:t>
      </w:r>
      <w:r>
        <w:t xml:space="preserve">ORBCOMM is not required to vacate spectrum to accommodate Swarm’s proposed narrowband FDMA satellite system). </w:t>
      </w:r>
    </w:p>
    <w:bookmarkEnd w:id="4"/>
  </w:footnote>
  <w:footnote w:id="41">
    <w:p w:rsidR="002B41D3">
      <w:pPr>
        <w:pStyle w:val="FootnoteText"/>
      </w:pPr>
      <w:r>
        <w:rPr>
          <w:rStyle w:val="FootnoteReference"/>
        </w:rPr>
        <w:footnoteRef/>
      </w:r>
      <w:r>
        <w:t xml:space="preserve"> </w:t>
      </w:r>
      <w:r w:rsidRPr="00E96C5F">
        <w:rPr>
          <w:i/>
        </w:rPr>
        <w:t>Second Round Processing Order</w:t>
      </w:r>
      <w:r w:rsidR="007152C7">
        <w:t>, 13 FCC Rcd at 9118.</w:t>
      </w:r>
    </w:p>
  </w:footnote>
  <w:footnote w:id="42">
    <w:p w:rsidR="00B739BB" w:rsidP="00B739BB">
      <w:pPr>
        <w:pStyle w:val="FootnoteText"/>
      </w:pPr>
      <w:r>
        <w:rPr>
          <w:rStyle w:val="FootnoteReference"/>
        </w:rPr>
        <w:footnoteRef/>
      </w:r>
      <w:r>
        <w:t xml:space="preserve"> </w:t>
      </w:r>
      <w:r w:rsidRPr="0012284F" w:rsidR="007152C7">
        <w:rPr>
          <w:i/>
        </w:rPr>
        <w:t>Id</w:t>
      </w:r>
      <w:r w:rsidR="007152C7">
        <w:t>. at</w:t>
      </w:r>
      <w:r w:rsidR="001A120D">
        <w:t xml:space="preserve"> 9117 (emphasis added) and 9122 (“We remind the applicants that this Report and Order adopts a licensing scheme and service rules that will be applicable to second processing round Little LEO licenses.”).</w:t>
      </w:r>
    </w:p>
  </w:footnote>
  <w:footnote w:id="43">
    <w:p w:rsidR="008D42BD">
      <w:pPr>
        <w:pStyle w:val="FootnoteText"/>
      </w:pPr>
      <w:r>
        <w:rPr>
          <w:rStyle w:val="FootnoteReference"/>
        </w:rPr>
        <w:footnoteRef/>
      </w:r>
      <w:r>
        <w:t xml:space="preserve"> </w:t>
      </w:r>
      <w:r w:rsidRPr="00CD68B1">
        <w:rPr>
          <w:i/>
        </w:rPr>
        <w:t>See e.g</w:t>
      </w:r>
      <w:r>
        <w:t>.</w:t>
      </w:r>
      <w:r w:rsidR="00CD68B1">
        <w:t>,</w:t>
      </w:r>
      <w:r>
        <w:t xml:space="preserve"> </w:t>
      </w:r>
      <w:r w:rsidRPr="00CD68B1">
        <w:rPr>
          <w:i/>
        </w:rPr>
        <w:t>LEO One USA Corporation</w:t>
      </w:r>
      <w:r>
        <w:t xml:space="preserve">, </w:t>
      </w:r>
      <w:r w:rsidR="00CD68B1">
        <w:t xml:space="preserve">Order and Authorization, </w:t>
      </w:r>
      <w:r>
        <w:t>13 FCC Rcd 2801 (Int’l Bur. 1998) (</w:t>
      </w:r>
      <w:r w:rsidR="00DA665F">
        <w:t>“</w:t>
      </w:r>
      <w:r w:rsidR="00CD166F">
        <w:t>LEO One is authorized</w:t>
      </w:r>
      <w:r w:rsidR="00B61084">
        <w:t xml:space="preserve"> </w:t>
      </w:r>
      <w:r w:rsidR="00CD166F">
        <w:t>… to provide mobile satellite service … in accordance with the frequency bands designated for System 1 in the spectrum sharing plan adopted in the [Second Processing Round Order]”</w:t>
      </w:r>
      <w:r w:rsidR="00CD68B1">
        <w:t>)</w:t>
      </w:r>
      <w:r w:rsidR="00E26D00">
        <w:t>.</w:t>
      </w:r>
    </w:p>
  </w:footnote>
  <w:footnote w:id="44">
    <w:p w:rsidR="003E1993">
      <w:pPr>
        <w:pStyle w:val="FootnoteText"/>
      </w:pPr>
      <w:r>
        <w:rPr>
          <w:rStyle w:val="FootnoteReference"/>
        </w:rPr>
        <w:footnoteRef/>
      </w:r>
      <w:r>
        <w:t xml:space="preserve"> </w:t>
      </w:r>
      <w:r w:rsidR="00A13A0A">
        <w:t xml:space="preserve">ORBCOMM Petition at 9; </w:t>
      </w:r>
      <w:r w:rsidR="00CA666A">
        <w:t xml:space="preserve">ORBCOMM July 2019 </w:t>
      </w:r>
      <w:r w:rsidRPr="00E143D2">
        <w:rPr>
          <w:i/>
        </w:rPr>
        <w:t>Ex Parte</w:t>
      </w:r>
      <w:r>
        <w:t xml:space="preserve"> </w:t>
      </w:r>
      <w:r w:rsidR="00CA666A">
        <w:t>L</w:t>
      </w:r>
      <w:r>
        <w:t>etter</w:t>
      </w:r>
      <w:r w:rsidR="00CA666A">
        <w:t xml:space="preserve"> at </w:t>
      </w:r>
      <w:r w:rsidR="00025858">
        <w:t>2</w:t>
      </w:r>
      <w:r w:rsidR="00F205F8">
        <w:t>.</w:t>
      </w:r>
      <w:r>
        <w:t xml:space="preserve"> </w:t>
      </w:r>
    </w:p>
  </w:footnote>
  <w:footnote w:id="45">
    <w:p w:rsidR="00C24284" w:rsidP="00E16B1E">
      <w:pPr>
        <w:widowControl/>
        <w:rPr>
          <w:snapToGrid/>
          <w:kern w:val="0"/>
          <w:sz w:val="20"/>
        </w:rPr>
      </w:pPr>
      <w:r>
        <w:rPr>
          <w:rStyle w:val="FootnoteReference"/>
        </w:rPr>
        <w:footnoteRef/>
      </w:r>
      <w:r w:rsidR="00F63FA5">
        <w:t xml:space="preserve"> </w:t>
      </w:r>
      <w:r w:rsidRPr="00C7700C" w:rsidR="00F63FA5">
        <w:rPr>
          <w:sz w:val="20"/>
        </w:rPr>
        <w:t>The</w:t>
      </w:r>
      <w:r w:rsidRPr="00C7700C" w:rsidR="00811811">
        <w:rPr>
          <w:sz w:val="20"/>
        </w:rPr>
        <w:t xml:space="preserve"> rules</w:t>
      </w:r>
      <w:r w:rsidRPr="00C7700C" w:rsidR="005014ED">
        <w:rPr>
          <w:sz w:val="20"/>
        </w:rPr>
        <w:t xml:space="preserve"> </w:t>
      </w:r>
      <w:r w:rsidRPr="00C7700C" w:rsidR="00811811">
        <w:rPr>
          <w:sz w:val="20"/>
        </w:rPr>
        <w:t>adopted in the</w:t>
      </w:r>
      <w:r w:rsidR="00C7700C">
        <w:rPr>
          <w:sz w:val="20"/>
        </w:rPr>
        <w:t xml:space="preserve"> </w:t>
      </w:r>
      <w:r w:rsidRPr="00C7700C" w:rsidR="00C7700C">
        <w:rPr>
          <w:i/>
          <w:sz w:val="20"/>
        </w:rPr>
        <w:t>Second Round Processing Order</w:t>
      </w:r>
      <w:r w:rsidRPr="00C7700C" w:rsidR="00811811">
        <w:rPr>
          <w:sz w:val="20"/>
        </w:rPr>
        <w:t xml:space="preserve"> </w:t>
      </w:r>
      <w:r w:rsidRPr="00C7700C" w:rsidR="00F63FA5">
        <w:rPr>
          <w:sz w:val="20"/>
        </w:rPr>
        <w:t>did not</w:t>
      </w:r>
      <w:r w:rsidR="00571F59">
        <w:rPr>
          <w:sz w:val="20"/>
        </w:rPr>
        <w:t xml:space="preserve"> </w:t>
      </w:r>
      <w:r w:rsidR="00F205F8">
        <w:rPr>
          <w:sz w:val="20"/>
        </w:rPr>
        <w:t>include</w:t>
      </w:r>
      <w:r w:rsidRPr="00C7700C" w:rsidR="00811811">
        <w:rPr>
          <w:sz w:val="20"/>
        </w:rPr>
        <w:t xml:space="preserve"> the specific </w:t>
      </w:r>
      <w:r w:rsidR="00F205F8">
        <w:rPr>
          <w:sz w:val="20"/>
        </w:rPr>
        <w:t xml:space="preserve">details of the </w:t>
      </w:r>
      <w:r w:rsidRPr="00C7700C" w:rsidR="00811811">
        <w:rPr>
          <w:sz w:val="20"/>
        </w:rPr>
        <w:t xml:space="preserve">sharing mechanisms </w:t>
      </w:r>
      <w:r w:rsidR="00F205F8">
        <w:rPr>
          <w:sz w:val="20"/>
        </w:rPr>
        <w:t xml:space="preserve">agreed </w:t>
      </w:r>
      <w:r w:rsidRPr="00C7700C" w:rsidR="00811811">
        <w:rPr>
          <w:sz w:val="20"/>
        </w:rPr>
        <w:t>for the various Systems</w:t>
      </w:r>
      <w:r w:rsidR="00830DEB">
        <w:rPr>
          <w:snapToGrid/>
          <w:kern w:val="0"/>
          <w:sz w:val="20"/>
          <w:shd w:val="clear" w:color="auto" w:fill="FFFFFF"/>
        </w:rPr>
        <w:t>.</w:t>
      </w:r>
      <w:r w:rsidRPr="00C7700C" w:rsidR="005014ED">
        <w:rPr>
          <w:snapToGrid/>
          <w:kern w:val="0"/>
          <w:sz w:val="20"/>
          <w:shd w:val="clear" w:color="auto" w:fill="FFFFFF"/>
        </w:rPr>
        <w:t xml:space="preserve"> </w:t>
      </w:r>
      <w:r w:rsidR="00CA666A">
        <w:rPr>
          <w:snapToGrid/>
          <w:kern w:val="0"/>
          <w:sz w:val="20"/>
          <w:shd w:val="clear" w:color="auto" w:fill="FFFFFF"/>
        </w:rPr>
        <w:t xml:space="preserve"> </w:t>
      </w:r>
      <w:r w:rsidR="00830DEB">
        <w:rPr>
          <w:snapToGrid/>
          <w:kern w:val="0"/>
          <w:sz w:val="20"/>
          <w:shd w:val="clear" w:color="auto" w:fill="FFFFFF"/>
        </w:rPr>
        <w:t xml:space="preserve">The only element of these sharing mechanisms incorporated in the rules was </w:t>
      </w:r>
      <w:r w:rsidR="00571F59">
        <w:rPr>
          <w:snapToGrid/>
          <w:kern w:val="0"/>
          <w:sz w:val="20"/>
          <w:shd w:val="clear" w:color="auto" w:fill="FFFFFF"/>
        </w:rPr>
        <w:t>s</w:t>
      </w:r>
      <w:r w:rsidRPr="00C7700C" w:rsidR="005014ED">
        <w:rPr>
          <w:snapToGrid/>
          <w:kern w:val="0"/>
          <w:sz w:val="20"/>
          <w:shd w:val="clear" w:color="auto" w:fill="FFFFFF"/>
        </w:rPr>
        <w:t>ection 25.142(e)</w:t>
      </w:r>
      <w:r w:rsidR="00830DEB">
        <w:rPr>
          <w:snapToGrid/>
          <w:kern w:val="0"/>
          <w:sz w:val="20"/>
          <w:shd w:val="clear" w:color="auto" w:fill="FFFFFF"/>
        </w:rPr>
        <w:t>.  However, this section</w:t>
      </w:r>
      <w:r w:rsidRPr="00C7700C" w:rsidR="005014ED">
        <w:rPr>
          <w:snapToGrid/>
          <w:kern w:val="0"/>
          <w:sz w:val="20"/>
          <w:shd w:val="clear" w:color="auto" w:fill="FFFFFF"/>
        </w:rPr>
        <w:t xml:space="preserve"> was</w:t>
      </w:r>
      <w:r w:rsidR="00C7700C">
        <w:rPr>
          <w:snapToGrid/>
          <w:kern w:val="0"/>
          <w:sz w:val="20"/>
          <w:shd w:val="clear" w:color="auto" w:fill="FFFFFF"/>
        </w:rPr>
        <w:t xml:space="preserve"> </w:t>
      </w:r>
      <w:r w:rsidR="00E16B1E">
        <w:rPr>
          <w:snapToGrid/>
          <w:kern w:val="0"/>
          <w:sz w:val="20"/>
          <w:shd w:val="clear" w:color="auto" w:fill="FFFFFF"/>
        </w:rPr>
        <w:t>subsequently</w:t>
      </w:r>
      <w:r w:rsidRPr="00C7700C" w:rsidR="005014ED">
        <w:rPr>
          <w:snapToGrid/>
          <w:kern w:val="0"/>
          <w:sz w:val="20"/>
          <w:shd w:val="clear" w:color="auto" w:fill="FFFFFF"/>
        </w:rPr>
        <w:t xml:space="preserve"> deleted as obsolete. </w:t>
      </w:r>
      <w:r w:rsidRPr="00C7700C" w:rsidR="00BC23DB">
        <w:rPr>
          <w:snapToGrid/>
          <w:kern w:val="0"/>
          <w:sz w:val="20"/>
          <w:bdr w:val="none" w:sz="0" w:space="0" w:color="auto" w:frame="1"/>
        </w:rPr>
        <w:t xml:space="preserve"> </w:t>
      </w:r>
      <w:r w:rsidRPr="00C7700C" w:rsidR="00BC23DB">
        <w:rPr>
          <w:i/>
          <w:snapToGrid/>
          <w:kern w:val="0"/>
          <w:sz w:val="20"/>
          <w:bdr w:val="none" w:sz="0" w:space="0" w:color="auto" w:frame="1"/>
        </w:rPr>
        <w:t>Comprehensive Review of Licensing &amp; Operating Rules for Satellite Serv</w:t>
      </w:r>
      <w:r w:rsidRPr="00C7700C" w:rsidR="005014ED">
        <w:rPr>
          <w:i/>
          <w:snapToGrid/>
          <w:kern w:val="0"/>
          <w:sz w:val="20"/>
          <w:bdr w:val="none" w:sz="0" w:space="0" w:color="auto" w:frame="1"/>
        </w:rPr>
        <w:t>ices</w:t>
      </w:r>
      <w:r w:rsidRPr="00C7700C" w:rsidR="00BC23DB">
        <w:rPr>
          <w:snapToGrid/>
          <w:kern w:val="0"/>
          <w:sz w:val="20"/>
        </w:rPr>
        <w:t xml:space="preserve">, </w:t>
      </w:r>
      <w:r w:rsidRPr="00C7700C" w:rsidR="005014ED">
        <w:rPr>
          <w:snapToGrid/>
          <w:kern w:val="0"/>
          <w:sz w:val="20"/>
        </w:rPr>
        <w:t xml:space="preserve">Report and Order, </w:t>
      </w:r>
      <w:r w:rsidRPr="00C7700C" w:rsidR="00BC23DB">
        <w:rPr>
          <w:snapToGrid/>
          <w:kern w:val="0"/>
          <w:sz w:val="20"/>
        </w:rPr>
        <w:t>28 FCC Rcd 12403, 12451–52 (2013)</w:t>
      </w:r>
      <w:r w:rsidRPr="00C7700C" w:rsidR="005014ED">
        <w:rPr>
          <w:snapToGrid/>
          <w:kern w:val="0"/>
          <w:sz w:val="20"/>
        </w:rPr>
        <w:t>.</w:t>
      </w:r>
    </w:p>
    <w:p w:rsidR="00E16B1E" w:rsidP="00E16B1E">
      <w:pPr>
        <w:widowControl/>
      </w:pPr>
    </w:p>
  </w:footnote>
  <w:footnote w:id="46">
    <w:p w:rsidR="00DB738E">
      <w:pPr>
        <w:pStyle w:val="FootnoteText"/>
      </w:pPr>
      <w:r>
        <w:rPr>
          <w:rStyle w:val="FootnoteReference"/>
        </w:rPr>
        <w:footnoteRef/>
      </w:r>
      <w:r>
        <w:t xml:space="preserve"> </w:t>
      </w:r>
      <w:r w:rsidR="006E066B">
        <w:t>SpaceX</w:t>
      </w:r>
      <w:r>
        <w:t xml:space="preserve"> Comments at 3.</w:t>
      </w:r>
    </w:p>
  </w:footnote>
  <w:footnote w:id="47">
    <w:p w:rsidR="00DB738E">
      <w:pPr>
        <w:pStyle w:val="FootnoteText"/>
      </w:pPr>
      <w:r>
        <w:rPr>
          <w:rStyle w:val="FootnoteReference"/>
        </w:rPr>
        <w:footnoteRef/>
      </w:r>
      <w:r>
        <w:t xml:space="preserve"> </w:t>
      </w:r>
      <w:r w:rsidR="00B24B65">
        <w:rPr>
          <w:i/>
        </w:rPr>
        <w:t>Id</w:t>
      </w:r>
      <w:r w:rsidRPr="00B24B65" w:rsidR="00B24B65">
        <w:t>.</w:t>
      </w:r>
      <w:r w:rsidRPr="00B24B65">
        <w:t xml:space="preserve"> </w:t>
      </w:r>
      <w:r>
        <w:t xml:space="preserve">at 5. </w:t>
      </w:r>
    </w:p>
  </w:footnote>
  <w:footnote w:id="48">
    <w:p w:rsidR="00DB738E">
      <w:pPr>
        <w:pStyle w:val="FootnoteText"/>
      </w:pPr>
      <w:r>
        <w:rPr>
          <w:rStyle w:val="FootnoteReference"/>
        </w:rPr>
        <w:footnoteRef/>
      </w:r>
      <w:r>
        <w:t xml:space="preserve"> Swarm Consolidated </w:t>
      </w:r>
      <w:r w:rsidR="00167F51">
        <w:t>Response</w:t>
      </w:r>
      <w:r>
        <w:t xml:space="preserve"> at 24</w:t>
      </w:r>
      <w:r w:rsidR="00025858">
        <w:t>,</w:t>
      </w:r>
      <w:r>
        <w:t xml:space="preserve"> and Appendix A.</w:t>
      </w:r>
    </w:p>
  </w:footnote>
  <w:footnote w:id="49">
    <w:p w:rsidR="00A70890">
      <w:pPr>
        <w:pStyle w:val="FootnoteText"/>
      </w:pPr>
      <w:r>
        <w:rPr>
          <w:rStyle w:val="FootnoteReference"/>
        </w:rPr>
        <w:footnoteRef/>
      </w:r>
      <w:r>
        <w:t xml:space="preserve"> Swarm Consolidated Response</w:t>
      </w:r>
      <w:r w:rsidR="00484168">
        <w:t xml:space="preserve"> at 30. </w:t>
      </w:r>
    </w:p>
  </w:footnote>
  <w:footnote w:id="50">
    <w:p w:rsidR="008211DC" w:rsidRPr="00E03BCA">
      <w:pPr>
        <w:pStyle w:val="FootnoteText"/>
      </w:pPr>
      <w:r>
        <w:rPr>
          <w:rStyle w:val="FootnoteReference"/>
        </w:rPr>
        <w:footnoteRef/>
      </w:r>
      <w:r>
        <w:t xml:space="preserve"> </w:t>
      </w:r>
      <w:r w:rsidR="006E066B">
        <w:t>SpaceX</w:t>
      </w:r>
      <w:r>
        <w:t xml:space="preserve"> Comments at 5; </w:t>
      </w:r>
      <w:hyperlink r:id="rId5" w:history="1">
        <w:r w:rsidRPr="00E03BCA">
          <w:rPr>
            <w:i/>
            <w:iCs/>
            <w:snapToGrid w:val="0"/>
            <w:kern w:val="28"/>
            <w:bdr w:val="none" w:sz="0" w:space="0" w:color="auto" w:frame="1"/>
            <w:shd w:val="clear" w:color="auto" w:fill="FFFFFF"/>
          </w:rPr>
          <w:t>Mitigation of </w:t>
        </w:r>
        <w:r w:rsidRPr="00E03BCA">
          <w:rPr>
            <w:bCs/>
            <w:i/>
            <w:iCs/>
            <w:snapToGrid w:val="0"/>
            <w:kern w:val="28"/>
            <w:bdr w:val="none" w:sz="0" w:space="0" w:color="auto" w:frame="1"/>
            <w:shd w:val="clear" w:color="auto" w:fill="FFFFFF"/>
          </w:rPr>
          <w:t>Orbital</w:t>
        </w:r>
        <w:r w:rsidRPr="00E03BCA">
          <w:rPr>
            <w:i/>
            <w:iCs/>
            <w:snapToGrid w:val="0"/>
            <w:kern w:val="28"/>
            <w:bdr w:val="none" w:sz="0" w:space="0" w:color="auto" w:frame="1"/>
            <w:shd w:val="clear" w:color="auto" w:fill="FFFFFF"/>
          </w:rPr>
          <w:t> </w:t>
        </w:r>
        <w:r w:rsidRPr="00E03BCA">
          <w:rPr>
            <w:bCs/>
            <w:i/>
            <w:iCs/>
            <w:snapToGrid w:val="0"/>
            <w:kern w:val="28"/>
            <w:bdr w:val="none" w:sz="0" w:space="0" w:color="auto" w:frame="1"/>
            <w:shd w:val="clear" w:color="auto" w:fill="FFFFFF"/>
          </w:rPr>
          <w:t>Debris</w:t>
        </w:r>
        <w:r w:rsidRPr="00E03BCA">
          <w:rPr>
            <w:i/>
            <w:iCs/>
            <w:snapToGrid w:val="0"/>
            <w:kern w:val="28"/>
            <w:bdr w:val="none" w:sz="0" w:space="0" w:color="auto" w:frame="1"/>
            <w:shd w:val="clear" w:color="auto" w:fill="FFFFFF"/>
          </w:rPr>
          <w:t> in the New Space Age</w:t>
        </w:r>
        <w:r w:rsidRPr="00E03BCA">
          <w:rPr>
            <w:snapToGrid w:val="0"/>
            <w:kern w:val="28"/>
            <w:bdr w:val="none" w:sz="0" w:space="0" w:color="auto" w:frame="1"/>
            <w:shd w:val="clear" w:color="auto" w:fill="FFFFFF"/>
          </w:rPr>
          <w:t>, </w:t>
        </w:r>
        <w:r w:rsidRPr="00E03BCA">
          <w:rPr>
            <w:bCs/>
            <w:snapToGrid w:val="0"/>
            <w:kern w:val="28"/>
            <w:bdr w:val="none" w:sz="0" w:space="0" w:color="auto" w:frame="1"/>
            <w:shd w:val="clear" w:color="auto" w:fill="FFFFFF"/>
          </w:rPr>
          <w:t>Notice</w:t>
        </w:r>
        <w:r w:rsidRPr="00E03BCA">
          <w:rPr>
            <w:snapToGrid w:val="0"/>
            <w:kern w:val="28"/>
            <w:bdr w:val="none" w:sz="0" w:space="0" w:color="auto" w:frame="1"/>
            <w:shd w:val="clear" w:color="auto" w:fill="FFFFFF"/>
          </w:rPr>
          <w:t> </w:t>
        </w:r>
        <w:r w:rsidRPr="00E03BCA">
          <w:rPr>
            <w:bCs/>
            <w:snapToGrid w:val="0"/>
            <w:kern w:val="28"/>
            <w:bdr w:val="none" w:sz="0" w:space="0" w:color="auto" w:frame="1"/>
            <w:shd w:val="clear" w:color="auto" w:fill="FFFFFF"/>
          </w:rPr>
          <w:t>of</w:t>
        </w:r>
        <w:r w:rsidR="00E03BCA">
          <w:rPr>
            <w:bCs/>
            <w:snapToGrid w:val="0"/>
            <w:kern w:val="28"/>
            <w:bdr w:val="none" w:sz="0" w:space="0" w:color="auto" w:frame="1"/>
            <w:shd w:val="clear" w:color="auto" w:fill="FFFFFF"/>
          </w:rPr>
          <w:t xml:space="preserve"> </w:t>
        </w:r>
        <w:r w:rsidRPr="00E03BCA">
          <w:rPr>
            <w:bCs/>
            <w:snapToGrid w:val="0"/>
            <w:kern w:val="28"/>
            <w:bdr w:val="none" w:sz="0" w:space="0" w:color="auto" w:frame="1"/>
            <w:shd w:val="clear" w:color="auto" w:fill="FFFFFF"/>
          </w:rPr>
          <w:t>Proposed</w:t>
        </w:r>
        <w:r w:rsidRPr="00E03BCA">
          <w:rPr>
            <w:snapToGrid w:val="0"/>
            <w:kern w:val="28"/>
            <w:bdr w:val="none" w:sz="0" w:space="0" w:color="auto" w:frame="1"/>
            <w:shd w:val="clear" w:color="auto" w:fill="FFFFFF"/>
          </w:rPr>
          <w:t> </w:t>
        </w:r>
        <w:r w:rsidRPr="00E03BCA">
          <w:rPr>
            <w:bCs/>
            <w:snapToGrid w:val="0"/>
            <w:kern w:val="28"/>
            <w:bdr w:val="none" w:sz="0" w:space="0" w:color="auto" w:frame="1"/>
            <w:shd w:val="clear" w:color="auto" w:fill="FFFFFF"/>
          </w:rPr>
          <w:t>Rulemaking</w:t>
        </w:r>
        <w:r w:rsidRPr="00E03BCA">
          <w:rPr>
            <w:snapToGrid w:val="0"/>
            <w:kern w:val="28"/>
            <w:bdr w:val="none" w:sz="0" w:space="0" w:color="auto" w:frame="1"/>
            <w:shd w:val="clear" w:color="auto" w:fill="FFFFFF"/>
          </w:rPr>
          <w:t xml:space="preserve">, </w:t>
        </w:r>
        <w:r w:rsidR="00092970">
          <w:rPr>
            <w:snapToGrid w:val="0"/>
            <w:kern w:val="28"/>
            <w:bdr w:val="none" w:sz="0" w:space="0" w:color="auto" w:frame="1"/>
            <w:shd w:val="clear" w:color="auto" w:fill="FFFFFF"/>
          </w:rPr>
          <w:t>33 FCC Rcd 11352 (</w:t>
        </w:r>
        <w:r w:rsidRPr="00E03BCA">
          <w:rPr>
            <w:snapToGrid w:val="0"/>
            <w:kern w:val="28"/>
            <w:bdr w:val="none" w:sz="0" w:space="0" w:color="auto" w:frame="1"/>
            <w:shd w:val="clear" w:color="auto" w:fill="FFFFFF"/>
          </w:rPr>
          <w:t>2018)</w:t>
        </w:r>
      </w:hyperlink>
      <w:r w:rsidRPr="00E03BCA">
        <w:rPr>
          <w:snapToGrid w:val="0"/>
          <w:kern w:val="28"/>
          <w:shd w:val="clear" w:color="auto" w:fill="FFFFFF"/>
        </w:rPr>
        <w:t>.</w:t>
      </w:r>
    </w:p>
  </w:footnote>
  <w:footnote w:id="51">
    <w:p w:rsidR="00055A99" w:rsidP="00055A99">
      <w:pPr>
        <w:pStyle w:val="FootnoteText"/>
      </w:pPr>
      <w:r>
        <w:rPr>
          <w:rStyle w:val="FootnoteReference"/>
        </w:rPr>
        <w:footnoteRef/>
      </w:r>
      <w:r>
        <w:t xml:space="preserve"> 47 CFR § 25.157.</w:t>
      </w:r>
    </w:p>
  </w:footnote>
  <w:footnote w:id="52">
    <w:p w:rsidR="00055A99" w:rsidP="00055A99">
      <w:pPr>
        <w:pStyle w:val="FootnoteText"/>
      </w:pPr>
      <w:r>
        <w:rPr>
          <w:rStyle w:val="FootnoteReference"/>
        </w:rPr>
        <w:footnoteRef/>
      </w:r>
      <w:r>
        <w:t xml:space="preserve"> 47 CFR § 1.3.</w:t>
      </w:r>
    </w:p>
  </w:footnote>
  <w:footnote w:id="53">
    <w:p w:rsidR="00055A99" w:rsidP="00055A99">
      <w:pPr>
        <w:pStyle w:val="FootnoteText"/>
      </w:pPr>
      <w:r>
        <w:rPr>
          <w:rStyle w:val="FootnoteReference"/>
        </w:rPr>
        <w:footnoteRef/>
      </w:r>
      <w:r>
        <w:t xml:space="preserve"> </w:t>
      </w:r>
      <w:r w:rsidRPr="00A9761B">
        <w:rPr>
          <w:i/>
        </w:rPr>
        <w:t>Northeast Cellular Tel. Co. v. FCC</w:t>
      </w:r>
      <w:r>
        <w:t>, 897 F.2d 1164 (D.C. Cir. 1990).</w:t>
      </w:r>
    </w:p>
  </w:footnote>
  <w:footnote w:id="54">
    <w:p w:rsidR="00783C3C" w:rsidRPr="00A91E16">
      <w:pPr>
        <w:pStyle w:val="FootnoteText"/>
      </w:pPr>
      <w:r>
        <w:rPr>
          <w:rStyle w:val="FootnoteReference"/>
        </w:rPr>
        <w:footnoteRef/>
      </w:r>
      <w:r>
        <w:t xml:space="preserve"> </w:t>
      </w:r>
      <w:r w:rsidRPr="00A91E16" w:rsidR="00D21B95">
        <w:rPr>
          <w:i/>
          <w:iCs/>
          <w:snapToGrid w:val="0"/>
          <w:kern w:val="28"/>
          <w:bdr w:val="none" w:sz="0" w:space="0" w:color="auto" w:frame="1"/>
          <w:shd w:val="clear" w:color="auto" w:fill="FFFFFF"/>
        </w:rPr>
        <w:t>See </w:t>
      </w:r>
      <w:hyperlink r:id="rId6" w:anchor="co_pp_sp_4493_7829" w:history="1">
        <w:r w:rsidRPr="00A91E16" w:rsidR="00D21B95">
          <w:rPr>
            <w:i/>
            <w:iCs/>
            <w:snapToGrid w:val="0"/>
            <w:kern w:val="28"/>
            <w:bdr w:val="none" w:sz="0" w:space="0" w:color="auto" w:frame="1"/>
            <w:shd w:val="clear" w:color="auto" w:fill="FFFFFF"/>
          </w:rPr>
          <w:t>Update to Parts 2 and 25 Concerning Non-Geostationary, Fixed-Satellite Service Systems and Related Matters</w:t>
        </w:r>
        <w:r w:rsidRPr="00A91E16" w:rsidR="00D21B95">
          <w:rPr>
            <w:snapToGrid w:val="0"/>
            <w:kern w:val="28"/>
            <w:bdr w:val="none" w:sz="0" w:space="0" w:color="auto" w:frame="1"/>
            <w:shd w:val="clear" w:color="auto" w:fill="FFFFFF"/>
          </w:rPr>
          <w:t>, Report and Order and Further Notice of Proposed Rulemaking, 32 FCC Rcd 7809, 7829 (2017)</w:t>
        </w:r>
      </w:hyperlink>
      <w:r w:rsidRPr="00A91E16" w:rsidR="00D21B95">
        <w:rPr>
          <w:snapToGrid w:val="0"/>
          <w:kern w:val="28"/>
          <w:shd w:val="clear" w:color="auto" w:fill="FFFFFF"/>
        </w:rPr>
        <w:t> (</w:t>
      </w:r>
      <w:r w:rsidRPr="00A91E16" w:rsidR="0054543D">
        <w:rPr>
          <w:snapToGrid w:val="0"/>
          <w:kern w:val="28"/>
          <w:shd w:val="clear" w:color="auto" w:fill="FFFFFF"/>
        </w:rPr>
        <w:t>“</w:t>
      </w:r>
      <w:r w:rsidRPr="00A91E16" w:rsidR="00D21B95">
        <w:rPr>
          <w:snapToGrid w:val="0"/>
          <w:kern w:val="28"/>
          <w:shd w:val="clear" w:color="auto" w:fill="FFFFFF"/>
        </w:rPr>
        <w:t>The purpose of the recent </w:t>
      </w:r>
      <w:r w:rsidRPr="00A91E16" w:rsidR="00D21B95">
        <w:rPr>
          <w:bCs/>
          <w:snapToGrid w:val="0"/>
          <w:kern w:val="28"/>
          <w:bdr w:val="none" w:sz="0" w:space="0" w:color="auto" w:frame="1"/>
        </w:rPr>
        <w:t>processing</w:t>
      </w:r>
      <w:r w:rsidRPr="00A91E16" w:rsidR="00D21B95">
        <w:rPr>
          <w:snapToGrid w:val="0"/>
          <w:kern w:val="28"/>
          <w:shd w:val="clear" w:color="auto" w:fill="FFFFFF"/>
        </w:rPr>
        <w:t> </w:t>
      </w:r>
      <w:r w:rsidRPr="00A91E16" w:rsidR="00D21B95">
        <w:rPr>
          <w:bCs/>
          <w:snapToGrid w:val="0"/>
          <w:kern w:val="28"/>
          <w:bdr w:val="none" w:sz="0" w:space="0" w:color="auto" w:frame="1"/>
        </w:rPr>
        <w:t>rounds</w:t>
      </w:r>
      <w:r w:rsidRPr="00A91E16" w:rsidR="00D21B95">
        <w:rPr>
          <w:snapToGrid w:val="0"/>
          <w:kern w:val="28"/>
          <w:shd w:val="clear" w:color="auto" w:fill="FFFFFF"/>
        </w:rPr>
        <w:t> was to establish a sharing environment among NGSO systems, to provide a measure of certainty in lieu of adopting an open-ended requirement to accommodate all </w:t>
      </w:r>
      <w:r w:rsidRPr="00A91E16" w:rsidR="00D21B95">
        <w:rPr>
          <w:bCs/>
          <w:snapToGrid w:val="0"/>
          <w:kern w:val="28"/>
          <w:bdr w:val="none" w:sz="0" w:space="0" w:color="auto" w:frame="1"/>
        </w:rPr>
        <w:t xml:space="preserve">future </w:t>
      </w:r>
      <w:r w:rsidRPr="00A91E16" w:rsidR="00D21B95">
        <w:rPr>
          <w:snapToGrid w:val="0"/>
          <w:kern w:val="28"/>
          <w:shd w:val="clear" w:color="auto" w:fill="FFFFFF"/>
        </w:rPr>
        <w:t>applicants.”).</w:t>
      </w:r>
    </w:p>
  </w:footnote>
  <w:footnote w:id="55">
    <w:p w:rsidR="006269F4">
      <w:pPr>
        <w:pStyle w:val="FootnoteText"/>
      </w:pPr>
      <w:r>
        <w:rPr>
          <w:rStyle w:val="FootnoteReference"/>
        </w:rPr>
        <w:footnoteRef/>
      </w:r>
      <w:r>
        <w:t xml:space="preserve"> </w:t>
      </w:r>
      <w:r w:rsidRPr="008551D4" w:rsidR="003D4336">
        <w:rPr>
          <w:i/>
        </w:rPr>
        <w:t>Ex Parte</w:t>
      </w:r>
      <w:r w:rsidRPr="00017859" w:rsidR="003D4336">
        <w:t xml:space="preserve"> Letter to Marlene H. Dortch, Secretary, FCC</w:t>
      </w:r>
      <w:r w:rsidR="003D4336">
        <w:t>,</w:t>
      </w:r>
      <w:r w:rsidRPr="00017859" w:rsidR="003D4336">
        <w:t xml:space="preserve"> from Kalpak Gude, General Counsel, Swarm </w:t>
      </w:r>
      <w:r w:rsidR="003D4336">
        <w:t>T</w:t>
      </w:r>
      <w:r w:rsidRPr="00017859" w:rsidR="003D4336">
        <w:t>echnologies, Inc.</w:t>
      </w:r>
      <w:r w:rsidR="003D4336">
        <w:t>, at 2</w:t>
      </w:r>
      <w:r w:rsidRPr="00017859" w:rsidR="003D4336">
        <w:t xml:space="preserve"> (May 17, 2019)</w:t>
      </w:r>
      <w:r w:rsidR="003D4336">
        <w:t xml:space="preserve"> (</w:t>
      </w:r>
      <w:r w:rsidRPr="003D4336" w:rsidR="003D4336">
        <w:t xml:space="preserve">Swarm May 17 </w:t>
      </w:r>
      <w:r w:rsidR="003D4336">
        <w:t>Letter)</w:t>
      </w:r>
      <w:r w:rsidR="004A669D">
        <w:t>.</w:t>
      </w:r>
    </w:p>
  </w:footnote>
  <w:footnote w:id="56">
    <w:p w:rsidR="00466041">
      <w:pPr>
        <w:pStyle w:val="FootnoteText"/>
      </w:pPr>
      <w:r>
        <w:rPr>
          <w:rStyle w:val="FootnoteReference"/>
        </w:rPr>
        <w:footnoteRef/>
      </w:r>
      <w:r>
        <w:t xml:space="preserve"> </w:t>
      </w:r>
      <w:r w:rsidRPr="004779D9">
        <w:rPr>
          <w:i/>
        </w:rPr>
        <w:t>See</w:t>
      </w:r>
      <w:r>
        <w:t xml:space="preserve"> Hiber</w:t>
      </w:r>
      <w:r w:rsidR="00B41621">
        <w:t xml:space="preserve"> Inc., IBFS File No. SAT-PDR-</w:t>
      </w:r>
      <w:r w:rsidR="004779D9">
        <w:t>20180910-00069</w:t>
      </w:r>
      <w:r w:rsidR="00A91E16">
        <w:t>,</w:t>
      </w:r>
      <w:r w:rsidR="00177052">
        <w:t xml:space="preserve"> and </w:t>
      </w:r>
      <w:r w:rsidR="004779D9">
        <w:t>Myriota Pty Ltd., IBFS File No. SAT-PDR-20190328-00020,</w:t>
      </w:r>
      <w:r w:rsidR="00A91E16">
        <w:t xml:space="preserve"> requesting U.S. market access for </w:t>
      </w:r>
      <w:r w:rsidR="004779D9">
        <w:t>NVNG MSS operations in the 399.9-400.05 MHz and 400.15-401 MHz bands</w:t>
      </w:r>
      <w:r w:rsidR="00A91E16">
        <w:t>, and Spire Global, Inc, IBFS File No</w:t>
      </w:r>
      <w:r w:rsidR="00177052">
        <w:t>s</w:t>
      </w:r>
      <w:r w:rsidR="00A91E16">
        <w:t>. SAT-PDR-20190321-00018</w:t>
      </w:r>
      <w:r w:rsidR="00177052">
        <w:t xml:space="preserve"> and</w:t>
      </w:r>
      <w:r w:rsidRPr="00177052" w:rsidR="00177052">
        <w:t xml:space="preserve"> </w:t>
      </w:r>
      <w:r w:rsidRPr="00E160D8" w:rsidR="00177052">
        <w:t>SAT-LOA-20151123-00078</w:t>
      </w:r>
      <w:r w:rsidR="00177052">
        <w:t xml:space="preserve">, </w:t>
      </w:r>
      <w:r w:rsidR="00A91E16">
        <w:t xml:space="preserve">proposing operations in the 399.9-400.05 MHz band. </w:t>
      </w:r>
      <w:r w:rsidR="005E422E">
        <w:t xml:space="preserve"> </w:t>
      </w:r>
    </w:p>
  </w:footnote>
  <w:footnote w:id="57">
    <w:p w:rsidR="00484168">
      <w:pPr>
        <w:pStyle w:val="FootnoteText"/>
      </w:pPr>
      <w:r>
        <w:rPr>
          <w:rStyle w:val="FootnoteReference"/>
        </w:rPr>
        <w:footnoteRef/>
      </w:r>
      <w:r>
        <w:t xml:space="preserve"> </w:t>
      </w:r>
      <w:r w:rsidRPr="005D04D5">
        <w:rPr>
          <w:i/>
        </w:rPr>
        <w:t>See</w:t>
      </w:r>
      <w:r>
        <w:t xml:space="preserve"> Policy Branch Information, Actions Taken, 20 FCC Rcd 20273 (2005).  “The </w:t>
      </w:r>
      <w:r w:rsidR="001C2763">
        <w:t>[</w:t>
      </w:r>
      <w:r>
        <w:t xml:space="preserve">NVNG MSS] spectrum formerly licensed to VITA is now available to new applicants. Applications for this spectrum will processed under the first-come, first served procedure…”; </w:t>
      </w:r>
      <w:r w:rsidRPr="005D04D5">
        <w:rPr>
          <w:i/>
        </w:rPr>
        <w:t>see also</w:t>
      </w:r>
      <w:r>
        <w:t xml:space="preserve"> Policy Branch Information, Spectrum Available, 19 FCC Rcd 4804 (2004).</w:t>
      </w:r>
    </w:p>
  </w:footnote>
  <w:footnote w:id="58">
    <w:p w:rsidR="000D3DAB">
      <w:pPr>
        <w:pStyle w:val="FootnoteText"/>
      </w:pPr>
      <w:r>
        <w:rPr>
          <w:rStyle w:val="FootnoteReference"/>
        </w:rPr>
        <w:footnoteRef/>
      </w:r>
      <w:r>
        <w:t xml:space="preserve"> ORBCOMM Petition at 10. </w:t>
      </w:r>
    </w:p>
  </w:footnote>
  <w:footnote w:id="59">
    <w:p w:rsidR="0012284F" w:rsidP="0012284F">
      <w:pPr>
        <w:pStyle w:val="FootnoteText"/>
      </w:pPr>
      <w:r>
        <w:rPr>
          <w:rStyle w:val="FootnoteReference"/>
        </w:rPr>
        <w:footnoteRef/>
      </w:r>
      <w:r>
        <w:t xml:space="preserve"> Planet Labs, Inc., </w:t>
      </w:r>
      <w:r w:rsidRPr="00186DFC">
        <w:rPr>
          <w:color w:val="212121"/>
        </w:rPr>
        <w:t>IBFS File No. SAT-LOA-20130626-00087 (granted Dec. 3, 2013); Space Imaging LLC, </w:t>
      </w:r>
      <w:r w:rsidRPr="00186DFC">
        <w:rPr>
          <w:rStyle w:val="Emphasis"/>
          <w:color w:val="212121"/>
        </w:rPr>
        <w:t>Declaratory Order and Order and Authorization</w:t>
      </w:r>
      <w:r w:rsidRPr="00186DFC">
        <w:rPr>
          <w:color w:val="212121"/>
        </w:rPr>
        <w:t>, DA 05-1940 (Int'l. Bur., released July 6, 2005)</w:t>
      </w:r>
      <w:r>
        <w:rPr>
          <w:color w:val="212121"/>
        </w:rPr>
        <w:t>.</w:t>
      </w:r>
    </w:p>
  </w:footnote>
  <w:footnote w:id="60">
    <w:p w:rsidR="0012284F" w:rsidP="0012284F">
      <w:pPr>
        <w:pStyle w:val="FootnoteText"/>
      </w:pPr>
      <w:r>
        <w:rPr>
          <w:rStyle w:val="FootnoteReference"/>
        </w:rPr>
        <w:footnoteRef/>
      </w:r>
      <w:r>
        <w:t xml:space="preserve"> </w:t>
      </w:r>
      <w:r w:rsidRPr="003D4336">
        <w:t>Swarm May 17</w:t>
      </w:r>
      <w:r>
        <w:t xml:space="preserve"> Letter, at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pPr>
    <w:r>
      <w:rPr>
        <w:noProof/>
      </w:rPr>
      <w:pict>
        <v:rect id="Rectangle 1" o:spid="_x0000_s2049" style="width:468pt;height:0.95pt;margin-top:12pt;margin-left:0;mso-position-horizontal-relative:margin;position:absolute;visibility:visible;z-index:-251658240" o:allowincell="f" fillcolor="black" stroked="f" strokeweight="0.05pt">
          <w10:wrap anchorx="margin"/>
        </v:rect>
      </w:pict>
    </w:r>
    <w:r w:rsidR="003D63D5">
      <w:tab/>
      <w:t>Federal Communications Commission</w:t>
    </w:r>
    <w:r w:rsidR="003D63D5">
      <w:tab/>
    </w:r>
    <w:r w:rsidR="006D345C">
      <w:t>DA 19-1044</w:t>
    </w:r>
  </w:p>
  <w:p w:rsidR="00443AEE" w:rsidP="00810B6F">
    <w:pPr>
      <w:pStyle w:val="Header"/>
      <w:rPr>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spacing w:val="-2"/>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D345C">
      <w:rPr>
        <w:spacing w:val="-2"/>
      </w:rPr>
      <w:t>DA 19-1044</w:t>
    </w:r>
  </w:p>
  <w:p w:rsidR="00443AEE" w:rsidP="00810B6F">
    <w:pPr>
      <w:pStyle w:val="Header"/>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38D" w:rsidP="00810B6F">
    <w:pPr>
      <w:pStyle w:val="Header"/>
      <w:rPr>
        <w:b w:val="0"/>
      </w:rPr>
    </w:pPr>
    <w:r>
      <w:rPr>
        <w:noProof/>
      </w:rPr>
      <w:pict>
        <v:rect id="_x0000_s2051" style="width:468pt;height:0.95pt;margin-top:12.65pt;margin-left:0.6pt;mso-position-horizontal-relative:margin;position:absolute;visibility:visible;z-index:-251656192" o:allowincell="f" fillcolor="black" stroked="f" strokeweight="0.05pt">
          <w10:wrap anchorx="margin"/>
        </v:rect>
      </w:pict>
    </w:r>
    <w:r>
      <w:tab/>
      <w:t>Federal Communications Commission</w:t>
    </w:r>
    <w:r>
      <w:tab/>
    </w:r>
    <w:r>
      <w:rPr>
        <w:spacing w:val="-2"/>
      </w:rPr>
      <w:t>DA 19-1044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E6016E3"/>
    <w:multiLevelType w:val="hybridMultilevel"/>
    <w:tmpl w:val="39340EF2"/>
    <w:lvl w:ilvl="0">
      <w:start w:val="1"/>
      <w:numFmt w:val="lowerLetter"/>
      <w:lvlText w:val="%1."/>
      <w:lvlJc w:val="left"/>
      <w:pPr>
        <w:ind w:left="63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08D42846"/>
    <w:lvl w:ilvl="0">
      <w:start w:val="1"/>
      <w:numFmt w:val="decimal"/>
      <w:pStyle w:val="ParaNum"/>
      <w:lvlText w:val="%1."/>
      <w:lvlJc w:val="left"/>
      <w:pPr>
        <w:tabs>
          <w:tab w:val="num" w:pos="1080"/>
        </w:tabs>
        <w:ind w:left="0" w:firstLine="720"/>
      </w:pPr>
      <w:rPr>
        <w:color w:val="auto"/>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4"/>
  </w:num>
  <w:num w:numId="27">
    <w:abstractNumId w:val="6"/>
    <w:lvlOverride w:ilvl="0">
      <w:startOverride w:val="1"/>
    </w:lvlOverride>
  </w:num>
  <w:num w:numId="28">
    <w:abstractNumId w:val="6"/>
    <w:lvlOverride w:ilvl="0">
      <w:startOverride w:val="1"/>
    </w:lvlOverride>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46"/>
    <w:rsid w:val="00002299"/>
    <w:rsid w:val="000052E4"/>
    <w:rsid w:val="00010B0C"/>
    <w:rsid w:val="000133E1"/>
    <w:rsid w:val="00017859"/>
    <w:rsid w:val="00022608"/>
    <w:rsid w:val="00025858"/>
    <w:rsid w:val="0003223F"/>
    <w:rsid w:val="00032BA8"/>
    <w:rsid w:val="000346CB"/>
    <w:rsid w:val="00036039"/>
    <w:rsid w:val="00037F90"/>
    <w:rsid w:val="00040EDB"/>
    <w:rsid w:val="00042869"/>
    <w:rsid w:val="00044267"/>
    <w:rsid w:val="00046D9D"/>
    <w:rsid w:val="00051BCA"/>
    <w:rsid w:val="00055A99"/>
    <w:rsid w:val="00056787"/>
    <w:rsid w:val="00071771"/>
    <w:rsid w:val="0007588E"/>
    <w:rsid w:val="00077BED"/>
    <w:rsid w:val="00082F31"/>
    <w:rsid w:val="00083AE2"/>
    <w:rsid w:val="00086387"/>
    <w:rsid w:val="000875BF"/>
    <w:rsid w:val="0009096A"/>
    <w:rsid w:val="00092970"/>
    <w:rsid w:val="00093E5C"/>
    <w:rsid w:val="00096D8C"/>
    <w:rsid w:val="000A1906"/>
    <w:rsid w:val="000C0408"/>
    <w:rsid w:val="000C0B65"/>
    <w:rsid w:val="000C0EE2"/>
    <w:rsid w:val="000C2A78"/>
    <w:rsid w:val="000D1E41"/>
    <w:rsid w:val="000D3DAB"/>
    <w:rsid w:val="000E05FE"/>
    <w:rsid w:val="000E3D42"/>
    <w:rsid w:val="000F5D6E"/>
    <w:rsid w:val="001038DD"/>
    <w:rsid w:val="00107C70"/>
    <w:rsid w:val="00117446"/>
    <w:rsid w:val="0012284F"/>
    <w:rsid w:val="00122AFA"/>
    <w:rsid w:val="00122BD5"/>
    <w:rsid w:val="0012380B"/>
    <w:rsid w:val="00124B26"/>
    <w:rsid w:val="0013144E"/>
    <w:rsid w:val="001321E6"/>
    <w:rsid w:val="00133F4E"/>
    <w:rsid w:val="00133F79"/>
    <w:rsid w:val="00135AAA"/>
    <w:rsid w:val="00140CD3"/>
    <w:rsid w:val="00141465"/>
    <w:rsid w:val="00153E20"/>
    <w:rsid w:val="00160002"/>
    <w:rsid w:val="00163214"/>
    <w:rsid w:val="00166367"/>
    <w:rsid w:val="001664AF"/>
    <w:rsid w:val="00167F51"/>
    <w:rsid w:val="001717C5"/>
    <w:rsid w:val="00177052"/>
    <w:rsid w:val="00186DFC"/>
    <w:rsid w:val="00186E30"/>
    <w:rsid w:val="00191B77"/>
    <w:rsid w:val="00194A66"/>
    <w:rsid w:val="00197EAF"/>
    <w:rsid w:val="001A120D"/>
    <w:rsid w:val="001A6F40"/>
    <w:rsid w:val="001B209D"/>
    <w:rsid w:val="001B4E1F"/>
    <w:rsid w:val="001B69E2"/>
    <w:rsid w:val="001C2763"/>
    <w:rsid w:val="001D1942"/>
    <w:rsid w:val="001D2AC7"/>
    <w:rsid w:val="001D5AA8"/>
    <w:rsid w:val="001D6BCF"/>
    <w:rsid w:val="001E01CA"/>
    <w:rsid w:val="001E30CC"/>
    <w:rsid w:val="001E6096"/>
    <w:rsid w:val="001F7F72"/>
    <w:rsid w:val="0020124B"/>
    <w:rsid w:val="00201729"/>
    <w:rsid w:val="002128B6"/>
    <w:rsid w:val="00217338"/>
    <w:rsid w:val="002235E3"/>
    <w:rsid w:val="00224292"/>
    <w:rsid w:val="002448FD"/>
    <w:rsid w:val="002509CD"/>
    <w:rsid w:val="002621E0"/>
    <w:rsid w:val="002626CC"/>
    <w:rsid w:val="0026540B"/>
    <w:rsid w:val="00272981"/>
    <w:rsid w:val="00275CF5"/>
    <w:rsid w:val="00280065"/>
    <w:rsid w:val="0028301F"/>
    <w:rsid w:val="00283D62"/>
    <w:rsid w:val="00285017"/>
    <w:rsid w:val="00285556"/>
    <w:rsid w:val="002A172A"/>
    <w:rsid w:val="002A2D2E"/>
    <w:rsid w:val="002A30DE"/>
    <w:rsid w:val="002B08B9"/>
    <w:rsid w:val="002B41D3"/>
    <w:rsid w:val="002B54C0"/>
    <w:rsid w:val="002C00E8"/>
    <w:rsid w:val="002C4A13"/>
    <w:rsid w:val="002D201F"/>
    <w:rsid w:val="002F08FD"/>
    <w:rsid w:val="002F78BC"/>
    <w:rsid w:val="003028EA"/>
    <w:rsid w:val="003035DA"/>
    <w:rsid w:val="00313D58"/>
    <w:rsid w:val="00326F83"/>
    <w:rsid w:val="00332CD0"/>
    <w:rsid w:val="00343749"/>
    <w:rsid w:val="003548DB"/>
    <w:rsid w:val="00363F8C"/>
    <w:rsid w:val="003660ED"/>
    <w:rsid w:val="00374829"/>
    <w:rsid w:val="003835E5"/>
    <w:rsid w:val="003915C2"/>
    <w:rsid w:val="003A052B"/>
    <w:rsid w:val="003A3DF5"/>
    <w:rsid w:val="003B0550"/>
    <w:rsid w:val="003B217C"/>
    <w:rsid w:val="003B2355"/>
    <w:rsid w:val="003B3706"/>
    <w:rsid w:val="003B6422"/>
    <w:rsid w:val="003B694F"/>
    <w:rsid w:val="003C6D2F"/>
    <w:rsid w:val="003D4336"/>
    <w:rsid w:val="003D4DDC"/>
    <w:rsid w:val="003D63D5"/>
    <w:rsid w:val="003E1993"/>
    <w:rsid w:val="003E708A"/>
    <w:rsid w:val="003F171C"/>
    <w:rsid w:val="003F7A43"/>
    <w:rsid w:val="003F7B74"/>
    <w:rsid w:val="00403BC7"/>
    <w:rsid w:val="00403F92"/>
    <w:rsid w:val="00412FC5"/>
    <w:rsid w:val="0041427C"/>
    <w:rsid w:val="004147A0"/>
    <w:rsid w:val="00414B9C"/>
    <w:rsid w:val="00417D9E"/>
    <w:rsid w:val="00422276"/>
    <w:rsid w:val="004242F1"/>
    <w:rsid w:val="00425CCD"/>
    <w:rsid w:val="00443AEE"/>
    <w:rsid w:val="00445A00"/>
    <w:rsid w:val="004466C6"/>
    <w:rsid w:val="00451B0F"/>
    <w:rsid w:val="004521CB"/>
    <w:rsid w:val="00455B73"/>
    <w:rsid w:val="004577A6"/>
    <w:rsid w:val="00463A22"/>
    <w:rsid w:val="00466041"/>
    <w:rsid w:val="00474280"/>
    <w:rsid w:val="004775E5"/>
    <w:rsid w:val="004779D9"/>
    <w:rsid w:val="00484168"/>
    <w:rsid w:val="004A669D"/>
    <w:rsid w:val="004B2310"/>
    <w:rsid w:val="004B3684"/>
    <w:rsid w:val="004C2EE3"/>
    <w:rsid w:val="004C39F8"/>
    <w:rsid w:val="004E3A4B"/>
    <w:rsid w:val="004E4A22"/>
    <w:rsid w:val="004F041F"/>
    <w:rsid w:val="004F7781"/>
    <w:rsid w:val="005014ED"/>
    <w:rsid w:val="00501EC3"/>
    <w:rsid w:val="005068FD"/>
    <w:rsid w:val="00511968"/>
    <w:rsid w:val="005137EF"/>
    <w:rsid w:val="00530FED"/>
    <w:rsid w:val="005369C7"/>
    <w:rsid w:val="005432ED"/>
    <w:rsid w:val="0054543D"/>
    <w:rsid w:val="0054780E"/>
    <w:rsid w:val="00547E76"/>
    <w:rsid w:val="005551F5"/>
    <w:rsid w:val="0055614C"/>
    <w:rsid w:val="0055668B"/>
    <w:rsid w:val="00556D17"/>
    <w:rsid w:val="00562361"/>
    <w:rsid w:val="005627B2"/>
    <w:rsid w:val="00565937"/>
    <w:rsid w:val="00566D06"/>
    <w:rsid w:val="005701FD"/>
    <w:rsid w:val="00571F59"/>
    <w:rsid w:val="00574CEB"/>
    <w:rsid w:val="00574DDE"/>
    <w:rsid w:val="00583C83"/>
    <w:rsid w:val="0059374F"/>
    <w:rsid w:val="005A632D"/>
    <w:rsid w:val="005B65ED"/>
    <w:rsid w:val="005C1C0A"/>
    <w:rsid w:val="005C3F75"/>
    <w:rsid w:val="005D04D5"/>
    <w:rsid w:val="005D0614"/>
    <w:rsid w:val="005D1B47"/>
    <w:rsid w:val="005D43A2"/>
    <w:rsid w:val="005E14C2"/>
    <w:rsid w:val="005E331F"/>
    <w:rsid w:val="005E422E"/>
    <w:rsid w:val="005E697F"/>
    <w:rsid w:val="00604E15"/>
    <w:rsid w:val="0060784A"/>
    <w:rsid w:val="00607BA5"/>
    <w:rsid w:val="0061180A"/>
    <w:rsid w:val="00613513"/>
    <w:rsid w:val="006252F6"/>
    <w:rsid w:val="006269F4"/>
    <w:rsid w:val="00626EB6"/>
    <w:rsid w:val="006337CB"/>
    <w:rsid w:val="00633FC6"/>
    <w:rsid w:val="006346B2"/>
    <w:rsid w:val="00643516"/>
    <w:rsid w:val="00644518"/>
    <w:rsid w:val="0064723B"/>
    <w:rsid w:val="00647578"/>
    <w:rsid w:val="00652337"/>
    <w:rsid w:val="0065587F"/>
    <w:rsid w:val="00655D03"/>
    <w:rsid w:val="006603F1"/>
    <w:rsid w:val="006627F7"/>
    <w:rsid w:val="00672756"/>
    <w:rsid w:val="006772B2"/>
    <w:rsid w:val="00680566"/>
    <w:rsid w:val="00683388"/>
    <w:rsid w:val="00683B24"/>
    <w:rsid w:val="00683F84"/>
    <w:rsid w:val="00686777"/>
    <w:rsid w:val="00687540"/>
    <w:rsid w:val="00692E65"/>
    <w:rsid w:val="006935D7"/>
    <w:rsid w:val="00695F62"/>
    <w:rsid w:val="00696415"/>
    <w:rsid w:val="00697622"/>
    <w:rsid w:val="006A2DF6"/>
    <w:rsid w:val="006A5612"/>
    <w:rsid w:val="006A6A81"/>
    <w:rsid w:val="006B098E"/>
    <w:rsid w:val="006C10C6"/>
    <w:rsid w:val="006C1B8E"/>
    <w:rsid w:val="006D345C"/>
    <w:rsid w:val="006D3766"/>
    <w:rsid w:val="006E066B"/>
    <w:rsid w:val="006F193B"/>
    <w:rsid w:val="006F5B42"/>
    <w:rsid w:val="006F679D"/>
    <w:rsid w:val="006F7393"/>
    <w:rsid w:val="0070224F"/>
    <w:rsid w:val="00702623"/>
    <w:rsid w:val="007068BF"/>
    <w:rsid w:val="007115F7"/>
    <w:rsid w:val="00711D2F"/>
    <w:rsid w:val="007152C7"/>
    <w:rsid w:val="00715D2E"/>
    <w:rsid w:val="0072500F"/>
    <w:rsid w:val="007275FB"/>
    <w:rsid w:val="00763990"/>
    <w:rsid w:val="00766982"/>
    <w:rsid w:val="007753D3"/>
    <w:rsid w:val="00783833"/>
    <w:rsid w:val="00783C3C"/>
    <w:rsid w:val="00785689"/>
    <w:rsid w:val="00794026"/>
    <w:rsid w:val="0079419B"/>
    <w:rsid w:val="0079754B"/>
    <w:rsid w:val="007A1E6D"/>
    <w:rsid w:val="007A442D"/>
    <w:rsid w:val="007A645D"/>
    <w:rsid w:val="007B0EB2"/>
    <w:rsid w:val="007B37AE"/>
    <w:rsid w:val="007B3914"/>
    <w:rsid w:val="007C02C2"/>
    <w:rsid w:val="007C4894"/>
    <w:rsid w:val="007C6090"/>
    <w:rsid w:val="007C6176"/>
    <w:rsid w:val="007D159F"/>
    <w:rsid w:val="007E0357"/>
    <w:rsid w:val="00810B6F"/>
    <w:rsid w:val="00811811"/>
    <w:rsid w:val="008127D8"/>
    <w:rsid w:val="008211DC"/>
    <w:rsid w:val="00822CE0"/>
    <w:rsid w:val="0082333B"/>
    <w:rsid w:val="0083069A"/>
    <w:rsid w:val="00830745"/>
    <w:rsid w:val="00830DEB"/>
    <w:rsid w:val="00830EFD"/>
    <w:rsid w:val="008413A4"/>
    <w:rsid w:val="00841AB1"/>
    <w:rsid w:val="00842CAE"/>
    <w:rsid w:val="00845A2B"/>
    <w:rsid w:val="008551D4"/>
    <w:rsid w:val="0085622E"/>
    <w:rsid w:val="008566B0"/>
    <w:rsid w:val="00867BA3"/>
    <w:rsid w:val="00867D64"/>
    <w:rsid w:val="008704EB"/>
    <w:rsid w:val="00875529"/>
    <w:rsid w:val="00876771"/>
    <w:rsid w:val="00885561"/>
    <w:rsid w:val="008875CD"/>
    <w:rsid w:val="0089272D"/>
    <w:rsid w:val="008946BE"/>
    <w:rsid w:val="00894D1A"/>
    <w:rsid w:val="008A6942"/>
    <w:rsid w:val="008B4D10"/>
    <w:rsid w:val="008B6E88"/>
    <w:rsid w:val="008B730A"/>
    <w:rsid w:val="008C68F1"/>
    <w:rsid w:val="008D15A6"/>
    <w:rsid w:val="008D324D"/>
    <w:rsid w:val="008D42BD"/>
    <w:rsid w:val="008D7C9D"/>
    <w:rsid w:val="008E4A0D"/>
    <w:rsid w:val="008E4FD7"/>
    <w:rsid w:val="009111E9"/>
    <w:rsid w:val="009126E9"/>
    <w:rsid w:val="009127BE"/>
    <w:rsid w:val="00916CD1"/>
    <w:rsid w:val="009201DF"/>
    <w:rsid w:val="00920447"/>
    <w:rsid w:val="00921803"/>
    <w:rsid w:val="009225C9"/>
    <w:rsid w:val="009230CB"/>
    <w:rsid w:val="00926503"/>
    <w:rsid w:val="0093682E"/>
    <w:rsid w:val="00943811"/>
    <w:rsid w:val="009578A0"/>
    <w:rsid w:val="00967418"/>
    <w:rsid w:val="0096784A"/>
    <w:rsid w:val="009726D8"/>
    <w:rsid w:val="00973BFC"/>
    <w:rsid w:val="00980B4D"/>
    <w:rsid w:val="009817DF"/>
    <w:rsid w:val="009818AE"/>
    <w:rsid w:val="00987915"/>
    <w:rsid w:val="00993F57"/>
    <w:rsid w:val="0099613F"/>
    <w:rsid w:val="00996828"/>
    <w:rsid w:val="009A1496"/>
    <w:rsid w:val="009A4491"/>
    <w:rsid w:val="009B030A"/>
    <w:rsid w:val="009B3D57"/>
    <w:rsid w:val="009C1499"/>
    <w:rsid w:val="009C24EA"/>
    <w:rsid w:val="009C5B1E"/>
    <w:rsid w:val="009D7308"/>
    <w:rsid w:val="009D7E60"/>
    <w:rsid w:val="009E004D"/>
    <w:rsid w:val="009F377B"/>
    <w:rsid w:val="009F5B2C"/>
    <w:rsid w:val="009F76DB"/>
    <w:rsid w:val="00A01AD2"/>
    <w:rsid w:val="00A01F55"/>
    <w:rsid w:val="00A036D6"/>
    <w:rsid w:val="00A13A0A"/>
    <w:rsid w:val="00A32B8E"/>
    <w:rsid w:val="00A32C3B"/>
    <w:rsid w:val="00A33FB7"/>
    <w:rsid w:val="00A37C3E"/>
    <w:rsid w:val="00A450C6"/>
    <w:rsid w:val="00A45D5A"/>
    <w:rsid w:val="00A45F4F"/>
    <w:rsid w:val="00A466CD"/>
    <w:rsid w:val="00A474E6"/>
    <w:rsid w:val="00A541FD"/>
    <w:rsid w:val="00A542AF"/>
    <w:rsid w:val="00A600A9"/>
    <w:rsid w:val="00A63E05"/>
    <w:rsid w:val="00A678EF"/>
    <w:rsid w:val="00A70890"/>
    <w:rsid w:val="00A72D14"/>
    <w:rsid w:val="00A75722"/>
    <w:rsid w:val="00A75EC9"/>
    <w:rsid w:val="00A7731E"/>
    <w:rsid w:val="00A91E16"/>
    <w:rsid w:val="00A9761B"/>
    <w:rsid w:val="00AA55B7"/>
    <w:rsid w:val="00AA5B9E"/>
    <w:rsid w:val="00AB2407"/>
    <w:rsid w:val="00AB53DF"/>
    <w:rsid w:val="00AB59EE"/>
    <w:rsid w:val="00AC1EEF"/>
    <w:rsid w:val="00AD1983"/>
    <w:rsid w:val="00AD5E0B"/>
    <w:rsid w:val="00AE7D05"/>
    <w:rsid w:val="00AF4025"/>
    <w:rsid w:val="00AF711F"/>
    <w:rsid w:val="00B024F2"/>
    <w:rsid w:val="00B02D0A"/>
    <w:rsid w:val="00B07E5C"/>
    <w:rsid w:val="00B1520A"/>
    <w:rsid w:val="00B16959"/>
    <w:rsid w:val="00B21D7F"/>
    <w:rsid w:val="00B24B65"/>
    <w:rsid w:val="00B41621"/>
    <w:rsid w:val="00B45393"/>
    <w:rsid w:val="00B45C71"/>
    <w:rsid w:val="00B530C5"/>
    <w:rsid w:val="00B5617C"/>
    <w:rsid w:val="00B61084"/>
    <w:rsid w:val="00B614F5"/>
    <w:rsid w:val="00B6738D"/>
    <w:rsid w:val="00B709E3"/>
    <w:rsid w:val="00B739BB"/>
    <w:rsid w:val="00B811F7"/>
    <w:rsid w:val="00B81D95"/>
    <w:rsid w:val="00B860F3"/>
    <w:rsid w:val="00B87A04"/>
    <w:rsid w:val="00B935FB"/>
    <w:rsid w:val="00B9673D"/>
    <w:rsid w:val="00B9728E"/>
    <w:rsid w:val="00BA5DC6"/>
    <w:rsid w:val="00BA6196"/>
    <w:rsid w:val="00BB49D3"/>
    <w:rsid w:val="00BC23DB"/>
    <w:rsid w:val="00BC6D8C"/>
    <w:rsid w:val="00BE0288"/>
    <w:rsid w:val="00BE24A9"/>
    <w:rsid w:val="00BF1D0E"/>
    <w:rsid w:val="00BF76B2"/>
    <w:rsid w:val="00C06BE6"/>
    <w:rsid w:val="00C12F08"/>
    <w:rsid w:val="00C12FD8"/>
    <w:rsid w:val="00C15C24"/>
    <w:rsid w:val="00C24284"/>
    <w:rsid w:val="00C30980"/>
    <w:rsid w:val="00C30F3D"/>
    <w:rsid w:val="00C3334B"/>
    <w:rsid w:val="00C34006"/>
    <w:rsid w:val="00C36B4C"/>
    <w:rsid w:val="00C37045"/>
    <w:rsid w:val="00C426B1"/>
    <w:rsid w:val="00C470B4"/>
    <w:rsid w:val="00C536CC"/>
    <w:rsid w:val="00C57B1A"/>
    <w:rsid w:val="00C629DF"/>
    <w:rsid w:val="00C6395F"/>
    <w:rsid w:val="00C66160"/>
    <w:rsid w:val="00C66B98"/>
    <w:rsid w:val="00C721AC"/>
    <w:rsid w:val="00C762D9"/>
    <w:rsid w:val="00C7700C"/>
    <w:rsid w:val="00C77494"/>
    <w:rsid w:val="00C803F5"/>
    <w:rsid w:val="00C84259"/>
    <w:rsid w:val="00C854A2"/>
    <w:rsid w:val="00C90D6A"/>
    <w:rsid w:val="00C914D8"/>
    <w:rsid w:val="00C95638"/>
    <w:rsid w:val="00CA0A4E"/>
    <w:rsid w:val="00CA247E"/>
    <w:rsid w:val="00CA666A"/>
    <w:rsid w:val="00CA69D1"/>
    <w:rsid w:val="00CA6D21"/>
    <w:rsid w:val="00CB11D1"/>
    <w:rsid w:val="00CB3ADE"/>
    <w:rsid w:val="00CB7A89"/>
    <w:rsid w:val="00CC3A24"/>
    <w:rsid w:val="00CC72B6"/>
    <w:rsid w:val="00CD0CD5"/>
    <w:rsid w:val="00CD13EC"/>
    <w:rsid w:val="00CD166F"/>
    <w:rsid w:val="00CD17CE"/>
    <w:rsid w:val="00CD3BAC"/>
    <w:rsid w:val="00CD3F1A"/>
    <w:rsid w:val="00CD5340"/>
    <w:rsid w:val="00CD57AE"/>
    <w:rsid w:val="00CD68B1"/>
    <w:rsid w:val="00CE0144"/>
    <w:rsid w:val="00CE022D"/>
    <w:rsid w:val="00CE1235"/>
    <w:rsid w:val="00CE487C"/>
    <w:rsid w:val="00CE68C4"/>
    <w:rsid w:val="00CF05A3"/>
    <w:rsid w:val="00CF6028"/>
    <w:rsid w:val="00D00CA7"/>
    <w:rsid w:val="00D0218D"/>
    <w:rsid w:val="00D07D87"/>
    <w:rsid w:val="00D10AE0"/>
    <w:rsid w:val="00D115FA"/>
    <w:rsid w:val="00D133A9"/>
    <w:rsid w:val="00D13A91"/>
    <w:rsid w:val="00D156CB"/>
    <w:rsid w:val="00D21B95"/>
    <w:rsid w:val="00D24113"/>
    <w:rsid w:val="00D25FB5"/>
    <w:rsid w:val="00D30333"/>
    <w:rsid w:val="00D44223"/>
    <w:rsid w:val="00D559D8"/>
    <w:rsid w:val="00D63621"/>
    <w:rsid w:val="00D636D1"/>
    <w:rsid w:val="00D645ED"/>
    <w:rsid w:val="00D65BDA"/>
    <w:rsid w:val="00D72B98"/>
    <w:rsid w:val="00D77A3D"/>
    <w:rsid w:val="00D80826"/>
    <w:rsid w:val="00D808EA"/>
    <w:rsid w:val="00D82F60"/>
    <w:rsid w:val="00D83847"/>
    <w:rsid w:val="00D90414"/>
    <w:rsid w:val="00D92184"/>
    <w:rsid w:val="00D922CA"/>
    <w:rsid w:val="00D95F1D"/>
    <w:rsid w:val="00DA0486"/>
    <w:rsid w:val="00DA2529"/>
    <w:rsid w:val="00DA665F"/>
    <w:rsid w:val="00DA67DD"/>
    <w:rsid w:val="00DB0840"/>
    <w:rsid w:val="00DB130A"/>
    <w:rsid w:val="00DB2EBB"/>
    <w:rsid w:val="00DB738E"/>
    <w:rsid w:val="00DC10A1"/>
    <w:rsid w:val="00DC4B96"/>
    <w:rsid w:val="00DC655F"/>
    <w:rsid w:val="00DD0B59"/>
    <w:rsid w:val="00DD3AC2"/>
    <w:rsid w:val="00DD7EBD"/>
    <w:rsid w:val="00DE1F16"/>
    <w:rsid w:val="00DE72CC"/>
    <w:rsid w:val="00DF08B8"/>
    <w:rsid w:val="00DF1D70"/>
    <w:rsid w:val="00DF62B6"/>
    <w:rsid w:val="00DF7645"/>
    <w:rsid w:val="00E03AD3"/>
    <w:rsid w:val="00E03BCA"/>
    <w:rsid w:val="00E07225"/>
    <w:rsid w:val="00E07279"/>
    <w:rsid w:val="00E1362C"/>
    <w:rsid w:val="00E143D2"/>
    <w:rsid w:val="00E160D8"/>
    <w:rsid w:val="00E16B1E"/>
    <w:rsid w:val="00E17A67"/>
    <w:rsid w:val="00E20D74"/>
    <w:rsid w:val="00E21286"/>
    <w:rsid w:val="00E26D00"/>
    <w:rsid w:val="00E27D26"/>
    <w:rsid w:val="00E34F7D"/>
    <w:rsid w:val="00E437E5"/>
    <w:rsid w:val="00E5409F"/>
    <w:rsid w:val="00E54ADA"/>
    <w:rsid w:val="00E63704"/>
    <w:rsid w:val="00E7222D"/>
    <w:rsid w:val="00E75B50"/>
    <w:rsid w:val="00E81991"/>
    <w:rsid w:val="00E8326B"/>
    <w:rsid w:val="00E919C1"/>
    <w:rsid w:val="00E96C5F"/>
    <w:rsid w:val="00EA243B"/>
    <w:rsid w:val="00EB64BE"/>
    <w:rsid w:val="00EC623F"/>
    <w:rsid w:val="00EC7AFC"/>
    <w:rsid w:val="00ED1A81"/>
    <w:rsid w:val="00ED444F"/>
    <w:rsid w:val="00ED7DB4"/>
    <w:rsid w:val="00EE6488"/>
    <w:rsid w:val="00EF200D"/>
    <w:rsid w:val="00F021FA"/>
    <w:rsid w:val="00F054CC"/>
    <w:rsid w:val="00F127DB"/>
    <w:rsid w:val="00F135BF"/>
    <w:rsid w:val="00F136E3"/>
    <w:rsid w:val="00F1675A"/>
    <w:rsid w:val="00F16BC5"/>
    <w:rsid w:val="00F205F8"/>
    <w:rsid w:val="00F20C9B"/>
    <w:rsid w:val="00F21759"/>
    <w:rsid w:val="00F26ECA"/>
    <w:rsid w:val="00F31033"/>
    <w:rsid w:val="00F332D4"/>
    <w:rsid w:val="00F42EB4"/>
    <w:rsid w:val="00F62E97"/>
    <w:rsid w:val="00F63FA5"/>
    <w:rsid w:val="00F64209"/>
    <w:rsid w:val="00F7044A"/>
    <w:rsid w:val="00F719BD"/>
    <w:rsid w:val="00F71F6B"/>
    <w:rsid w:val="00F92517"/>
    <w:rsid w:val="00F93BF5"/>
    <w:rsid w:val="00FB016D"/>
    <w:rsid w:val="00FD2584"/>
    <w:rsid w:val="00FD2DFF"/>
    <w:rsid w:val="00FD763C"/>
    <w:rsid w:val="00FD7C25"/>
    <w:rsid w:val="00FE4E31"/>
    <w:rsid w:val="00FE65A2"/>
    <w:rsid w:val="00FE7B59"/>
    <w:rsid w:val="00FF19CF"/>
    <w:rsid w:val="00FF34AC"/>
    <w:rsid w:val="00FF4FA6"/>
    <w:rsid w:val="00FF61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F339627-EF44-4584-94AA-69FBD03C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1,Footnote Text Char Char1 Char Char Char Char,Footnote Text Char1 Char1,Footnote Text Char1 Char1 Char Char,Footnote Text Char2 Char1 Char Char Char,Footnote Text Char3,fn,ft"/>
    <w:link w:val="FootnoteTextChar1"/>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cosearchterm">
    <w:name w:val="co_searchterm"/>
    <w:basedOn w:val="DefaultParagraphFont"/>
    <w:rsid w:val="009818AE"/>
  </w:style>
  <w:style w:type="character" w:styleId="Emphasis">
    <w:name w:val="Emphasis"/>
    <w:uiPriority w:val="20"/>
    <w:qFormat/>
    <w:rsid w:val="00283D62"/>
    <w:rPr>
      <w:i/>
      <w:iCs/>
    </w:rPr>
  </w:style>
  <w:style w:type="character" w:customStyle="1" w:styleId="ParaNumChar1">
    <w:name w:val="ParaNum Char1"/>
    <w:link w:val="ParaNum"/>
    <w:locked/>
    <w:rsid w:val="00C762D9"/>
    <w:rPr>
      <w:snapToGrid w:val="0"/>
      <w:kern w:val="28"/>
      <w:sz w:val="22"/>
    </w:rPr>
  </w:style>
  <w:style w:type="character" w:customStyle="1" w:styleId="FootnoteTextChar1">
    <w:name w:val="Footnote Text Char1"/>
    <w:aliases w:val="ALTS FOOTNOTE Char,Footnote Text Char Char,Footnote Text Char Char Char1 Char,Footnote Text Char Char1 Char Char Char Char Char,Footnote Text Char1 Char1 Char,Footnote Text Char1 Char1 Char Char Char,Footnote Text Char3 Char,fn Char"/>
    <w:link w:val="FootnoteText"/>
    <w:rsid w:val="008E4A0D"/>
  </w:style>
  <w:style w:type="character" w:customStyle="1" w:styleId="costarpage">
    <w:name w:val="co_starpage"/>
    <w:basedOn w:val="DefaultParagraphFont"/>
    <w:rsid w:val="00EC623F"/>
  </w:style>
  <w:style w:type="paragraph" w:styleId="BalloonText">
    <w:name w:val="Balloon Text"/>
    <w:basedOn w:val="Normal"/>
    <w:link w:val="BalloonTextChar"/>
    <w:rsid w:val="008D7C9D"/>
    <w:rPr>
      <w:rFonts w:ascii="Segoe UI" w:hAnsi="Segoe UI" w:cs="Segoe UI"/>
      <w:sz w:val="18"/>
      <w:szCs w:val="18"/>
    </w:rPr>
  </w:style>
  <w:style w:type="character" w:customStyle="1" w:styleId="BalloonTextChar">
    <w:name w:val="Balloon Text Char"/>
    <w:link w:val="BalloonText"/>
    <w:rsid w:val="008D7C9D"/>
    <w:rPr>
      <w:rFonts w:ascii="Segoe UI" w:hAnsi="Segoe UI" w:cs="Segoe UI"/>
      <w:snapToGrid w:val="0"/>
      <w:kern w:val="28"/>
      <w:sz w:val="18"/>
      <w:szCs w:val="18"/>
    </w:rPr>
  </w:style>
  <w:style w:type="character" w:styleId="CommentReference">
    <w:name w:val="annotation reference"/>
    <w:rsid w:val="00C536CC"/>
    <w:rPr>
      <w:sz w:val="16"/>
      <w:szCs w:val="16"/>
    </w:rPr>
  </w:style>
  <w:style w:type="paragraph" w:styleId="CommentText">
    <w:name w:val="annotation text"/>
    <w:basedOn w:val="Normal"/>
    <w:link w:val="CommentTextChar"/>
    <w:rsid w:val="00C536CC"/>
    <w:rPr>
      <w:sz w:val="20"/>
    </w:rPr>
  </w:style>
  <w:style w:type="character" w:customStyle="1" w:styleId="CommentTextChar">
    <w:name w:val="Comment Text Char"/>
    <w:link w:val="CommentText"/>
    <w:rsid w:val="00C536CC"/>
    <w:rPr>
      <w:snapToGrid w:val="0"/>
      <w:kern w:val="28"/>
    </w:rPr>
  </w:style>
  <w:style w:type="paragraph" w:styleId="CommentSubject">
    <w:name w:val="annotation subject"/>
    <w:basedOn w:val="CommentText"/>
    <w:next w:val="CommentText"/>
    <w:link w:val="CommentSubjectChar"/>
    <w:rsid w:val="00C536CC"/>
    <w:rPr>
      <w:b/>
      <w:bCs/>
    </w:rPr>
  </w:style>
  <w:style w:type="character" w:customStyle="1" w:styleId="CommentSubjectChar">
    <w:name w:val="Comment Subject Char"/>
    <w:link w:val="CommentSubject"/>
    <w:rsid w:val="00C536CC"/>
    <w:rPr>
      <w:b/>
      <w:bCs/>
      <w:snapToGrid w:val="0"/>
      <w:kern w:val="28"/>
    </w:rPr>
  </w:style>
  <w:style w:type="paragraph" w:styleId="Revision">
    <w:name w:val="Revision"/>
    <w:hidden/>
    <w:uiPriority w:val="99"/>
    <w:semiHidden/>
    <w:rsid w:val="00F205F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1.next.westlaw.com/Link/Document/FullText?findType=L&amp;pubNum=1000547&amp;cite=47CFRS25.111&amp;originatingDoc=I77a75087765d11e9bbbcd57aa014637b&amp;refType=RB&amp;originationContext=document&amp;transitionType=DocumentItem&amp;contextData=(sc.Search)" TargetMode="External" /><Relationship Id="rId6" Type="http://schemas.openxmlformats.org/officeDocument/2006/relationships/hyperlink" Target="https://1.next.westlaw.com/Link/Document/FullText?findType=Y&amp;serNum=2046066375&amp;pubNum=0004493&amp;originatingDoc=Ic12e37ecb8f511e9b8aeecdeb6661cf4&amp;refType=CA&amp;originationContext=document&amp;transitionType=DocumentItem&amp;contextData=(sc.Search)" TargetMode="External" /><Relationship Id="rId7" Type="http://schemas.openxmlformats.org/officeDocument/2006/relationships/hyperlink" Target="https://1.next.westlaw.com/Link/Document/FullText?findType=L&amp;pubNum=1000547&amp;cite=47CFRS0.261&amp;originatingDoc=Ib64f5c852bde11dbbb4d83d7c3c3a165&amp;refType=LQ&amp;originationContext=document&amp;transitionType=DocumentItem&amp;contextData=(sc.Search)" TargetMode="External" /><Relationship Id="rId8" Type="http://schemas.openxmlformats.org/officeDocument/2006/relationships/hyperlink" Target="https://1.next.westlaw.com/Link/Document/FullText?findType=L&amp;pubNum=1000547&amp;cite=47CFRS1.106&amp;originatingDoc=Ib64f5c852bde11dbbb4d83d7c3c3a165&amp;refType=LQ&amp;originationContext=document&amp;transitionType=DocumentItem&amp;contextData=(sc.Search)" TargetMode="External" /><Relationship Id="rId9" Type="http://schemas.openxmlformats.org/officeDocument/2006/relationships/hyperlink" Target="https://1.next.westlaw.com/Link/Document/FullText?findType=L&amp;pubNum=1000547&amp;cite=47CFRS1.115&amp;originatingDoc=Ib64f5c852bde11dbbb4d83d7c3c3a165&amp;refType=LQ&amp;originationContext=document&amp;transitionType=DocumentItem&amp;contextData=(sc.Search)"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2004710915&amp;pubNum=0001016&amp;originatingDoc=I17d675c5443b11e8a7a8babcb3077f93&amp;refType=CA&amp;originationContext=document&amp;transitionType=DocumentItem&amp;contextData=(sc.Search)" TargetMode="External" /><Relationship Id="rId2" Type="http://schemas.openxmlformats.org/officeDocument/2006/relationships/hyperlink" Target="https://1.next.westlaw.com/Link/Document/FullText?findType=Y&amp;serNum=1997264529&amp;pubNum=0004493&amp;originatingDoc=I17d675c5443b11e8a7a8babcb3077f93&amp;refType=CA&amp;originationContext=document&amp;transitionType=DocumentItem&amp;contextData=(sc.Search)" TargetMode="External" /><Relationship Id="rId3" Type="http://schemas.openxmlformats.org/officeDocument/2006/relationships/hyperlink" Target="https://1.next.westlaw.com/Link/Document/FullText?findType=Y&amp;serNum=2015553869&amp;pubNum=0004493&amp;originatingDoc=I17d675c5443b11e8a7a8babcb3077f93&amp;refType=CA&amp;originationContext=document&amp;transitionType=DocumentItem&amp;contextData=(sc.Search)" TargetMode="External" /><Relationship Id="rId4" Type="http://schemas.openxmlformats.org/officeDocument/2006/relationships/hyperlink" Target="https://1.next.westlaw.com/Link/Document/FullText?findType=Y&amp;serNum=2015553869&amp;pubNum=0004493&amp;originatingDoc=I17d675c5443b11e8a7a8babcb3077f93&amp;refType=CA&amp;fi=co_pp_sp_4493_4812&amp;originationContext=document&amp;transitionType=DocumentItem&amp;contextData=(sc.Search)" TargetMode="External" /><Relationship Id="rId5" Type="http://schemas.openxmlformats.org/officeDocument/2006/relationships/hyperlink" Target="https://1.next.westlaw.com/Link/Document/FullText?findType=Y&amp;serNum=2046066375&amp;pubNum=0001016&amp;originatingDoc=I77a75087765d11e9bbbcd57aa014637b&amp;refType=CA&amp;originationContext=document&amp;transitionType=DocumentItem&amp;contextData=(sc.Search)" TargetMode="External" /><Relationship Id="rId6" Type="http://schemas.openxmlformats.org/officeDocument/2006/relationships/hyperlink" Target="https://1.next.westlaw.com/Link/Document/FullText?findType=Y&amp;serNum=2042762251&amp;pubNum=0004493&amp;originatingDoc=I50c568ce6b5f11e9ab27b3103407982a&amp;refType=CA&amp;fi=co_pp_sp_4493_7829&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