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Improving Wireless Emergency Alerts and Community-Initiated Alerting</w:t>
            </w:r>
          </w:p>
          <w:p w:rsidR="007F73A0" w:rsidP="007115F7">
            <w:pPr>
              <w:tabs>
                <w:tab w:val="center" w:pos="4680"/>
              </w:tabs>
              <w:suppressAutoHyphens/>
              <w:rPr>
                <w:spacing w:val="-2"/>
              </w:rPr>
            </w:pPr>
          </w:p>
          <w:p w:rsidR="007F73A0" w:rsidRPr="007115F7" w:rsidP="007115F7">
            <w:pPr>
              <w:tabs>
                <w:tab w:val="center" w:pos="4680"/>
              </w:tabs>
              <w:suppressAutoHyphens/>
              <w:rPr>
                <w:spacing w:val="-2"/>
              </w:rPr>
            </w:pPr>
            <w:r>
              <w:rPr>
                <w:spacing w:val="-2"/>
              </w:rPr>
              <w:t>Amendments to Part 11 of the Commission’s Rules Regarding the Emergency Alert System</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PS Docket No. 15-91</w:t>
            </w:r>
          </w:p>
          <w:p w:rsidR="007F73A0">
            <w:pPr>
              <w:tabs>
                <w:tab w:val="center" w:pos="4680"/>
              </w:tabs>
              <w:suppressAutoHyphens/>
              <w:rPr>
                <w:spacing w:val="-2"/>
              </w:rPr>
            </w:pPr>
          </w:p>
          <w:p w:rsidR="007F73A0">
            <w:pPr>
              <w:tabs>
                <w:tab w:val="center" w:pos="4680"/>
              </w:tabs>
              <w:suppressAutoHyphens/>
              <w:rPr>
                <w:spacing w:val="-2"/>
              </w:rPr>
            </w:pPr>
          </w:p>
          <w:p w:rsidR="007F73A0">
            <w:pPr>
              <w:tabs>
                <w:tab w:val="center" w:pos="4680"/>
              </w:tabs>
              <w:suppressAutoHyphens/>
              <w:rPr>
                <w:spacing w:val="-2"/>
              </w:rPr>
            </w:pPr>
            <w:r>
              <w:rPr>
                <w:spacing w:val="-2"/>
              </w:rPr>
              <w:t>PS Docket No. 15-94</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DA23D2" w:rsidRPr="00DA23D2" w:rsidP="00133F79">
      <w:pPr>
        <w:tabs>
          <w:tab w:val="left" w:pos="720"/>
          <w:tab w:val="right" w:pos="9360"/>
        </w:tabs>
        <w:suppressAutoHyphens/>
        <w:spacing w:line="227" w:lineRule="auto"/>
        <w:rPr>
          <w:b/>
          <w:spacing w:val="-2"/>
        </w:rPr>
      </w:pPr>
      <w:r>
        <w:rPr>
          <w:b/>
          <w:spacing w:val="-2"/>
        </w:rPr>
        <w:t xml:space="preserve">Adopted:  </w:t>
      </w:r>
      <w:r>
        <w:rPr>
          <w:b/>
          <w:spacing w:val="-2"/>
        </w:rPr>
        <w:t>October 21,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Pr>
          <w:b/>
          <w:spacing w:val="-2"/>
        </w:rPr>
        <w:t>October 21, 2019</w:t>
      </w:r>
    </w:p>
    <w:p w:rsidR="00822CE0"/>
    <w:p w:rsidR="004C2EE3">
      <w:pPr>
        <w:rPr>
          <w:spacing w:val="-2"/>
        </w:rPr>
      </w:pPr>
      <w:r>
        <w:t xml:space="preserve">By </w:t>
      </w:r>
      <w:r w:rsidR="004E4A22">
        <w:t>the</w:t>
      </w:r>
      <w:r w:rsidR="002A2D2E">
        <w:t xml:space="preserve"> </w:t>
      </w:r>
      <w:r w:rsidR="009F7A1C">
        <w:rPr>
          <w:spacing w:val="-2"/>
        </w:rPr>
        <w:t>Deputy Chief, Public Safety and Homeland Security Bureau</w:t>
      </w:r>
      <w:r>
        <w:rPr>
          <w:spacing w:val="-2"/>
        </w:rPr>
        <w:t>:</w:t>
      </w:r>
    </w:p>
    <w:p w:rsidR="00822CE0">
      <w:pPr>
        <w:rPr>
          <w:spacing w:val="-2"/>
        </w:rPr>
      </w:pPr>
    </w:p>
    <w:p w:rsidR="00412FC5" w:rsidP="00C36B4C">
      <w:pPr>
        <w:pStyle w:val="Heading1"/>
      </w:pPr>
      <w:r>
        <w:t>introduction</w:t>
      </w:r>
      <w:bookmarkStart w:id="0" w:name="_GoBack"/>
      <w:bookmarkEnd w:id="0"/>
    </w:p>
    <w:p w:rsidR="009F7A1C" w:rsidP="009F7A1C">
      <w:pPr>
        <w:pStyle w:val="ParaNum"/>
      </w:pPr>
      <w:r>
        <w:t>In this Order, the Public Safety and Homeland Security Bureau (Bureau) of the Federal Communications Commission (Commission) grants a limited waiver of the Commission’s Wireless Emergency Alerts (WEA) rules to permit Participating Commercial Mobile Service (CMS) Providers</w:t>
      </w:r>
      <w:r>
        <w:rPr>
          <w:rStyle w:val="FootnoteReference"/>
        </w:rPr>
        <w:footnoteReference w:id="3"/>
      </w:r>
      <w:r>
        <w:t xml:space="preserve"> to participate in an end-to-end WEA test that the City of Dallas, Texas, Office of Emergency Management (Dallas) proposes to conduct on November 2, 2019 at approximately 12:00 p.m. Central Daylight Time (CDT), in a targeted area surrounding Dallas Love Field Airport</w:t>
      </w:r>
      <w:r w:rsidR="00F40DA2">
        <w:t xml:space="preserve"> and a stretch of State Highway Loop 12 that runs adjacent to the north end of the tarmac</w:t>
      </w:r>
      <w:r>
        <w:t>.</w:t>
      </w:r>
      <w:r>
        <w:rPr>
          <w:rStyle w:val="FootnoteReference"/>
        </w:rPr>
        <w:footnoteReference w:id="4"/>
      </w:r>
      <w:r>
        <w:t xml:space="preserve">  For the reasons discussed below, we grant the Dallas request, subject to certain conditions. </w:t>
      </w:r>
    </w:p>
    <w:p w:rsidR="00B71F52" w:rsidP="00B71F52">
      <w:pPr>
        <w:pStyle w:val="Heading1"/>
      </w:pPr>
      <w:r>
        <w:t>background</w:t>
      </w:r>
    </w:p>
    <w:p w:rsidR="00B71F52" w:rsidRPr="00C72B7C" w:rsidP="00B71F52">
      <w:pPr>
        <w:pStyle w:val="ParaNum"/>
      </w:pPr>
      <w:r w:rsidRPr="00641BA8">
        <w:rPr>
          <w:szCs w:val="22"/>
        </w:rPr>
        <w:t>The WEA system allows authorized government entities to send geographically targeted emergency alerts to commercial wireless subscribers who have WEA-capable mobile devices, and whose commercial wireless service providers are Participating CMS Providers.</w:t>
      </w:r>
      <w:r>
        <w:rPr>
          <w:rStyle w:val="FootnoteReference"/>
          <w:sz w:val="22"/>
          <w:szCs w:val="22"/>
        </w:rPr>
        <w:footnoteReference w:id="5"/>
      </w:r>
      <w:r w:rsidRPr="00641BA8">
        <w:rPr>
          <w:szCs w:val="22"/>
        </w:rPr>
        <w:t xml:space="preserve">  The Commission’s rules prohibit use of the WEA Attention Signal except during actual emergencies, authorized tests, and certain public service announcements.</w:t>
      </w:r>
      <w:r>
        <w:rPr>
          <w:rStyle w:val="FootnoteReference"/>
          <w:sz w:val="22"/>
          <w:szCs w:val="22"/>
        </w:rPr>
        <w:footnoteReference w:id="6"/>
      </w:r>
      <w:r w:rsidRPr="00641BA8">
        <w:rPr>
          <w:szCs w:val="22"/>
        </w:rPr>
        <w:t xml:space="preserve">  Additionally, the Commission’s rules allow testing of WEA functionality </w:t>
      </w:r>
      <w:r w:rsidRPr="00641BA8">
        <w:rPr>
          <w:szCs w:val="22"/>
        </w:rPr>
        <w:t>only in limited circumstances that currently do not include end-to-end WEA tests to the public.</w:t>
      </w:r>
      <w:r>
        <w:rPr>
          <w:rStyle w:val="FootnoteReference"/>
          <w:sz w:val="22"/>
          <w:szCs w:val="22"/>
        </w:rPr>
        <w:footnoteReference w:id="7"/>
      </w:r>
      <w:r w:rsidRPr="00641BA8">
        <w:rPr>
          <w:szCs w:val="22"/>
        </w:rPr>
        <w:t xml:space="preserve">  On November 1, 2016, the Commission adopted a Report and Order that amends the WEA testing rules to permit emergency managers to conduct end-to-end WEA tests to the public to assess how WEA is working within their jurisdictions.</w:t>
      </w:r>
      <w:r>
        <w:rPr>
          <w:rStyle w:val="FootnoteReference"/>
          <w:sz w:val="22"/>
          <w:szCs w:val="22"/>
        </w:rPr>
        <w:footnoteReference w:id="8"/>
      </w:r>
      <w:r w:rsidRPr="00641BA8">
        <w:rPr>
          <w:szCs w:val="22"/>
        </w:rPr>
        <w:t xml:space="preserve">  The rules allowing such State/Local WEA Tests became effective on May 1, 2019,</w:t>
      </w:r>
      <w:r>
        <w:rPr>
          <w:rStyle w:val="FootnoteReference"/>
          <w:sz w:val="22"/>
          <w:szCs w:val="22"/>
        </w:rPr>
        <w:footnoteReference w:id="9"/>
      </w:r>
      <w:r w:rsidRPr="00641BA8">
        <w:rPr>
          <w:rStyle w:val="FootnoteReference"/>
          <w:sz w:val="22"/>
          <w:szCs w:val="22"/>
        </w:rPr>
        <w:t xml:space="preserve"> </w:t>
      </w:r>
      <w:r w:rsidRPr="00641BA8">
        <w:rPr>
          <w:szCs w:val="22"/>
        </w:rPr>
        <w:t>but the Department of Homeland Security’s Federal Emergency Management Agency (FEMA), which administers the Integrated Public Alert and Warning System (IPAWS) infrastructure through which all alerts are authenticated, validated, and delivered to Participating CMS Providers, has informed the Bureau that IPAWS will not be ready to support additional features, including State/Local WEA Tests, pending further necessary technical changes to IPAWS.</w:t>
      </w:r>
      <w:r>
        <w:rPr>
          <w:rStyle w:val="FootnoteReference"/>
          <w:sz w:val="22"/>
          <w:szCs w:val="22"/>
        </w:rPr>
        <w:footnoteReference w:id="10"/>
      </w:r>
      <w:r w:rsidRPr="00641BA8">
        <w:rPr>
          <w:szCs w:val="22"/>
        </w:rPr>
        <w:t xml:space="preserve">  Accordingly, alert originators wishing to conduct end-to-end WEA tests prior to IPAWS’s readiness to support State/Local WEA Tests must continue to request a waiver to use existing WEA message classifications to permit the alerts to be transmitted to the public.</w:t>
      </w:r>
    </w:p>
    <w:p w:rsidR="00C72B7C" w:rsidRPr="001C5361" w:rsidP="00B71F52">
      <w:pPr>
        <w:pStyle w:val="ParaNum"/>
      </w:pPr>
      <w:r w:rsidRPr="00911279">
        <w:rPr>
          <w:szCs w:val="22"/>
        </w:rPr>
        <w:t xml:space="preserve">The Dallas Letter requests a waiver of the Commission’s rules to allow Participating CMS Providers to participate in an </w:t>
      </w:r>
      <w:r w:rsidRPr="00911279" w:rsidR="00894BEF">
        <w:rPr>
          <w:szCs w:val="22"/>
        </w:rPr>
        <w:t>end-to-end WEA test on Saturday, November 2, 2019, at approximately 12:00 p.m. CDT.</w:t>
      </w:r>
      <w:r>
        <w:rPr>
          <w:rStyle w:val="FootnoteReference"/>
          <w:szCs w:val="22"/>
        </w:rPr>
        <w:footnoteReference w:id="11"/>
      </w:r>
      <w:r w:rsidRPr="00911279" w:rsidR="00894BEF">
        <w:rPr>
          <w:szCs w:val="22"/>
        </w:rPr>
        <w:t xml:space="preserve">  This proposed test is scheduled in conjunction with a Federal Aviation Administration-mandated, full-scale </w:t>
      </w:r>
      <w:r w:rsidRPr="00911279" w:rsidR="00911279">
        <w:rPr>
          <w:szCs w:val="22"/>
        </w:rPr>
        <w:t xml:space="preserve">training </w:t>
      </w:r>
      <w:r w:rsidRPr="00911279" w:rsidR="00894BEF">
        <w:rPr>
          <w:szCs w:val="22"/>
        </w:rPr>
        <w:t>exercise at Dallas Love Field Airport, in which an aircraft crash will be simulated.</w:t>
      </w:r>
      <w:r>
        <w:rPr>
          <w:rStyle w:val="FootnoteReference"/>
          <w:szCs w:val="22"/>
        </w:rPr>
        <w:footnoteReference w:id="12"/>
      </w:r>
      <w:r w:rsidRPr="00911279" w:rsidR="00894BEF">
        <w:rPr>
          <w:szCs w:val="22"/>
        </w:rPr>
        <w:t xml:space="preserve">  </w:t>
      </w:r>
      <w:r w:rsidR="00911279">
        <w:rPr>
          <w:szCs w:val="22"/>
        </w:rPr>
        <w:t>As a component of the training exercise, t</w:t>
      </w:r>
      <w:r w:rsidRPr="00911279" w:rsidR="00984CB0">
        <w:rPr>
          <w:szCs w:val="22"/>
        </w:rPr>
        <w:t xml:space="preserve">he </w:t>
      </w:r>
      <w:r w:rsidRPr="00911279" w:rsidR="00911279">
        <w:rPr>
          <w:szCs w:val="22"/>
        </w:rPr>
        <w:t xml:space="preserve">proposed WEA test </w:t>
      </w:r>
      <w:r w:rsidR="00911279">
        <w:rPr>
          <w:szCs w:val="22"/>
        </w:rPr>
        <w:t>would occur five to ten minutes prior to the beginning of the exercise, which includes a simulation plane crash on the</w:t>
      </w:r>
      <w:r w:rsidR="00156F60">
        <w:rPr>
          <w:szCs w:val="22"/>
        </w:rPr>
        <w:t xml:space="preserve"> </w:t>
      </w:r>
      <w:r w:rsidR="00911279">
        <w:rPr>
          <w:szCs w:val="22"/>
        </w:rPr>
        <w:t>tarmac and the deployment of several hundred first responders to the scene</w:t>
      </w:r>
      <w:r w:rsidR="00C34494">
        <w:rPr>
          <w:szCs w:val="22"/>
        </w:rPr>
        <w:t>, and will be visible from within the terminal</w:t>
      </w:r>
      <w:r w:rsidR="00572F79">
        <w:rPr>
          <w:szCs w:val="22"/>
        </w:rPr>
        <w:t xml:space="preserve"> and a portion of the state highway</w:t>
      </w:r>
      <w:r w:rsidR="00911279">
        <w:rPr>
          <w:szCs w:val="22"/>
        </w:rPr>
        <w:t>.</w:t>
      </w:r>
      <w:r>
        <w:rPr>
          <w:rStyle w:val="FootnoteReference"/>
          <w:szCs w:val="22"/>
        </w:rPr>
        <w:footnoteReference w:id="13"/>
      </w:r>
      <w:r w:rsidR="00911279">
        <w:rPr>
          <w:szCs w:val="22"/>
        </w:rPr>
        <w:t xml:space="preserve"> </w:t>
      </w:r>
      <w:r w:rsidR="009B5994">
        <w:rPr>
          <w:szCs w:val="22"/>
        </w:rPr>
        <w:t xml:space="preserve"> </w:t>
      </w:r>
      <w:r w:rsidR="00F83BC8">
        <w:rPr>
          <w:szCs w:val="22"/>
        </w:rPr>
        <w:t>The Dallas Letter notes that the City of Dallas “faces a wide variety of hazards that threaten our residents and guests.  While many of these hazards are natural, we must also prepare for man-made/technical disasters” such as an aircraft emergency.</w:t>
      </w:r>
      <w:r>
        <w:rPr>
          <w:rStyle w:val="FootnoteReference"/>
          <w:szCs w:val="22"/>
        </w:rPr>
        <w:footnoteReference w:id="14"/>
      </w:r>
      <w:r w:rsidR="00F83BC8">
        <w:rPr>
          <w:szCs w:val="22"/>
        </w:rPr>
        <w:t xml:space="preserve">  Furthermore, a</w:t>
      </w:r>
      <w:r w:rsidR="009B5994">
        <w:rPr>
          <w:szCs w:val="22"/>
        </w:rPr>
        <w:t xml:space="preserve">ccording to the Dallas Letter, </w:t>
      </w:r>
      <w:r w:rsidR="001C5361">
        <w:rPr>
          <w:szCs w:val="22"/>
        </w:rPr>
        <w:t>“[c]</w:t>
      </w:r>
      <w:r w:rsidR="001C5361">
        <w:rPr>
          <w:szCs w:val="22"/>
        </w:rPr>
        <w:t>onsidering</w:t>
      </w:r>
      <w:r w:rsidR="001C5361">
        <w:rPr>
          <w:szCs w:val="22"/>
        </w:rPr>
        <w:t xml:space="preserve"> the inherently transient nature of the airport </w:t>
      </w:r>
      <w:r w:rsidR="00156F60">
        <w:rPr>
          <w:szCs w:val="22"/>
        </w:rPr>
        <w:t xml:space="preserve">and highway </w:t>
      </w:r>
      <w:r w:rsidR="001C5361">
        <w:rPr>
          <w:szCs w:val="22"/>
        </w:rPr>
        <w:t>population, we believe that it is in the public’s interest that a WEA be sent to inform the public that there is no real-life emergency occurring</w:t>
      </w:r>
      <w:r w:rsidR="00156F60">
        <w:rPr>
          <w:szCs w:val="22"/>
        </w:rPr>
        <w:t xml:space="preserve">,” </w:t>
      </w:r>
      <w:r w:rsidR="001C5361">
        <w:rPr>
          <w:szCs w:val="22"/>
        </w:rPr>
        <w:t>coupled with the fact that the test gives the City of Dallas, as alert originators, an opportunity to collect data on how effective a WEA message is in an airport setting.</w:t>
      </w:r>
      <w:r>
        <w:rPr>
          <w:rStyle w:val="FootnoteReference"/>
          <w:szCs w:val="22"/>
        </w:rPr>
        <w:footnoteReference w:id="15"/>
      </w:r>
    </w:p>
    <w:p w:rsidR="001C5361" w:rsidRPr="0076645F" w:rsidP="00F83BC8">
      <w:pPr>
        <w:pStyle w:val="ParaNum"/>
        <w:widowControl/>
      </w:pPr>
      <w:r>
        <w:rPr>
          <w:szCs w:val="22"/>
        </w:rPr>
        <w:t>The proposed WEA end-to-end test will be distributed within a targeted polygon surrounding the property of Dallas Love Field Airport</w:t>
      </w:r>
      <w:r w:rsidR="00F40DA2">
        <w:rPr>
          <w:szCs w:val="22"/>
        </w:rPr>
        <w:t xml:space="preserve"> and the area of State Highway Loop 12 that runs adjacent to the north end of the tarmac</w:t>
      </w:r>
      <w:r>
        <w:rPr>
          <w:szCs w:val="22"/>
        </w:rPr>
        <w:t>.</w:t>
      </w:r>
      <w:r>
        <w:rPr>
          <w:rStyle w:val="FootnoteReference"/>
          <w:szCs w:val="22"/>
        </w:rPr>
        <w:footnoteReference w:id="16"/>
      </w:r>
      <w:r w:rsidR="00B94FCC">
        <w:rPr>
          <w:szCs w:val="22"/>
        </w:rPr>
        <w:t xml:space="preserve">  The proposed WEA test to be delivered to mobile devices would be</w:t>
      </w:r>
      <w:r w:rsidR="00B94FCC">
        <w:rPr>
          <w:szCs w:val="22"/>
        </w:rPr>
        <w:t>:  “</w:t>
      </w:r>
      <w:r w:rsidR="00B94FCC">
        <w:rPr>
          <w:szCs w:val="22"/>
        </w:rPr>
        <w:t xml:space="preserve">Training exercise at Love Field today. Test only. No need for alarm. Info: </w:t>
      </w:r>
      <w:r w:rsidRPr="00B94FCC" w:rsidR="00B94FCC">
        <w:rPr>
          <w:szCs w:val="22"/>
        </w:rPr>
        <w:t>bit.ly/2Mlx1yx”.</w:t>
      </w:r>
      <w:r>
        <w:rPr>
          <w:rStyle w:val="FootnoteReference"/>
          <w:szCs w:val="22"/>
        </w:rPr>
        <w:footnoteReference w:id="17"/>
      </w:r>
      <w:r w:rsidRPr="00B94FCC" w:rsidR="00B94FCC">
        <w:rPr>
          <w:szCs w:val="22"/>
        </w:rPr>
        <w:t xml:space="preserve">  </w:t>
      </w:r>
      <w:r w:rsidR="004F7500">
        <w:rPr>
          <w:szCs w:val="22"/>
        </w:rPr>
        <w:t xml:space="preserve">The test message includes </w:t>
      </w:r>
      <w:r w:rsidR="00D42443">
        <w:rPr>
          <w:szCs w:val="22"/>
        </w:rPr>
        <w:t>a link to a webpage with additional information about the exercise, as well as a brief survey</w:t>
      </w:r>
      <w:r w:rsidR="0076645F">
        <w:rPr>
          <w:szCs w:val="22"/>
        </w:rPr>
        <w:t xml:space="preserve"> for the public to submit feedback to the test.</w:t>
      </w:r>
      <w:r>
        <w:rPr>
          <w:rStyle w:val="FootnoteReference"/>
          <w:szCs w:val="22"/>
        </w:rPr>
        <w:footnoteReference w:id="18"/>
      </w:r>
      <w:r w:rsidR="0076645F">
        <w:rPr>
          <w:szCs w:val="22"/>
        </w:rPr>
        <w:t xml:space="preserve">  </w:t>
      </w:r>
      <w:r w:rsidR="00136659">
        <w:rPr>
          <w:szCs w:val="22"/>
        </w:rPr>
        <w:t>Dallas notes that it will utilize other notification methods, such as terminal announcements, messages on flight information displays, social media, and dynamic roadway signs, to disseminate information about the exercise in addition to WEA, which represents the tools Dallas may use in a real emergency.</w:t>
      </w:r>
      <w:r>
        <w:rPr>
          <w:rStyle w:val="FootnoteReference"/>
          <w:szCs w:val="22"/>
        </w:rPr>
        <w:footnoteReference w:id="19"/>
      </w:r>
      <w:r w:rsidR="00136659">
        <w:rPr>
          <w:szCs w:val="22"/>
        </w:rPr>
        <w:t xml:space="preserve">  </w:t>
      </w:r>
      <w:r w:rsidR="0076645F">
        <w:rPr>
          <w:szCs w:val="22"/>
        </w:rPr>
        <w:t>This is the second live test of WEA for Dallas and is not intended to be a substitute for other scheduled WEA tests.</w:t>
      </w:r>
      <w:r>
        <w:rPr>
          <w:rStyle w:val="FootnoteReference"/>
          <w:szCs w:val="22"/>
        </w:rPr>
        <w:footnoteReference w:id="20"/>
      </w:r>
      <w:r w:rsidR="00F83BC8">
        <w:rPr>
          <w:szCs w:val="22"/>
        </w:rPr>
        <w:t xml:space="preserve">  Additionally, Dallas has conducted several tests in the IPAWS Lab and plans to conduct an additional test prior to the proposed WEA test.</w:t>
      </w:r>
      <w:r>
        <w:rPr>
          <w:rStyle w:val="FootnoteReference"/>
          <w:szCs w:val="22"/>
        </w:rPr>
        <w:footnoteReference w:id="21"/>
      </w:r>
    </w:p>
    <w:p w:rsidR="0076645F" w:rsidRPr="00053F2E" w:rsidP="00B71F52">
      <w:pPr>
        <w:pStyle w:val="ParaNum"/>
      </w:pPr>
      <w:r>
        <w:rPr>
          <w:szCs w:val="22"/>
        </w:rPr>
        <w:t xml:space="preserve">The Dallas Letter </w:t>
      </w:r>
      <w:r w:rsidR="00F23110">
        <w:rPr>
          <w:szCs w:val="22"/>
        </w:rPr>
        <w:t>outlines a “robust public information campaign” to inform the public about the WEA test and the airport exercise.</w:t>
      </w:r>
      <w:r>
        <w:rPr>
          <w:rStyle w:val="FootnoteReference"/>
          <w:szCs w:val="22"/>
        </w:rPr>
        <w:footnoteReference w:id="22"/>
      </w:r>
      <w:r w:rsidR="00F23110">
        <w:rPr>
          <w:szCs w:val="22"/>
        </w:rPr>
        <w:t xml:space="preserve">  </w:t>
      </w:r>
      <w:r w:rsidR="00C7761C">
        <w:rPr>
          <w:szCs w:val="22"/>
        </w:rPr>
        <w:t>According to the Dallas Letter, the campaign will be distributed to Public Information Officers in surrounding jurisdictions and all Dallas-Fort Worth media outlets, including daily newspaper, radio, and television outlets, as well as posted on social media.</w:t>
      </w:r>
      <w:r>
        <w:rPr>
          <w:rStyle w:val="FootnoteReference"/>
          <w:szCs w:val="22"/>
        </w:rPr>
        <w:footnoteReference w:id="23"/>
      </w:r>
      <w:r w:rsidR="00C7761C">
        <w:rPr>
          <w:szCs w:val="22"/>
        </w:rPr>
        <w:t xml:space="preserve">  </w:t>
      </w:r>
      <w:r w:rsidR="00F83BC8">
        <w:rPr>
          <w:szCs w:val="22"/>
        </w:rPr>
        <w:t xml:space="preserve">The Dallas Letter notes that “outreach material </w:t>
      </w:r>
      <w:r w:rsidRPr="00F83BC8" w:rsidR="00F83BC8">
        <w:rPr>
          <w:szCs w:val="22"/>
        </w:rPr>
        <w:t>will address that the WEA test is, in fact, only a test; that mobile devices in the area surrounding the targeted area may also receive the WEA test; and, that there is a possibility for the public to receive duplicate WEA messages</w:t>
      </w:r>
      <w:r w:rsidR="00F83BC8">
        <w:rPr>
          <w:szCs w:val="22"/>
        </w:rPr>
        <w:t>.”</w:t>
      </w:r>
      <w:r>
        <w:rPr>
          <w:rStyle w:val="FootnoteReference"/>
          <w:szCs w:val="22"/>
        </w:rPr>
        <w:footnoteReference w:id="24"/>
      </w:r>
      <w:r w:rsidR="00F83BC8">
        <w:rPr>
          <w:szCs w:val="22"/>
        </w:rPr>
        <w:t xml:space="preserve">  </w:t>
      </w:r>
      <w:r w:rsidR="0011588F">
        <w:rPr>
          <w:szCs w:val="22"/>
        </w:rPr>
        <w:t>Additionally, the Dallas Letter states that Dallas “will also coordinate</w:t>
      </w:r>
      <w:r w:rsidR="00053F2E">
        <w:rPr>
          <w:szCs w:val="22"/>
        </w:rPr>
        <w:t xml:space="preserve"> information about the test with the Participating CMS Providers that operate within the City of Dallas, and all emergency authorities that operate within the City of Dallas, including police, fire, and 911 public safety answering points [PSAPs].”</w:t>
      </w:r>
      <w:r>
        <w:rPr>
          <w:rStyle w:val="FootnoteReference"/>
          <w:szCs w:val="22"/>
        </w:rPr>
        <w:footnoteReference w:id="25"/>
      </w:r>
    </w:p>
    <w:p w:rsidR="00053F2E" w:rsidP="00053F2E">
      <w:pPr>
        <w:pStyle w:val="Heading1"/>
      </w:pPr>
      <w:r>
        <w:t>discussion</w:t>
      </w:r>
    </w:p>
    <w:p w:rsidR="00053F2E" w:rsidRPr="008A2307" w:rsidP="00053F2E">
      <w:pPr>
        <w:pStyle w:val="ParaNum"/>
      </w:pPr>
      <w:r w:rsidRPr="00641BA8">
        <w:rPr>
          <w:szCs w:val="22"/>
        </w:rPr>
        <w:t>A provision of the Commission’s rules “may</w:t>
      </w:r>
      <w:r w:rsidRPr="00641BA8">
        <w:rPr>
          <w:spacing w:val="-5"/>
          <w:szCs w:val="22"/>
        </w:rPr>
        <w:t xml:space="preserve"> </w:t>
      </w:r>
      <w:r w:rsidRPr="00641BA8">
        <w:rPr>
          <w:szCs w:val="22"/>
        </w:rPr>
        <w:t>be</w:t>
      </w:r>
      <w:r w:rsidRPr="00641BA8">
        <w:rPr>
          <w:spacing w:val="-5"/>
          <w:szCs w:val="22"/>
        </w:rPr>
        <w:t xml:space="preserve"> </w:t>
      </w:r>
      <w:r w:rsidRPr="00641BA8">
        <w:rPr>
          <w:spacing w:val="-1"/>
          <w:szCs w:val="22"/>
        </w:rPr>
        <w:t>waived</w:t>
      </w:r>
      <w:r w:rsidRPr="00641BA8">
        <w:rPr>
          <w:spacing w:val="-4"/>
          <w:szCs w:val="22"/>
        </w:rPr>
        <w:t xml:space="preserve"> </w:t>
      </w:r>
      <w:r w:rsidRPr="00641BA8">
        <w:rPr>
          <w:szCs w:val="22"/>
        </w:rPr>
        <w:t>by</w:t>
      </w:r>
      <w:r w:rsidRPr="00641BA8">
        <w:rPr>
          <w:spacing w:val="-4"/>
          <w:szCs w:val="22"/>
        </w:rPr>
        <w:t xml:space="preserve"> </w:t>
      </w:r>
      <w:r w:rsidRPr="00641BA8">
        <w:rPr>
          <w:szCs w:val="22"/>
        </w:rPr>
        <w:t>the</w:t>
      </w:r>
      <w:r w:rsidRPr="00641BA8">
        <w:rPr>
          <w:spacing w:val="-4"/>
          <w:szCs w:val="22"/>
        </w:rPr>
        <w:t xml:space="preserve"> </w:t>
      </w:r>
      <w:r w:rsidRPr="00641BA8">
        <w:rPr>
          <w:spacing w:val="-1"/>
          <w:szCs w:val="22"/>
        </w:rPr>
        <w:t>Commission</w:t>
      </w:r>
      <w:r w:rsidRPr="00641BA8">
        <w:rPr>
          <w:spacing w:val="-4"/>
          <w:szCs w:val="22"/>
        </w:rPr>
        <w:t xml:space="preserve"> </w:t>
      </w:r>
      <w:r w:rsidRPr="00641BA8">
        <w:rPr>
          <w:szCs w:val="22"/>
        </w:rPr>
        <w:t>on</w:t>
      </w:r>
      <w:r w:rsidRPr="00641BA8">
        <w:rPr>
          <w:spacing w:val="-4"/>
          <w:szCs w:val="22"/>
        </w:rPr>
        <w:t xml:space="preserve"> </w:t>
      </w:r>
      <w:r w:rsidRPr="00641BA8">
        <w:rPr>
          <w:szCs w:val="22"/>
        </w:rPr>
        <w:t>its</w:t>
      </w:r>
      <w:r w:rsidRPr="00641BA8">
        <w:rPr>
          <w:spacing w:val="-4"/>
          <w:szCs w:val="22"/>
        </w:rPr>
        <w:t xml:space="preserve"> </w:t>
      </w:r>
      <w:r w:rsidRPr="00641BA8">
        <w:rPr>
          <w:szCs w:val="22"/>
        </w:rPr>
        <w:t>own</w:t>
      </w:r>
      <w:r w:rsidRPr="00641BA8">
        <w:rPr>
          <w:spacing w:val="27"/>
          <w:szCs w:val="22"/>
        </w:rPr>
        <w:t xml:space="preserve"> </w:t>
      </w:r>
      <w:r w:rsidRPr="00641BA8">
        <w:rPr>
          <w:spacing w:val="-1"/>
          <w:szCs w:val="22"/>
        </w:rPr>
        <w:t>motion</w:t>
      </w:r>
      <w:r w:rsidRPr="00641BA8">
        <w:rPr>
          <w:spacing w:val="-3"/>
          <w:szCs w:val="22"/>
        </w:rPr>
        <w:t xml:space="preserve"> </w:t>
      </w:r>
      <w:r w:rsidRPr="00641BA8">
        <w:rPr>
          <w:szCs w:val="22"/>
        </w:rPr>
        <w:t>or</w:t>
      </w:r>
      <w:r w:rsidRPr="00641BA8">
        <w:rPr>
          <w:spacing w:val="-3"/>
          <w:szCs w:val="22"/>
        </w:rPr>
        <w:t xml:space="preserve"> </w:t>
      </w:r>
      <w:r w:rsidRPr="00641BA8">
        <w:rPr>
          <w:szCs w:val="22"/>
        </w:rPr>
        <w:t>on</w:t>
      </w:r>
      <w:r w:rsidRPr="00641BA8">
        <w:rPr>
          <w:spacing w:val="-3"/>
          <w:szCs w:val="22"/>
        </w:rPr>
        <w:t xml:space="preserve"> </w:t>
      </w:r>
      <w:r w:rsidRPr="00641BA8">
        <w:rPr>
          <w:szCs w:val="22"/>
        </w:rPr>
        <w:t>petition</w:t>
      </w:r>
      <w:r w:rsidRPr="00641BA8">
        <w:rPr>
          <w:spacing w:val="-3"/>
          <w:szCs w:val="22"/>
        </w:rPr>
        <w:t xml:space="preserve"> </w:t>
      </w:r>
      <w:r w:rsidRPr="00641BA8">
        <w:rPr>
          <w:spacing w:val="-1"/>
          <w:szCs w:val="22"/>
        </w:rPr>
        <w:t>if</w:t>
      </w:r>
      <w:r w:rsidRPr="00641BA8">
        <w:rPr>
          <w:spacing w:val="-3"/>
          <w:szCs w:val="22"/>
        </w:rPr>
        <w:t xml:space="preserve"> </w:t>
      </w:r>
      <w:r w:rsidRPr="00641BA8">
        <w:rPr>
          <w:szCs w:val="22"/>
        </w:rPr>
        <w:t>good</w:t>
      </w:r>
      <w:r w:rsidRPr="00641BA8">
        <w:rPr>
          <w:spacing w:val="-2"/>
          <w:szCs w:val="22"/>
        </w:rPr>
        <w:t xml:space="preserve"> </w:t>
      </w:r>
      <w:r w:rsidRPr="00641BA8">
        <w:rPr>
          <w:szCs w:val="22"/>
        </w:rPr>
        <w:t>cause</w:t>
      </w:r>
      <w:r w:rsidRPr="00641BA8">
        <w:rPr>
          <w:spacing w:val="-4"/>
          <w:szCs w:val="22"/>
        </w:rPr>
        <w:t xml:space="preserve"> </w:t>
      </w:r>
      <w:r w:rsidRPr="00641BA8">
        <w:rPr>
          <w:szCs w:val="22"/>
        </w:rPr>
        <w:t>therefor</w:t>
      </w:r>
      <w:r w:rsidRPr="00641BA8">
        <w:rPr>
          <w:spacing w:val="-4"/>
          <w:szCs w:val="22"/>
        </w:rPr>
        <w:t xml:space="preserve"> </w:t>
      </w:r>
      <w:r w:rsidRPr="00641BA8">
        <w:rPr>
          <w:spacing w:val="-1"/>
          <w:szCs w:val="22"/>
        </w:rPr>
        <w:t>is</w:t>
      </w:r>
      <w:r w:rsidRPr="00641BA8">
        <w:rPr>
          <w:spacing w:val="-3"/>
          <w:szCs w:val="22"/>
        </w:rPr>
        <w:t xml:space="preserve"> </w:t>
      </w:r>
      <w:r w:rsidRPr="00641BA8">
        <w:rPr>
          <w:spacing w:val="-1"/>
          <w:szCs w:val="22"/>
        </w:rPr>
        <w:t>shown.”</w:t>
      </w:r>
      <w:r>
        <w:rPr>
          <w:rStyle w:val="FootnoteReference"/>
          <w:spacing w:val="-1"/>
          <w:sz w:val="22"/>
          <w:szCs w:val="22"/>
        </w:rPr>
        <w:footnoteReference w:id="26"/>
      </w:r>
      <w:r w:rsidRPr="00641BA8">
        <w:rPr>
          <w:szCs w:val="22"/>
        </w:rPr>
        <w:t xml:space="preserve">  The</w:t>
      </w:r>
      <w:r w:rsidRPr="00641BA8">
        <w:rPr>
          <w:spacing w:val="-4"/>
          <w:szCs w:val="22"/>
        </w:rPr>
        <w:t xml:space="preserve"> </w:t>
      </w:r>
      <w:r w:rsidRPr="00641BA8">
        <w:rPr>
          <w:szCs w:val="22"/>
        </w:rPr>
        <w:t>Commission</w:t>
      </w:r>
      <w:r w:rsidRPr="00641BA8">
        <w:rPr>
          <w:spacing w:val="-3"/>
          <w:szCs w:val="22"/>
        </w:rPr>
        <w:t xml:space="preserve"> </w:t>
      </w:r>
      <w:r w:rsidRPr="00641BA8">
        <w:rPr>
          <w:szCs w:val="22"/>
        </w:rPr>
        <w:t>may</w:t>
      </w:r>
      <w:r w:rsidRPr="00641BA8">
        <w:rPr>
          <w:spacing w:val="-4"/>
          <w:szCs w:val="22"/>
        </w:rPr>
        <w:t xml:space="preserve"> </w:t>
      </w:r>
      <w:r w:rsidRPr="00641BA8">
        <w:rPr>
          <w:szCs w:val="22"/>
        </w:rPr>
        <w:t>find</w:t>
      </w:r>
      <w:r w:rsidRPr="00641BA8">
        <w:rPr>
          <w:spacing w:val="-3"/>
          <w:szCs w:val="22"/>
        </w:rPr>
        <w:t xml:space="preserve"> </w:t>
      </w:r>
      <w:r w:rsidRPr="00641BA8">
        <w:rPr>
          <w:szCs w:val="22"/>
        </w:rPr>
        <w:t>good</w:t>
      </w:r>
      <w:r w:rsidRPr="00641BA8">
        <w:rPr>
          <w:spacing w:val="-2"/>
          <w:szCs w:val="22"/>
        </w:rPr>
        <w:t xml:space="preserve"> </w:t>
      </w:r>
      <w:r w:rsidRPr="00641BA8">
        <w:rPr>
          <w:szCs w:val="22"/>
        </w:rPr>
        <w:t>cause to extend</w:t>
      </w:r>
      <w:r w:rsidRPr="00641BA8">
        <w:rPr>
          <w:spacing w:val="-6"/>
          <w:szCs w:val="22"/>
        </w:rPr>
        <w:t xml:space="preserve"> </w:t>
      </w:r>
      <w:r w:rsidRPr="00641BA8">
        <w:rPr>
          <w:szCs w:val="22"/>
        </w:rPr>
        <w:t>a</w:t>
      </w:r>
      <w:r w:rsidRPr="00641BA8">
        <w:rPr>
          <w:spacing w:val="-7"/>
          <w:szCs w:val="22"/>
        </w:rPr>
        <w:t xml:space="preserve"> </w:t>
      </w:r>
      <w:r w:rsidRPr="00641BA8">
        <w:rPr>
          <w:spacing w:val="-1"/>
          <w:szCs w:val="22"/>
        </w:rPr>
        <w:t>waiver</w:t>
      </w:r>
      <w:r w:rsidRPr="00641BA8">
        <w:rPr>
          <w:spacing w:val="-6"/>
          <w:szCs w:val="22"/>
        </w:rPr>
        <w:t xml:space="preserve">, </w:t>
      </w:r>
      <w:r w:rsidRPr="00641BA8">
        <w:rPr>
          <w:szCs w:val="22"/>
        </w:rPr>
        <w:t>“if</w:t>
      </w:r>
      <w:r w:rsidRPr="00641BA8">
        <w:rPr>
          <w:spacing w:val="-6"/>
          <w:szCs w:val="22"/>
        </w:rPr>
        <w:t xml:space="preserve"> </w:t>
      </w:r>
      <w:r w:rsidRPr="00641BA8">
        <w:rPr>
          <w:spacing w:val="-1"/>
          <w:szCs w:val="22"/>
        </w:rPr>
        <w:t>special</w:t>
      </w:r>
      <w:r w:rsidRPr="00641BA8">
        <w:rPr>
          <w:spacing w:val="-5"/>
          <w:szCs w:val="22"/>
        </w:rPr>
        <w:t xml:space="preserve"> </w:t>
      </w:r>
      <w:r w:rsidRPr="00641BA8">
        <w:rPr>
          <w:szCs w:val="22"/>
        </w:rPr>
        <w:t>circumstances</w:t>
      </w:r>
      <w:r w:rsidRPr="00641BA8">
        <w:rPr>
          <w:spacing w:val="-5"/>
          <w:szCs w:val="22"/>
        </w:rPr>
        <w:t xml:space="preserve"> </w:t>
      </w:r>
      <w:r w:rsidRPr="00641BA8">
        <w:rPr>
          <w:spacing w:val="-1"/>
          <w:szCs w:val="22"/>
        </w:rPr>
        <w:t>warrant</w:t>
      </w:r>
      <w:r w:rsidRPr="00641BA8">
        <w:rPr>
          <w:spacing w:val="-5"/>
          <w:szCs w:val="22"/>
        </w:rPr>
        <w:t xml:space="preserve"> </w:t>
      </w:r>
      <w:r w:rsidRPr="00641BA8">
        <w:rPr>
          <w:szCs w:val="22"/>
        </w:rPr>
        <w:t>a</w:t>
      </w:r>
      <w:r w:rsidRPr="00641BA8">
        <w:rPr>
          <w:spacing w:val="-5"/>
          <w:szCs w:val="22"/>
        </w:rPr>
        <w:t xml:space="preserve"> </w:t>
      </w:r>
      <w:r w:rsidRPr="00641BA8">
        <w:rPr>
          <w:spacing w:val="-1"/>
          <w:szCs w:val="22"/>
        </w:rPr>
        <w:t>deviation</w:t>
      </w:r>
      <w:r w:rsidRPr="00641BA8">
        <w:rPr>
          <w:spacing w:val="-6"/>
          <w:szCs w:val="22"/>
        </w:rPr>
        <w:t xml:space="preserve"> </w:t>
      </w:r>
      <w:r w:rsidRPr="00641BA8">
        <w:rPr>
          <w:szCs w:val="22"/>
        </w:rPr>
        <w:t>from</w:t>
      </w:r>
      <w:r w:rsidRPr="00641BA8">
        <w:rPr>
          <w:spacing w:val="-5"/>
          <w:szCs w:val="22"/>
        </w:rPr>
        <w:t xml:space="preserve"> </w:t>
      </w:r>
      <w:r w:rsidRPr="00641BA8">
        <w:rPr>
          <w:szCs w:val="22"/>
        </w:rPr>
        <w:t>the</w:t>
      </w:r>
      <w:r w:rsidRPr="00641BA8">
        <w:rPr>
          <w:spacing w:val="-6"/>
          <w:szCs w:val="22"/>
        </w:rPr>
        <w:t xml:space="preserve"> </w:t>
      </w:r>
      <w:r w:rsidRPr="00641BA8">
        <w:rPr>
          <w:szCs w:val="22"/>
        </w:rPr>
        <w:t>general</w:t>
      </w:r>
      <w:r w:rsidRPr="00641BA8">
        <w:rPr>
          <w:spacing w:val="-5"/>
          <w:szCs w:val="22"/>
        </w:rPr>
        <w:t xml:space="preserve"> </w:t>
      </w:r>
      <w:r w:rsidRPr="00641BA8">
        <w:rPr>
          <w:szCs w:val="22"/>
        </w:rPr>
        <w:t>rule</w:t>
      </w:r>
      <w:r w:rsidRPr="00641BA8">
        <w:rPr>
          <w:spacing w:val="-5"/>
          <w:szCs w:val="22"/>
        </w:rPr>
        <w:t xml:space="preserve"> </w:t>
      </w:r>
      <w:r w:rsidRPr="00641BA8">
        <w:rPr>
          <w:spacing w:val="-1"/>
          <w:szCs w:val="22"/>
        </w:rPr>
        <w:t>and</w:t>
      </w:r>
      <w:r w:rsidRPr="00641BA8">
        <w:rPr>
          <w:spacing w:val="-5"/>
          <w:szCs w:val="22"/>
        </w:rPr>
        <w:t xml:space="preserve"> </w:t>
      </w:r>
      <w:r w:rsidRPr="00641BA8">
        <w:rPr>
          <w:spacing w:val="-1"/>
          <w:szCs w:val="22"/>
        </w:rPr>
        <w:t>such</w:t>
      </w:r>
      <w:r w:rsidRPr="00641BA8">
        <w:rPr>
          <w:spacing w:val="-6"/>
          <w:szCs w:val="22"/>
        </w:rPr>
        <w:t xml:space="preserve"> </w:t>
      </w:r>
      <w:r w:rsidRPr="00641BA8">
        <w:rPr>
          <w:szCs w:val="22"/>
        </w:rPr>
        <w:t xml:space="preserve">deviation </w:t>
      </w:r>
      <w:r w:rsidRPr="00641BA8">
        <w:rPr>
          <w:spacing w:val="-1"/>
          <w:szCs w:val="22"/>
        </w:rPr>
        <w:t>will</w:t>
      </w:r>
      <w:r w:rsidRPr="00641BA8">
        <w:rPr>
          <w:spacing w:val="-4"/>
          <w:szCs w:val="22"/>
        </w:rPr>
        <w:t xml:space="preserve"> </w:t>
      </w:r>
      <w:r w:rsidRPr="00641BA8">
        <w:rPr>
          <w:spacing w:val="-1"/>
          <w:szCs w:val="22"/>
        </w:rPr>
        <w:t>serve</w:t>
      </w:r>
      <w:r w:rsidRPr="00641BA8">
        <w:rPr>
          <w:spacing w:val="-4"/>
          <w:szCs w:val="22"/>
        </w:rPr>
        <w:t xml:space="preserve"> </w:t>
      </w:r>
      <w:r w:rsidRPr="00641BA8">
        <w:rPr>
          <w:szCs w:val="22"/>
        </w:rPr>
        <w:t>the</w:t>
      </w:r>
      <w:r w:rsidRPr="00641BA8">
        <w:rPr>
          <w:spacing w:val="-5"/>
          <w:szCs w:val="22"/>
        </w:rPr>
        <w:t xml:space="preserve"> </w:t>
      </w:r>
      <w:r w:rsidRPr="00641BA8">
        <w:rPr>
          <w:szCs w:val="22"/>
        </w:rPr>
        <w:t>public</w:t>
      </w:r>
      <w:r w:rsidRPr="00641BA8">
        <w:rPr>
          <w:spacing w:val="-3"/>
          <w:szCs w:val="22"/>
        </w:rPr>
        <w:t xml:space="preserve"> </w:t>
      </w:r>
      <w:r w:rsidRPr="00641BA8">
        <w:rPr>
          <w:spacing w:val="-1"/>
          <w:szCs w:val="22"/>
        </w:rPr>
        <w:t>interest.”</w:t>
      </w:r>
      <w:r>
        <w:rPr>
          <w:rStyle w:val="FootnoteReference"/>
          <w:spacing w:val="-1"/>
          <w:sz w:val="22"/>
          <w:szCs w:val="22"/>
        </w:rPr>
        <w:footnoteReference w:id="27"/>
      </w:r>
      <w:r w:rsidRPr="00641BA8">
        <w:rPr>
          <w:spacing w:val="-1"/>
          <w:szCs w:val="22"/>
        </w:rPr>
        <w:t xml:space="preserve">  We</w:t>
      </w:r>
      <w:r w:rsidRPr="00641BA8">
        <w:rPr>
          <w:szCs w:val="22"/>
        </w:rPr>
        <w:t xml:space="preserve"> conclude that there is good cause to grant the </w:t>
      </w:r>
      <w:r>
        <w:rPr>
          <w:szCs w:val="22"/>
        </w:rPr>
        <w:t xml:space="preserve">Dallas </w:t>
      </w:r>
      <w:r w:rsidRPr="00641BA8">
        <w:rPr>
          <w:szCs w:val="22"/>
        </w:rPr>
        <w:t>waiver request for the WEA end-to-end test.</w:t>
      </w:r>
    </w:p>
    <w:p w:rsidR="00AB1695" w:rsidP="00AB1695">
      <w:pPr>
        <w:pStyle w:val="ParaNum"/>
        <w:widowControl/>
      </w:pPr>
      <w:r>
        <w:t>In light of the</w:t>
      </w:r>
      <w:r w:rsidR="00F83BC8">
        <w:t xml:space="preserve"> threat of</w:t>
      </w:r>
      <w:r>
        <w:t xml:space="preserve"> </w:t>
      </w:r>
      <w:r w:rsidR="00F83BC8">
        <w:t xml:space="preserve">natural and man-made disasters facing Dallas, as well as the </w:t>
      </w:r>
      <w:r>
        <w:t xml:space="preserve">opportunity to </w:t>
      </w:r>
      <w:r w:rsidR="001C4270">
        <w:t xml:space="preserve">test Dallas’s proficiency in </w:t>
      </w:r>
      <w:r w:rsidR="00A3257F">
        <w:t xml:space="preserve">distributing a WEA in </w:t>
      </w:r>
      <w:r>
        <w:t>coordinat</w:t>
      </w:r>
      <w:r w:rsidR="00A3257F">
        <w:t xml:space="preserve">ion </w:t>
      </w:r>
      <w:r>
        <w:t>with a full-scale emergency response exercise at the airport, we find good cause to permit Dallas to test the feasibility of using WEA to warn the public of an emergency in an airport setting.</w:t>
      </w:r>
      <w:r>
        <w:rPr>
          <w:rStyle w:val="FootnoteReference"/>
        </w:rPr>
        <w:footnoteReference w:id="28"/>
      </w:r>
      <w:r>
        <w:t xml:space="preserve">  </w:t>
      </w:r>
      <w:r w:rsidR="009A626F">
        <w:t xml:space="preserve">As Dallas states, </w:t>
      </w:r>
      <w:r w:rsidR="008F75CC">
        <w:t>it is “tasked with public information and warning, which includes alerts and notifications to our residents a</w:t>
      </w:r>
      <w:r w:rsidR="0097339C">
        <w:t>s well as</w:t>
      </w:r>
      <w:r w:rsidR="008F75CC">
        <w:t xml:space="preserve"> local, state, and federal officials during emergencies that impact life, safety, and property,” including those that affect residents and visitors traveling through the Dallas Love Field Airport</w:t>
      </w:r>
      <w:r w:rsidR="00156F60">
        <w:t xml:space="preserve"> and on </w:t>
      </w:r>
      <w:r w:rsidR="0097339C">
        <w:t>the adjacent</w:t>
      </w:r>
      <w:r w:rsidR="00156F60">
        <w:t xml:space="preserve"> stretch of the state highway</w:t>
      </w:r>
      <w:r w:rsidR="008F75CC">
        <w:t>.</w:t>
      </w:r>
      <w:r>
        <w:rPr>
          <w:rStyle w:val="FootnoteReference"/>
        </w:rPr>
        <w:footnoteReference w:id="29"/>
      </w:r>
      <w:r w:rsidR="008F75CC">
        <w:t xml:space="preserve">  </w:t>
      </w:r>
      <w:r w:rsidR="00842B4B">
        <w:t xml:space="preserve">We are persuaded </w:t>
      </w:r>
      <w:r w:rsidRPr="00641BA8" w:rsidR="00842B4B">
        <w:rPr>
          <w:szCs w:val="22"/>
        </w:rPr>
        <w:t xml:space="preserve">the proposed test will help to educate the public about WEA and improve the proficiency of </w:t>
      </w:r>
      <w:r w:rsidR="00842B4B">
        <w:rPr>
          <w:szCs w:val="22"/>
        </w:rPr>
        <w:t xml:space="preserve">local </w:t>
      </w:r>
      <w:r w:rsidRPr="00641BA8" w:rsidR="00842B4B">
        <w:rPr>
          <w:szCs w:val="22"/>
        </w:rPr>
        <w:t>emergency management officials in sending WEA messages to the public</w:t>
      </w:r>
      <w:r w:rsidR="00842B4B">
        <w:t xml:space="preserve">, specifically by </w:t>
      </w:r>
      <w:r w:rsidR="00DF567E">
        <w:t>provid</w:t>
      </w:r>
      <w:r w:rsidR="00842B4B">
        <w:t>ing</w:t>
      </w:r>
      <w:r w:rsidR="00DF567E">
        <w:t xml:space="preserve"> Dallas with data on how effective a WEA message is in an airport setting.</w:t>
      </w:r>
      <w:r>
        <w:rPr>
          <w:rStyle w:val="FootnoteReference"/>
        </w:rPr>
        <w:footnoteReference w:id="30"/>
      </w:r>
      <w:r w:rsidR="00DF567E">
        <w:t xml:space="preserve">  Accordingly, rather than wait until IPAWS is ready to support State/Local Tests, we believe the proposed test would provide alert initiators and emergency managers information of immediate value, and so conclude that it is in the public interest to grant a limited waiver of the Commission’s WEA rules to allow Dallas to conduct a WEA end-to-end test as described in the Dallas Letter</w:t>
      </w:r>
      <w:r w:rsidRPr="00E645A1" w:rsidR="00DF567E">
        <w:t>.</w:t>
      </w:r>
      <w:r>
        <w:rPr>
          <w:rStyle w:val="FootnoteReference"/>
        </w:rPr>
        <w:footnoteReference w:id="31"/>
      </w:r>
    </w:p>
    <w:p w:rsidR="008A2307" w:rsidRPr="00B65F30" w:rsidP="00053F2E">
      <w:pPr>
        <w:pStyle w:val="ParaNum"/>
      </w:pPr>
      <w:r w:rsidRPr="00641BA8">
        <w:rPr>
          <w:szCs w:val="22"/>
        </w:rPr>
        <w:t xml:space="preserve">We observe, however, that the proposed </w:t>
      </w:r>
      <w:r w:rsidR="00B65F30">
        <w:rPr>
          <w:szCs w:val="22"/>
        </w:rPr>
        <w:t>Dallas</w:t>
      </w:r>
      <w:r>
        <w:rPr>
          <w:szCs w:val="22"/>
        </w:rPr>
        <w:t xml:space="preserve"> </w:t>
      </w:r>
      <w:r w:rsidRPr="00641BA8">
        <w:rPr>
          <w:szCs w:val="22"/>
        </w:rPr>
        <w:t>WEA test would not be in the public interest if it were presented in a manner that could lead the public to conclude that an actual alert is being transmitted, or would otherwise confuse the public.</w:t>
      </w:r>
      <w:r>
        <w:rPr>
          <w:rStyle w:val="FootnoteReference"/>
          <w:sz w:val="22"/>
          <w:szCs w:val="22"/>
        </w:rPr>
        <w:footnoteReference w:id="32"/>
      </w:r>
      <w:r w:rsidRPr="00641BA8">
        <w:rPr>
          <w:szCs w:val="22"/>
        </w:rPr>
        <w:t xml:space="preserve">  Therefore, we condition this waiver upon the full implementation of the multimedia campaign and outreach plan described in the </w:t>
      </w:r>
      <w:r w:rsidR="00B65F30">
        <w:rPr>
          <w:szCs w:val="22"/>
        </w:rPr>
        <w:t>Dallas</w:t>
      </w:r>
      <w:r w:rsidRPr="00641BA8">
        <w:rPr>
          <w:szCs w:val="22"/>
        </w:rPr>
        <w:t xml:space="preserve"> Letter, including outreach to the public, press, and relevant government agencies, and making clear that members of the public may receive multiple test messages.</w:t>
      </w:r>
    </w:p>
    <w:p w:rsidR="00B65F30" w:rsidRPr="00641BA8" w:rsidP="00B65F30">
      <w:pPr>
        <w:pStyle w:val="ParaNum"/>
        <w:rPr>
          <w:szCs w:val="22"/>
        </w:rPr>
      </w:pPr>
      <w:r w:rsidRPr="00641BA8">
        <w:rPr>
          <w:szCs w:val="22"/>
        </w:rPr>
        <w:t xml:space="preserve">We further condition this waiver to require that the test may only be conducted on </w:t>
      </w:r>
      <w:r>
        <w:rPr>
          <w:szCs w:val="22"/>
        </w:rPr>
        <w:t>November 2, 2019, at approximately 12:00 p.m. CDT</w:t>
      </w:r>
      <w:r w:rsidRPr="00641BA8">
        <w:rPr>
          <w:szCs w:val="22"/>
        </w:rPr>
        <w:t xml:space="preserve">, as referenced in the </w:t>
      </w:r>
      <w:r>
        <w:rPr>
          <w:szCs w:val="22"/>
        </w:rPr>
        <w:t>Dallas</w:t>
      </w:r>
      <w:r w:rsidRPr="00641BA8">
        <w:rPr>
          <w:szCs w:val="22"/>
        </w:rPr>
        <w:t xml:space="preserve"> Letter, and may only be conducted for the purposes described therein.  Specifically, the waiver is based upon representations that</w:t>
      </w:r>
      <w:r>
        <w:rPr>
          <w:szCs w:val="22"/>
        </w:rPr>
        <w:t>:</w:t>
      </w:r>
    </w:p>
    <w:p w:rsidR="00B65F30" w:rsidRPr="00641BA8" w:rsidP="00B65F30">
      <w:pPr>
        <w:pStyle w:val="BodyText"/>
        <w:keepNext/>
        <w:widowControl/>
        <w:numPr>
          <w:ilvl w:val="1"/>
          <w:numId w:val="7"/>
        </w:numPr>
        <w:tabs>
          <w:tab w:val="left" w:pos="1800"/>
        </w:tabs>
        <w:ind w:left="1195" w:right="619" w:firstLine="0"/>
      </w:pPr>
      <w:r w:rsidRPr="00641BA8">
        <w:t>this</w:t>
      </w:r>
      <w:r w:rsidRPr="00641BA8">
        <w:rPr>
          <w:spacing w:val="-6"/>
        </w:rPr>
        <w:t xml:space="preserve"> </w:t>
      </w:r>
      <w:r w:rsidRPr="00641BA8">
        <w:rPr>
          <w:spacing w:val="-1"/>
        </w:rPr>
        <w:t>test</w:t>
      </w:r>
      <w:r w:rsidRPr="00641BA8">
        <w:rPr>
          <w:spacing w:val="-5"/>
        </w:rPr>
        <w:t xml:space="preserve"> </w:t>
      </w:r>
      <w:r w:rsidRPr="00641BA8">
        <w:t>is</w:t>
      </w:r>
      <w:r w:rsidRPr="00641BA8">
        <w:rPr>
          <w:spacing w:val="-6"/>
        </w:rPr>
        <w:t xml:space="preserve"> </w:t>
      </w:r>
      <w:r w:rsidRPr="00641BA8">
        <w:t>necessary</w:t>
      </w:r>
      <w:r w:rsidRPr="00641BA8">
        <w:rPr>
          <w:spacing w:val="-4"/>
        </w:rPr>
        <w:t xml:space="preserve"> </w:t>
      </w:r>
      <w:r w:rsidRPr="00641BA8">
        <w:t>to</w:t>
      </w:r>
      <w:r w:rsidRPr="00641BA8">
        <w:rPr>
          <w:spacing w:val="-5"/>
        </w:rPr>
        <w:t xml:space="preserve"> e</w:t>
      </w:r>
      <w:r w:rsidRPr="00641BA8">
        <w:rPr>
          <w:color w:val="000000"/>
        </w:rPr>
        <w:t xml:space="preserve">nsure that emergency management officials in </w:t>
      </w:r>
      <w:r>
        <w:rPr>
          <w:color w:val="000000"/>
        </w:rPr>
        <w:t>Dallas h</w:t>
      </w:r>
      <w:r w:rsidRPr="00641BA8">
        <w:rPr>
          <w:color w:val="000000"/>
        </w:rPr>
        <w:t xml:space="preserve">ave a clear understanding of how alerts would perform in their </w:t>
      </w:r>
      <w:r>
        <w:rPr>
          <w:color w:val="000000"/>
        </w:rPr>
        <w:t>city</w:t>
      </w:r>
      <w:r w:rsidRPr="00641BA8">
        <w:rPr>
          <w:color w:val="000000"/>
        </w:rPr>
        <w:t xml:space="preserve">, </w:t>
      </w:r>
      <w:r>
        <w:rPr>
          <w:color w:val="000000"/>
        </w:rPr>
        <w:t xml:space="preserve">specifically within the vicinity of an airport, </w:t>
      </w:r>
      <w:r w:rsidRPr="00641BA8">
        <w:rPr>
          <w:color w:val="000000"/>
        </w:rPr>
        <w:t>and the public becomes familiar with the format of WEA messaging</w:t>
      </w:r>
      <w:r w:rsidRPr="00641BA8">
        <w:rPr>
          <w:spacing w:val="-1"/>
        </w:rPr>
        <w:t>;</w:t>
      </w:r>
    </w:p>
    <w:p w:rsidR="00B65F30" w:rsidRPr="00641BA8" w:rsidP="00B65F30">
      <w:pPr>
        <w:spacing w:before="2"/>
        <w:rPr>
          <w:szCs w:val="22"/>
        </w:rPr>
      </w:pPr>
    </w:p>
    <w:p w:rsidR="00B65F30" w:rsidRPr="00641BA8" w:rsidP="00B65F30">
      <w:pPr>
        <w:pStyle w:val="BodyText"/>
        <w:widowControl/>
        <w:numPr>
          <w:ilvl w:val="1"/>
          <w:numId w:val="7"/>
        </w:numPr>
        <w:tabs>
          <w:tab w:val="left" w:pos="1800"/>
        </w:tabs>
        <w:ind w:left="1195" w:right="619" w:firstLine="0"/>
      </w:pPr>
      <w:r>
        <w:t xml:space="preserve">Dallas </w:t>
      </w:r>
      <w:r w:rsidRPr="00641BA8">
        <w:t>will coordinate with the relevant Participating CMS Providers and</w:t>
      </w:r>
      <w:r w:rsidRPr="00641BA8">
        <w:rPr>
          <w:spacing w:val="-7"/>
        </w:rPr>
        <w:t xml:space="preserve"> </w:t>
      </w:r>
      <w:r w:rsidRPr="00641BA8">
        <w:t>first</w:t>
      </w:r>
      <w:r w:rsidRPr="00641BA8">
        <w:rPr>
          <w:spacing w:val="-5"/>
        </w:rPr>
        <w:t xml:space="preserve"> </w:t>
      </w:r>
      <w:r w:rsidRPr="00641BA8">
        <w:rPr>
          <w:spacing w:val="-1"/>
        </w:rPr>
        <w:t>responder</w:t>
      </w:r>
      <w:r w:rsidRPr="00641BA8">
        <w:rPr>
          <w:spacing w:val="-6"/>
        </w:rPr>
        <w:t xml:space="preserve"> </w:t>
      </w:r>
      <w:r w:rsidRPr="00641BA8">
        <w:t>organizations</w:t>
      </w:r>
      <w:r w:rsidRPr="00641BA8">
        <w:rPr>
          <w:spacing w:val="-5"/>
        </w:rPr>
        <w:t xml:space="preserve"> </w:t>
      </w:r>
      <w:r w:rsidRPr="00641BA8">
        <w:rPr>
          <w:spacing w:val="-1"/>
        </w:rPr>
        <w:t>such</w:t>
      </w:r>
      <w:r w:rsidRPr="00641BA8">
        <w:rPr>
          <w:spacing w:val="-6"/>
        </w:rPr>
        <w:t xml:space="preserve"> </w:t>
      </w:r>
      <w:r w:rsidRPr="00641BA8">
        <w:rPr>
          <w:spacing w:val="-1"/>
        </w:rPr>
        <w:t>as police</w:t>
      </w:r>
      <w:r w:rsidRPr="00641BA8">
        <w:rPr>
          <w:spacing w:val="-6"/>
        </w:rPr>
        <w:t xml:space="preserve"> </w:t>
      </w:r>
      <w:r w:rsidRPr="00641BA8">
        <w:t>and</w:t>
      </w:r>
      <w:r w:rsidRPr="00641BA8">
        <w:rPr>
          <w:spacing w:val="-5"/>
        </w:rPr>
        <w:t xml:space="preserve"> </w:t>
      </w:r>
      <w:r w:rsidRPr="00641BA8">
        <w:t>fire</w:t>
      </w:r>
      <w:r w:rsidRPr="00641BA8">
        <w:rPr>
          <w:spacing w:val="-4"/>
        </w:rPr>
        <w:t xml:space="preserve"> </w:t>
      </w:r>
      <w:r w:rsidRPr="00641BA8">
        <w:rPr>
          <w:spacing w:val="-1"/>
        </w:rPr>
        <w:t>agencies</w:t>
      </w:r>
      <w:r w:rsidRPr="00641BA8">
        <w:rPr>
          <w:spacing w:val="-6"/>
        </w:rPr>
        <w:t xml:space="preserve"> </w:t>
      </w:r>
      <w:r w:rsidRPr="00641BA8">
        <w:t xml:space="preserve">and 911 </w:t>
      </w:r>
      <w:r>
        <w:t xml:space="preserve">PSAPs </w:t>
      </w:r>
      <w:r w:rsidRPr="00641BA8">
        <w:rPr>
          <w:spacing w:val="-5"/>
        </w:rPr>
        <w:t xml:space="preserve">within </w:t>
      </w:r>
      <w:r>
        <w:rPr>
          <w:spacing w:val="-5"/>
        </w:rPr>
        <w:t xml:space="preserve">the City of </w:t>
      </w:r>
      <w:r w:rsidR="00E570F2">
        <w:rPr>
          <w:spacing w:val="-5"/>
        </w:rPr>
        <w:t>Dallas</w:t>
      </w:r>
      <w:r>
        <w:rPr>
          <w:spacing w:val="-5"/>
        </w:rPr>
        <w:t xml:space="preserve"> </w:t>
      </w:r>
      <w:r w:rsidRPr="00641BA8">
        <w:rPr>
          <w:spacing w:val="-5"/>
        </w:rPr>
        <w:t xml:space="preserve">and surrounding </w:t>
      </w:r>
      <w:r>
        <w:rPr>
          <w:spacing w:val="-5"/>
        </w:rPr>
        <w:t>jurisdictions</w:t>
      </w:r>
      <w:r w:rsidRPr="00641BA8">
        <w:rPr>
          <w:spacing w:val="-5"/>
        </w:rPr>
        <w:t xml:space="preserve"> </w:t>
      </w:r>
      <w:r w:rsidRPr="00641BA8">
        <w:t>to</w:t>
      </w:r>
      <w:r w:rsidRPr="00641BA8">
        <w:rPr>
          <w:spacing w:val="-5"/>
        </w:rPr>
        <w:t xml:space="preserve"> </w:t>
      </w:r>
      <w:r w:rsidRPr="00641BA8">
        <w:t>ensure</w:t>
      </w:r>
      <w:r w:rsidRPr="00641BA8">
        <w:rPr>
          <w:spacing w:val="-5"/>
        </w:rPr>
        <w:t xml:space="preserve"> </w:t>
      </w:r>
      <w:r w:rsidRPr="00641BA8">
        <w:rPr>
          <w:spacing w:val="-1"/>
        </w:rPr>
        <w:t>that</w:t>
      </w:r>
      <w:r w:rsidRPr="00641BA8">
        <w:rPr>
          <w:spacing w:val="-4"/>
        </w:rPr>
        <w:t xml:space="preserve"> </w:t>
      </w:r>
      <w:r w:rsidRPr="00641BA8">
        <w:t>they</w:t>
      </w:r>
      <w:r w:rsidRPr="00641BA8">
        <w:rPr>
          <w:spacing w:val="-6"/>
        </w:rPr>
        <w:t xml:space="preserve"> </w:t>
      </w:r>
      <w:r w:rsidRPr="00641BA8">
        <w:t>are</w:t>
      </w:r>
      <w:r w:rsidRPr="00641BA8">
        <w:rPr>
          <w:spacing w:val="-5"/>
        </w:rPr>
        <w:t xml:space="preserve"> </w:t>
      </w:r>
      <w:r w:rsidRPr="00641BA8">
        <w:rPr>
          <w:spacing w:val="-1"/>
        </w:rPr>
        <w:t>aware of th</w:t>
      </w:r>
      <w:r w:rsidRPr="00641BA8">
        <w:t>e</w:t>
      </w:r>
      <w:r w:rsidRPr="00641BA8">
        <w:rPr>
          <w:spacing w:val="-4"/>
        </w:rPr>
        <w:t xml:space="preserve"> </w:t>
      </w:r>
      <w:r w:rsidRPr="00641BA8">
        <w:rPr>
          <w:spacing w:val="-1"/>
        </w:rPr>
        <w:t>test</w:t>
      </w:r>
      <w:r w:rsidRPr="00641BA8">
        <w:rPr>
          <w:spacing w:val="-4"/>
        </w:rPr>
        <w:t xml:space="preserve"> </w:t>
      </w:r>
      <w:r w:rsidRPr="00641BA8">
        <w:t>and</w:t>
      </w:r>
      <w:r w:rsidRPr="00641BA8">
        <w:rPr>
          <w:spacing w:val="-4"/>
        </w:rPr>
        <w:t xml:space="preserve"> </w:t>
      </w:r>
      <w:r w:rsidRPr="00641BA8">
        <w:t>can</w:t>
      </w:r>
      <w:r w:rsidRPr="00641BA8">
        <w:rPr>
          <w:spacing w:val="-4"/>
        </w:rPr>
        <w:t xml:space="preserve"> </w:t>
      </w:r>
      <w:r w:rsidRPr="00641BA8">
        <w:t>confirm</w:t>
      </w:r>
      <w:r w:rsidRPr="00641BA8">
        <w:rPr>
          <w:spacing w:val="-4"/>
        </w:rPr>
        <w:t xml:space="preserve"> </w:t>
      </w:r>
      <w:r w:rsidRPr="00641BA8">
        <w:t>to</w:t>
      </w:r>
      <w:r w:rsidRPr="00641BA8">
        <w:rPr>
          <w:spacing w:val="-4"/>
        </w:rPr>
        <w:t xml:space="preserve"> </w:t>
      </w:r>
      <w:r w:rsidRPr="00641BA8">
        <w:t>the</w:t>
      </w:r>
      <w:r w:rsidRPr="00641BA8">
        <w:rPr>
          <w:spacing w:val="-4"/>
        </w:rPr>
        <w:t xml:space="preserve"> </w:t>
      </w:r>
      <w:r w:rsidRPr="00641BA8">
        <w:rPr>
          <w:spacing w:val="-1"/>
        </w:rPr>
        <w:t>public</w:t>
      </w:r>
      <w:r w:rsidRPr="00641BA8">
        <w:rPr>
          <w:spacing w:val="-3"/>
        </w:rPr>
        <w:t xml:space="preserve"> </w:t>
      </w:r>
      <w:r w:rsidRPr="00641BA8">
        <w:t>that</w:t>
      </w:r>
      <w:r w:rsidRPr="00641BA8">
        <w:rPr>
          <w:spacing w:val="-4"/>
        </w:rPr>
        <w:t xml:space="preserve"> </w:t>
      </w:r>
      <w:r w:rsidRPr="00641BA8">
        <w:t>the</w:t>
      </w:r>
      <w:r w:rsidRPr="00641BA8">
        <w:rPr>
          <w:spacing w:val="-4"/>
        </w:rPr>
        <w:t xml:space="preserve"> </w:t>
      </w:r>
      <w:r w:rsidRPr="00641BA8">
        <w:rPr>
          <w:spacing w:val="-1"/>
        </w:rPr>
        <w:t>WEA</w:t>
      </w:r>
      <w:r w:rsidRPr="00641BA8">
        <w:rPr>
          <w:spacing w:val="-4"/>
        </w:rPr>
        <w:t xml:space="preserve"> </w:t>
      </w:r>
      <w:r w:rsidRPr="00641BA8">
        <w:t>message is</w:t>
      </w:r>
      <w:r w:rsidRPr="00641BA8">
        <w:rPr>
          <w:spacing w:val="-4"/>
        </w:rPr>
        <w:t xml:space="preserve"> </w:t>
      </w:r>
      <w:r w:rsidRPr="00641BA8">
        <w:t>a</w:t>
      </w:r>
      <w:r w:rsidRPr="00641BA8">
        <w:rPr>
          <w:spacing w:val="-3"/>
        </w:rPr>
        <w:t xml:space="preserve"> </w:t>
      </w:r>
      <w:r w:rsidRPr="00641BA8">
        <w:rPr>
          <w:spacing w:val="-1"/>
        </w:rPr>
        <w:t>test;</w:t>
      </w:r>
    </w:p>
    <w:p w:rsidR="00B65F30" w:rsidRPr="00641BA8" w:rsidP="00B65F30">
      <w:pPr>
        <w:spacing w:before="2"/>
        <w:rPr>
          <w:szCs w:val="22"/>
        </w:rPr>
      </w:pPr>
    </w:p>
    <w:p w:rsidR="00B65F30" w:rsidRPr="00641BA8" w:rsidP="00B65F30">
      <w:pPr>
        <w:pStyle w:val="BodyText"/>
        <w:numPr>
          <w:ilvl w:val="1"/>
          <w:numId w:val="7"/>
        </w:numPr>
        <w:tabs>
          <w:tab w:val="left" w:pos="1800"/>
        </w:tabs>
        <w:ind w:left="1170" w:right="693" w:firstLine="30"/>
      </w:pPr>
      <w:r w:rsidRPr="00641BA8">
        <w:rPr>
          <w:spacing w:val="-1"/>
        </w:rPr>
        <w:t>pre-test</w:t>
      </w:r>
      <w:r w:rsidRPr="00641BA8">
        <w:rPr>
          <w:spacing w:val="-9"/>
        </w:rPr>
        <w:t xml:space="preserve"> </w:t>
      </w:r>
      <w:r w:rsidRPr="00641BA8">
        <w:rPr>
          <w:spacing w:val="-1"/>
        </w:rPr>
        <w:t>publicity</w:t>
      </w:r>
      <w:r w:rsidRPr="00641BA8">
        <w:rPr>
          <w:spacing w:val="-9"/>
        </w:rPr>
        <w:t xml:space="preserve"> </w:t>
      </w:r>
      <w:r w:rsidRPr="00641BA8">
        <w:t>efforts will include a comprehensive multimedia campaign to ensure public understanding of the function and utility of WEA, the date and time of the test, and clear notification that the WEA alert will be just a test;</w:t>
      </w:r>
    </w:p>
    <w:p w:rsidR="00B65F30" w:rsidRPr="00641BA8" w:rsidP="00B65F30">
      <w:pPr>
        <w:pStyle w:val="ListParagraph"/>
        <w:rPr>
          <w:szCs w:val="22"/>
        </w:rPr>
      </w:pPr>
    </w:p>
    <w:p w:rsidR="00B65F30" w:rsidRPr="00641BA8" w:rsidP="00B65F30">
      <w:pPr>
        <w:pStyle w:val="BodyText"/>
        <w:keepNext/>
        <w:widowControl/>
        <w:numPr>
          <w:ilvl w:val="1"/>
          <w:numId w:val="7"/>
        </w:numPr>
        <w:tabs>
          <w:tab w:val="left" w:pos="1800"/>
        </w:tabs>
        <w:ind w:left="1170" w:right="693" w:firstLine="30"/>
      </w:pPr>
      <w:r w:rsidRPr="00641BA8">
        <w:t xml:space="preserve">use of “test” wording as described by the </w:t>
      </w:r>
      <w:r w:rsidR="00E570F2">
        <w:t>Dallas</w:t>
      </w:r>
      <w:r w:rsidRPr="00641BA8">
        <w:t xml:space="preserve"> Letter will be used in the test message; and</w:t>
      </w:r>
    </w:p>
    <w:p w:rsidR="00B65F30" w:rsidRPr="00641BA8" w:rsidP="00B65F30">
      <w:pPr>
        <w:pStyle w:val="ListParagraph"/>
        <w:keepNext/>
        <w:widowControl/>
        <w:rPr>
          <w:szCs w:val="22"/>
        </w:rPr>
      </w:pPr>
    </w:p>
    <w:p w:rsidR="00B65F30" w:rsidP="00B65B34">
      <w:pPr>
        <w:pStyle w:val="BodyText"/>
        <w:keepNext/>
        <w:widowControl/>
        <w:numPr>
          <w:ilvl w:val="1"/>
          <w:numId w:val="7"/>
        </w:numPr>
        <w:tabs>
          <w:tab w:val="left" w:pos="1800"/>
        </w:tabs>
        <w:ind w:left="1170" w:right="693" w:firstLine="30"/>
      </w:pPr>
      <w:r w:rsidRPr="00641BA8">
        <w:t>the WEA test is not intended as a substitute for other scheduled WEA tests.</w:t>
      </w:r>
    </w:p>
    <w:p w:rsidR="00B65B34" w:rsidP="00B65B34">
      <w:pPr>
        <w:pStyle w:val="ListParagraph"/>
      </w:pPr>
    </w:p>
    <w:p w:rsidR="00B65B34" w:rsidRPr="00B65B34" w:rsidP="00B65B34">
      <w:pPr>
        <w:pStyle w:val="ParaNum"/>
      </w:pPr>
      <w:r w:rsidRPr="00641BA8">
        <w:rPr>
          <w:szCs w:val="22"/>
        </w:rPr>
        <w:t xml:space="preserve">We also require that </w:t>
      </w:r>
      <w:bookmarkStart w:id="1" w:name="_Hlk523327683"/>
      <w:r w:rsidRPr="00641BA8">
        <w:rPr>
          <w:szCs w:val="22"/>
        </w:rPr>
        <w:t xml:space="preserve">the test and any post-test analysis and reports </w:t>
      </w:r>
      <w:bookmarkEnd w:id="1"/>
      <w:r w:rsidRPr="00641BA8">
        <w:rPr>
          <w:szCs w:val="22"/>
        </w:rPr>
        <w:t xml:space="preserve">that </w:t>
      </w:r>
      <w:r>
        <w:rPr>
          <w:szCs w:val="22"/>
        </w:rPr>
        <w:t xml:space="preserve">Dallas </w:t>
      </w:r>
      <w:r w:rsidRPr="00641BA8">
        <w:rPr>
          <w:szCs w:val="22"/>
        </w:rPr>
        <w:t>may conduct or cause to be produced are done in a manner consistent with customers’ expectations of privacy, confidentiality of Participating CMS Providers’ network information, and the overall security of the WEA systems and infrastructure.</w:t>
      </w:r>
      <w:r>
        <w:rPr>
          <w:rStyle w:val="FootnoteReference"/>
          <w:sz w:val="22"/>
          <w:szCs w:val="22"/>
        </w:rPr>
        <w:footnoteReference w:id="33"/>
      </w:r>
      <w:r w:rsidRPr="00641BA8">
        <w:rPr>
          <w:szCs w:val="22"/>
        </w:rPr>
        <w:t xml:space="preserve">  We encourage </w:t>
      </w:r>
      <w:r>
        <w:rPr>
          <w:szCs w:val="22"/>
        </w:rPr>
        <w:t xml:space="preserve">Dallas </w:t>
      </w:r>
      <w:r w:rsidRPr="00641BA8">
        <w:rPr>
          <w:szCs w:val="22"/>
        </w:rPr>
        <w:t>to report its test results in electronic format to the Bureau.  Finally, we encourage members of the public who wish to share feedback on their experience with the test to do so by filing them with the FCC’s Public Safety Support Center a</w:t>
      </w:r>
      <w:r>
        <w:rPr>
          <w:szCs w:val="22"/>
        </w:rPr>
        <w:t>t</w:t>
      </w:r>
      <w:r>
        <w:t xml:space="preserve"> </w:t>
      </w:r>
      <w:hyperlink r:id="rId5" w:history="1">
        <w:r>
          <w:rPr>
            <w:rStyle w:val="Hyperlink"/>
          </w:rPr>
          <w:t>https://www.fcc.gov/general/public-safety-support-center</w:t>
        </w:r>
      </w:hyperlink>
      <w:r w:rsidRPr="00641BA8">
        <w:rPr>
          <w:szCs w:val="22"/>
        </w:rPr>
        <w:t>.</w:t>
      </w:r>
    </w:p>
    <w:p w:rsidR="00B65B34" w:rsidP="00B65B34">
      <w:pPr>
        <w:pStyle w:val="Heading1"/>
      </w:pPr>
      <w:r>
        <w:t>ordering clause</w:t>
      </w:r>
    </w:p>
    <w:p w:rsidR="00B65B34" w:rsidRPr="00641BA8" w:rsidP="00B65B34">
      <w:pPr>
        <w:pStyle w:val="ParaNum"/>
        <w:keepNext/>
        <w:widowControl/>
        <w:rPr>
          <w:szCs w:val="22"/>
        </w:rPr>
      </w:pPr>
      <w:r w:rsidRPr="00641BA8">
        <w:rPr>
          <w:szCs w:val="22"/>
        </w:rPr>
        <w:t>Accordingly, IT IS ORDERED that, pursuant to Section 4(</w:t>
      </w:r>
      <w:r w:rsidRPr="00641BA8">
        <w:rPr>
          <w:szCs w:val="22"/>
        </w:rPr>
        <w:t>i</w:t>
      </w:r>
      <w:r w:rsidRPr="00641BA8">
        <w:rPr>
          <w:szCs w:val="22"/>
        </w:rPr>
        <w:t>) of the Communications Act of 1934, as amended, 47 U.S.C. § 154(</w:t>
      </w:r>
      <w:r w:rsidRPr="00641BA8">
        <w:rPr>
          <w:szCs w:val="22"/>
        </w:rPr>
        <w:t>i</w:t>
      </w:r>
      <w:r w:rsidRPr="00641BA8">
        <w:rPr>
          <w:szCs w:val="22"/>
        </w:rPr>
        <w:t>), and Section 1.3 of the Commission’s rules, 47 CFR § 1.3, Sections 10.400, 10.520(d), 10.530(b), and 11.45 of the Commission’s rules, 47 CFR §§</w:t>
      </w:r>
      <w:r>
        <w:rPr>
          <w:szCs w:val="22"/>
        </w:rPr>
        <w:t xml:space="preserve"> </w:t>
      </w:r>
      <w:r w:rsidRPr="00641BA8">
        <w:rPr>
          <w:szCs w:val="22"/>
        </w:rPr>
        <w:t xml:space="preserve">10.400, 10.520(d), 10.530(b), and 11.45 of the Commission’s rules, ARE WAIVED, to allow a one-time test of the WEA </w:t>
      </w:r>
      <w:r>
        <w:rPr>
          <w:szCs w:val="22"/>
        </w:rPr>
        <w:t xml:space="preserve">within </w:t>
      </w:r>
      <w:r w:rsidR="003A4DEE">
        <w:rPr>
          <w:szCs w:val="22"/>
        </w:rPr>
        <w:t xml:space="preserve">a targeted area in </w:t>
      </w:r>
      <w:r>
        <w:rPr>
          <w:szCs w:val="22"/>
        </w:rPr>
        <w:t xml:space="preserve">the City of </w:t>
      </w:r>
      <w:r w:rsidR="003A4DEE">
        <w:rPr>
          <w:szCs w:val="22"/>
        </w:rPr>
        <w:t>Dallas, Texas</w:t>
      </w:r>
      <w:r w:rsidRPr="00641BA8">
        <w:rPr>
          <w:szCs w:val="22"/>
        </w:rPr>
        <w:t xml:space="preserve">, on </w:t>
      </w:r>
      <w:r w:rsidR="003A4DEE">
        <w:rPr>
          <w:szCs w:val="22"/>
        </w:rPr>
        <w:t>November 2</w:t>
      </w:r>
      <w:r>
        <w:rPr>
          <w:szCs w:val="22"/>
        </w:rPr>
        <w:t xml:space="preserve">, 2019, </w:t>
      </w:r>
      <w:r w:rsidR="003A4DEE">
        <w:rPr>
          <w:szCs w:val="22"/>
        </w:rPr>
        <w:t>at approximately 12:00 p.m. CDT</w:t>
      </w:r>
      <w:r>
        <w:rPr>
          <w:szCs w:val="22"/>
        </w:rPr>
        <w:t xml:space="preserve">, </w:t>
      </w:r>
      <w:r w:rsidRPr="00641BA8">
        <w:rPr>
          <w:szCs w:val="22"/>
        </w:rPr>
        <w:t>which test must be conducted subject to the conditions described herein.  This action is taken under delegated authority pursuant to Sections 0.191 and 0.392 of the Commission’s rules, 47 CFR §§ 0.191 and 0.392.</w:t>
      </w:r>
    </w:p>
    <w:p w:rsidR="00B65B34" w:rsidP="00B65B34">
      <w:pPr>
        <w:pStyle w:val="ParaNum"/>
        <w:numPr>
          <w:ilvl w:val="0"/>
          <w:numId w:val="0"/>
        </w:numPr>
      </w:pPr>
    </w:p>
    <w:p w:rsidR="00B65B34" w:rsidRPr="00436ED9" w:rsidP="00B65B34">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B65B34" w:rsidRPr="00436ED9" w:rsidP="00B65B34">
      <w:pPr>
        <w:keepNext/>
        <w:widowControl/>
        <w:rPr>
          <w:szCs w:val="22"/>
        </w:rPr>
      </w:pPr>
    </w:p>
    <w:p w:rsidR="00B65B34" w:rsidRPr="00436ED9" w:rsidP="00B65B34">
      <w:pPr>
        <w:keepNext/>
        <w:widowControl/>
        <w:rPr>
          <w:szCs w:val="22"/>
        </w:rPr>
      </w:pPr>
    </w:p>
    <w:p w:rsidR="00B65B34" w:rsidRPr="00436ED9" w:rsidP="00B65B34">
      <w:pPr>
        <w:rPr>
          <w:szCs w:val="22"/>
        </w:rPr>
      </w:pPr>
    </w:p>
    <w:p w:rsidR="00B65B34" w:rsidRPr="00436ED9" w:rsidP="00B65B34">
      <w:pPr>
        <w:spacing w:before="2"/>
        <w:rPr>
          <w:szCs w:val="22"/>
        </w:rPr>
      </w:pPr>
    </w:p>
    <w:p w:rsidR="00B65B34" w:rsidRPr="00436ED9" w:rsidP="00B65B34">
      <w:pPr>
        <w:pStyle w:val="BodyText"/>
        <w:ind w:left="4297" w:right="3533"/>
        <w:jc w:val="center"/>
      </w:pPr>
      <w:bookmarkStart w:id="2" w:name="sp_999_4"/>
      <w:bookmarkStart w:id="3" w:name="SDU_4"/>
      <w:bookmarkStart w:id="4" w:name="_Hlk8895269"/>
      <w:bookmarkEnd w:id="2"/>
      <w:bookmarkEnd w:id="3"/>
      <w:r>
        <w:t>Nicole McGinnis</w:t>
      </w:r>
    </w:p>
    <w:p w:rsidR="00B65B34" w:rsidP="00B65B34">
      <w:pPr>
        <w:pStyle w:val="BodyText"/>
        <w:ind w:left="4680" w:right="271" w:hanging="360"/>
        <w:rPr>
          <w:spacing w:val="-7"/>
        </w:rPr>
      </w:pPr>
      <w:r>
        <w:t xml:space="preserve">Deputy </w:t>
      </w:r>
      <w:r w:rsidRPr="00436ED9">
        <w:t>Chief</w:t>
      </w:r>
      <w:r w:rsidRPr="00436ED9">
        <w:rPr>
          <w:spacing w:val="-7"/>
        </w:rPr>
        <w:t xml:space="preserve"> </w:t>
      </w:r>
    </w:p>
    <w:p w:rsidR="00B65B34" w:rsidRPr="00436ED9" w:rsidP="00B65B34">
      <w:pPr>
        <w:pStyle w:val="BodyText"/>
        <w:ind w:left="4680" w:right="271" w:hanging="360"/>
      </w:pP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B65B34" w:rsidRPr="005A36E9" w:rsidP="00B65B34">
      <w:pPr>
        <w:ind w:left="4320"/>
        <w:rPr>
          <w:spacing w:val="-1"/>
          <w:szCs w:val="22"/>
        </w:rPr>
      </w:pPr>
      <w:r w:rsidRPr="00436ED9">
        <w:rPr>
          <w:spacing w:val="-1"/>
          <w:szCs w:val="22"/>
        </w:rPr>
        <w:t>Federal</w:t>
      </w:r>
      <w:r w:rsidRPr="00436ED9">
        <w:rPr>
          <w:spacing w:val="-15"/>
          <w:szCs w:val="22"/>
        </w:rPr>
        <w:t xml:space="preserve"> </w:t>
      </w:r>
      <w:r w:rsidRPr="00436ED9">
        <w:rPr>
          <w:spacing w:val="-1"/>
          <w:szCs w:val="22"/>
        </w:rPr>
        <w:t>Communications</w:t>
      </w:r>
      <w:r w:rsidRPr="00436ED9">
        <w:rPr>
          <w:spacing w:val="-15"/>
          <w:szCs w:val="22"/>
        </w:rPr>
        <w:t xml:space="preserve"> </w:t>
      </w:r>
      <w:r w:rsidRPr="00436ED9">
        <w:rPr>
          <w:spacing w:val="-1"/>
          <w:szCs w:val="22"/>
        </w:rPr>
        <w:t>Commission</w:t>
      </w:r>
    </w:p>
    <w:bookmarkEnd w:id="4"/>
    <w:p w:rsidR="00B65B34" w:rsidRPr="00511454" w:rsidP="00B65B34">
      <w:pPr>
        <w:pStyle w:val="ParaNum"/>
        <w:numPr>
          <w:ilvl w:val="0"/>
          <w:numId w:val="0"/>
        </w:numPr>
      </w:pPr>
    </w:p>
    <w:p w:rsidR="00B65B34" w:rsidRPr="00B65B34" w:rsidP="00B65B34">
      <w:pPr>
        <w:pStyle w:val="ParaNum"/>
        <w:numPr>
          <w:ilvl w:val="0"/>
          <w:numId w:val="0"/>
        </w:num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B273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7577B">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73A0">
      <w:r>
        <w:separator/>
      </w:r>
    </w:p>
  </w:footnote>
  <w:footnote w:type="continuationSeparator" w:id="1">
    <w:p w:rsidR="007F73A0" w:rsidP="00C721AC">
      <w:pPr>
        <w:spacing w:before="120"/>
        <w:rPr>
          <w:sz w:val="20"/>
        </w:rPr>
      </w:pPr>
      <w:r>
        <w:rPr>
          <w:sz w:val="20"/>
        </w:rPr>
        <w:t xml:space="preserve">(Continued from previous page)  </w:t>
      </w:r>
      <w:r>
        <w:rPr>
          <w:sz w:val="20"/>
        </w:rPr>
        <w:separator/>
      </w:r>
    </w:p>
  </w:footnote>
  <w:footnote w:type="continuationNotice" w:id="2">
    <w:p w:rsidR="007F73A0" w:rsidP="00C721AC">
      <w:pPr>
        <w:jc w:val="right"/>
        <w:rPr>
          <w:sz w:val="20"/>
        </w:rPr>
      </w:pPr>
      <w:r>
        <w:rPr>
          <w:sz w:val="20"/>
        </w:rPr>
        <w:t>(continued….)</w:t>
      </w:r>
    </w:p>
  </w:footnote>
  <w:footnote w:id="3">
    <w:p w:rsidR="009F7A1C" w:rsidP="009F7A1C">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9F7A1C" w:rsidRPr="009F7A1C">
      <w:pPr>
        <w:pStyle w:val="FootnoteText"/>
      </w:pPr>
      <w:r>
        <w:rPr>
          <w:rStyle w:val="FootnoteReference"/>
        </w:rPr>
        <w:footnoteRef/>
      </w:r>
      <w:r>
        <w:t xml:space="preserve"> </w:t>
      </w:r>
      <w:r>
        <w:rPr>
          <w:i/>
        </w:rPr>
        <w:t>See</w:t>
      </w:r>
      <w:r>
        <w:t xml:space="preserve"> Letter from Rocky </w:t>
      </w:r>
      <w:r>
        <w:t>Vaz</w:t>
      </w:r>
      <w:r>
        <w:t xml:space="preserve">, Director, City of Dallas Office of Emergency Management, to Michael J. Wilhelm, Chief, Policy and Licensing Division, Public Safety and Homeland Security Bureau, Federal Communications Commission (filed Oct. </w:t>
      </w:r>
      <w:r w:rsidR="00AD536F">
        <w:t>18</w:t>
      </w:r>
      <w:r>
        <w:t xml:space="preserve">, 2019) (on file in PS Docket No. 15-91) (Dallas Letter).  Dallas does not propose a back-up test date. </w:t>
      </w:r>
    </w:p>
  </w:footnote>
  <w:footnote w:id="5">
    <w:p w:rsidR="00C72B7C" w:rsidRPr="00B0643B" w:rsidP="00C72B7C">
      <w:pPr>
        <w:pStyle w:val="FootnoteText"/>
      </w:pPr>
      <w:r w:rsidRPr="00B90802">
        <w:rPr>
          <w:rStyle w:val="FootnoteReference"/>
        </w:rPr>
        <w:footnoteRef/>
      </w:r>
      <w:r w:rsidRPr="00B0643B">
        <w:t xml:space="preserve"> </w:t>
      </w:r>
      <w:r w:rsidRPr="00681200">
        <w:rPr>
          <w:i/>
        </w:rPr>
        <w:t>Commercial Mobile Alert System</w:t>
      </w:r>
      <w:r w:rsidRPr="00B0643B">
        <w:t xml:space="preserve">, PS Docket No. 07-287, Third Report and Order, 23 FCC </w:t>
      </w:r>
      <w:r w:rsidRPr="00B0643B">
        <w:t>Rcd</w:t>
      </w:r>
      <w:r w:rsidRPr="00B0643B">
        <w:t xml:space="preserve"> 12561, 12575, para. 32 (2008) (stating the requirements for wireless providers volunteering to participate in WEA).</w:t>
      </w:r>
    </w:p>
  </w:footnote>
  <w:footnote w:id="6">
    <w:p w:rsidR="00C72B7C" w:rsidRPr="00B0643B" w:rsidP="00C72B7C">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p>
  </w:footnote>
  <w:footnote w:id="7">
    <w:p w:rsidR="00C72B7C" w:rsidRPr="00B0643B" w:rsidP="00C72B7C">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 (</w:t>
      </w:r>
      <w:r w:rsidRPr="00B0643B">
        <w:t>FEMA</w:t>
      </w:r>
      <w:r>
        <w:t>)</w:t>
      </w:r>
      <w:r w:rsidRPr="00B0643B">
        <w:t xml:space="preserve"> and in periodic tests of WEA’s C-Interface.  </w:t>
      </w:r>
      <w:r w:rsidRPr="00B0643B">
        <w:rPr>
          <w:i/>
        </w:rPr>
        <w:t>Id.</w:t>
      </w:r>
    </w:p>
  </w:footnote>
  <w:footnote w:id="8">
    <w:p w:rsidR="00C72B7C" w:rsidRPr="00B0643B" w:rsidP="00C72B7C">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 xml:space="preserve">31 FCC </w:t>
      </w:r>
      <w:r w:rsidRPr="00B0643B">
        <w:rPr>
          <w:iCs/>
        </w:rPr>
        <w:t>Rcd</w:t>
      </w:r>
      <w:r w:rsidRPr="00B0643B">
        <w:rPr>
          <w:iCs/>
        </w:rPr>
        <w:t xml:space="preserve"> 11112</w:t>
      </w:r>
      <w:r w:rsidRPr="00B0643B">
        <w:t>, 11154-11157, paras. 65-68 (2016).</w:t>
      </w:r>
    </w:p>
  </w:footnote>
  <w:footnote w:id="9">
    <w:p w:rsidR="00C72B7C" w:rsidRPr="002A285F" w:rsidP="00C72B7C">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6B00FB">
        <w:t>);</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0">
    <w:p w:rsidR="00C72B7C" w:rsidP="00C72B7C">
      <w:pPr>
        <w:pStyle w:val="FootnoteText"/>
      </w:pPr>
      <w:r>
        <w:rPr>
          <w:rStyle w:val="FootnoteReference"/>
        </w:rPr>
        <w:footnoteRef/>
      </w:r>
      <w:r>
        <w:t xml:space="preserve"> </w:t>
      </w:r>
      <w:r>
        <w:rPr>
          <w:i/>
        </w:rPr>
        <w:t xml:space="preserve">See </w:t>
      </w:r>
      <w:r w:rsidRPr="007740FF">
        <w:rPr>
          <w:i/>
        </w:rPr>
        <w:t>P</w:t>
      </w:r>
      <w:r>
        <w:rPr>
          <w:i/>
        </w:rPr>
        <w:t xml:space="preserve">ublic Safety &amp; Homeland Security Bureau Announces Delay in Availability of Certain Improvements to Wireless Emergency Alerts, </w:t>
      </w:r>
      <w:r>
        <w:t xml:space="preserve">Public </w:t>
      </w:r>
      <w:r w:rsidRPr="00760375">
        <w:t>Notice, DA 19-534 (PSHSB Jun</w:t>
      </w:r>
      <w:r>
        <w:t>e</w:t>
      </w:r>
      <w:r w:rsidRPr="00760375">
        <w:t xml:space="preserve"> 7, 2019);</w:t>
      </w:r>
      <w:r>
        <w:t xml:space="preserve"> </w:t>
      </w:r>
      <w:r>
        <w:rPr>
          <w:i/>
        </w:rPr>
        <w:t>Advisory Regarding May 1 Deadline for Improvements to Wireless Emergency Alerts and Guidance for State/Local Alert Originators</w:t>
      </w:r>
      <w:r>
        <w:t>,</w:t>
      </w:r>
      <w:r>
        <w:rPr>
          <w:i/>
        </w:rPr>
        <w:t xml:space="preserve"> </w:t>
      </w:r>
      <w:r>
        <w:t>Public Notice, DA 19</w:t>
      </w:r>
      <w:r w:rsidRPr="00EF145B">
        <w:t>-358</w:t>
      </w:r>
      <w:r>
        <w:t>, at 2</w:t>
      </w:r>
      <w:r w:rsidRPr="00EF145B">
        <w:t xml:space="preserve"> </w:t>
      </w:r>
      <w:r>
        <w:t>(PSHSB Apr. 30, 2019).</w:t>
      </w:r>
    </w:p>
  </w:footnote>
  <w:footnote w:id="11">
    <w:p w:rsidR="00894BEF">
      <w:pPr>
        <w:pStyle w:val="FootnoteText"/>
      </w:pPr>
      <w:r>
        <w:rPr>
          <w:rStyle w:val="FootnoteReference"/>
        </w:rPr>
        <w:footnoteRef/>
      </w:r>
      <w:r>
        <w:t xml:space="preserve"> Dallas Letter at 1.</w:t>
      </w:r>
    </w:p>
  </w:footnote>
  <w:footnote w:id="12">
    <w:p w:rsidR="00894BEF" w:rsidRPr="00894BEF">
      <w:pPr>
        <w:pStyle w:val="FootnoteText"/>
      </w:pPr>
      <w:r>
        <w:rPr>
          <w:rStyle w:val="FootnoteReference"/>
        </w:rPr>
        <w:footnoteRef/>
      </w:r>
      <w:r>
        <w:t xml:space="preserve"> </w:t>
      </w:r>
      <w:r>
        <w:rPr>
          <w:i/>
        </w:rPr>
        <w:t>Id</w:t>
      </w:r>
      <w:r>
        <w:t xml:space="preserve">. </w:t>
      </w:r>
    </w:p>
  </w:footnote>
  <w:footnote w:id="13">
    <w:p w:rsidR="00C34494" w:rsidRPr="00C34494">
      <w:pPr>
        <w:pStyle w:val="FootnoteText"/>
      </w:pPr>
      <w:r>
        <w:rPr>
          <w:rStyle w:val="FootnoteReference"/>
        </w:rPr>
        <w:footnoteRef/>
      </w:r>
      <w:r>
        <w:t xml:space="preserve"> </w:t>
      </w:r>
      <w:r>
        <w:rPr>
          <w:i/>
        </w:rPr>
        <w:t>Id</w:t>
      </w:r>
      <w:r>
        <w:t xml:space="preserve">. </w:t>
      </w:r>
    </w:p>
  </w:footnote>
  <w:footnote w:id="14">
    <w:p w:rsidR="00F83BC8" w:rsidRPr="00F83BC8">
      <w:pPr>
        <w:pStyle w:val="FootnoteText"/>
      </w:pPr>
      <w:r>
        <w:rPr>
          <w:rStyle w:val="FootnoteReference"/>
        </w:rPr>
        <w:footnoteRef/>
      </w:r>
      <w:r>
        <w:t xml:space="preserve"> </w:t>
      </w:r>
      <w:r>
        <w:rPr>
          <w:i/>
        </w:rPr>
        <w:t>Id</w:t>
      </w:r>
      <w:r>
        <w:t xml:space="preserve">. </w:t>
      </w:r>
    </w:p>
  </w:footnote>
  <w:footnote w:id="15">
    <w:p w:rsidR="001C5361" w:rsidRPr="001C5361">
      <w:pPr>
        <w:pStyle w:val="FootnoteText"/>
      </w:pPr>
      <w:r>
        <w:rPr>
          <w:rStyle w:val="FootnoteReference"/>
        </w:rPr>
        <w:footnoteRef/>
      </w:r>
      <w:r>
        <w:t xml:space="preserve"> </w:t>
      </w:r>
      <w:r>
        <w:rPr>
          <w:i/>
        </w:rPr>
        <w:t>Id</w:t>
      </w:r>
      <w:r>
        <w:t xml:space="preserve">. </w:t>
      </w:r>
      <w:r w:rsidR="00156F60">
        <w:t>at 1-2.</w:t>
      </w:r>
      <w:r>
        <w:t xml:space="preserve"> </w:t>
      </w:r>
    </w:p>
  </w:footnote>
  <w:footnote w:id="16">
    <w:p w:rsidR="001C5361" w:rsidRPr="001C5361">
      <w:pPr>
        <w:pStyle w:val="FootnoteText"/>
      </w:pPr>
      <w:r>
        <w:rPr>
          <w:rStyle w:val="FootnoteReference"/>
        </w:rPr>
        <w:footnoteRef/>
      </w:r>
      <w:r>
        <w:t xml:space="preserve"> </w:t>
      </w:r>
      <w:r>
        <w:rPr>
          <w:i/>
        </w:rPr>
        <w:t>Id</w:t>
      </w:r>
      <w:r>
        <w:t xml:space="preserve">. </w:t>
      </w:r>
      <w:r w:rsidR="00156F60">
        <w:t>at 1.</w:t>
      </w:r>
    </w:p>
  </w:footnote>
  <w:footnote w:id="17">
    <w:p w:rsidR="00B94FCC" w:rsidRPr="00B94FCC">
      <w:pPr>
        <w:pStyle w:val="FootnoteText"/>
      </w:pPr>
      <w:r>
        <w:rPr>
          <w:rStyle w:val="FootnoteReference"/>
        </w:rPr>
        <w:footnoteRef/>
      </w:r>
      <w:r>
        <w:t xml:space="preserve"> </w:t>
      </w:r>
      <w:r>
        <w:rPr>
          <w:i/>
        </w:rPr>
        <w:t>Id</w:t>
      </w:r>
      <w:r>
        <w:t xml:space="preserve">.  The test message is 89 characters. </w:t>
      </w:r>
    </w:p>
  </w:footnote>
  <w:footnote w:id="18">
    <w:p w:rsidR="0076645F" w:rsidRPr="0076645F">
      <w:pPr>
        <w:pStyle w:val="FootnoteText"/>
      </w:pPr>
      <w:r>
        <w:rPr>
          <w:rStyle w:val="FootnoteReference"/>
        </w:rPr>
        <w:footnoteRef/>
      </w:r>
      <w:r>
        <w:t xml:space="preserve"> </w:t>
      </w:r>
      <w:r>
        <w:rPr>
          <w:i/>
        </w:rPr>
        <w:t>Id</w:t>
      </w:r>
      <w:r>
        <w:t>. at 1-2.</w:t>
      </w:r>
    </w:p>
  </w:footnote>
  <w:footnote w:id="19">
    <w:p w:rsidR="00136659" w:rsidRPr="00136659">
      <w:pPr>
        <w:pStyle w:val="FootnoteText"/>
      </w:pPr>
      <w:r>
        <w:rPr>
          <w:rStyle w:val="FootnoteReference"/>
        </w:rPr>
        <w:footnoteRef/>
      </w:r>
      <w:r>
        <w:t xml:space="preserve"> </w:t>
      </w:r>
      <w:r>
        <w:rPr>
          <w:i/>
        </w:rPr>
        <w:t>Id</w:t>
      </w:r>
      <w:r>
        <w:t>. at 2.</w:t>
      </w:r>
    </w:p>
  </w:footnote>
  <w:footnote w:id="20">
    <w:p w:rsidR="0076645F" w:rsidRPr="00E04E39">
      <w:pPr>
        <w:pStyle w:val="FootnoteText"/>
      </w:pPr>
      <w:r>
        <w:rPr>
          <w:rStyle w:val="FootnoteReference"/>
        </w:rPr>
        <w:footnoteRef/>
      </w:r>
      <w:r>
        <w:t xml:space="preserve"> </w:t>
      </w:r>
      <w:r>
        <w:rPr>
          <w:i/>
        </w:rPr>
        <w:t>Id</w:t>
      </w:r>
      <w:r>
        <w:t>. at 1.</w:t>
      </w:r>
      <w:r w:rsidR="00DA426D">
        <w:t xml:space="preserve">  </w:t>
      </w:r>
      <w:r w:rsidR="00E04E39">
        <w:rPr>
          <w:i/>
        </w:rPr>
        <w:t>See also Improving Wireless Emergency Alerts and Community-Initiated Alerting; Amendments to Part 11 of the Commission’s Rules Regarding the Emergency Alert System</w:t>
      </w:r>
      <w:r w:rsidR="00E04E39">
        <w:t xml:space="preserve">, PS Dockets No. 15-91 and 15-94, Order, 34 FCC </w:t>
      </w:r>
      <w:r w:rsidR="00E04E39">
        <w:t>Rcd</w:t>
      </w:r>
      <w:r w:rsidR="00E04E39">
        <w:t xml:space="preserve"> 224 (PSHSB 2019).  </w:t>
      </w:r>
    </w:p>
  </w:footnote>
  <w:footnote w:id="21">
    <w:p w:rsidR="00F83BC8">
      <w:pPr>
        <w:pStyle w:val="FootnoteText"/>
      </w:pPr>
      <w:r>
        <w:rPr>
          <w:rStyle w:val="FootnoteReference"/>
        </w:rPr>
        <w:footnoteRef/>
      </w:r>
      <w:r>
        <w:t xml:space="preserve"> Dallas Letter at 1.</w:t>
      </w:r>
    </w:p>
  </w:footnote>
  <w:footnote w:id="22">
    <w:p w:rsidR="00F23110" w:rsidRPr="00F23110">
      <w:pPr>
        <w:pStyle w:val="FootnoteText"/>
      </w:pPr>
      <w:r>
        <w:rPr>
          <w:rStyle w:val="FootnoteReference"/>
        </w:rPr>
        <w:footnoteRef/>
      </w:r>
      <w:r>
        <w:t xml:space="preserve"> </w:t>
      </w:r>
      <w:r>
        <w:rPr>
          <w:i/>
        </w:rPr>
        <w:t>Id</w:t>
      </w:r>
      <w:r>
        <w:t xml:space="preserve">. at 2. </w:t>
      </w:r>
    </w:p>
  </w:footnote>
  <w:footnote w:id="23">
    <w:p w:rsidR="00C7761C" w:rsidRPr="00C7761C">
      <w:pPr>
        <w:pStyle w:val="FootnoteText"/>
      </w:pPr>
      <w:r>
        <w:rPr>
          <w:rStyle w:val="FootnoteReference"/>
        </w:rPr>
        <w:footnoteRef/>
      </w:r>
      <w:r>
        <w:t xml:space="preserve"> </w:t>
      </w:r>
      <w:r>
        <w:rPr>
          <w:i/>
        </w:rPr>
        <w:t>Id</w:t>
      </w:r>
      <w:r>
        <w:t xml:space="preserve">. </w:t>
      </w:r>
    </w:p>
  </w:footnote>
  <w:footnote w:id="24">
    <w:p w:rsidR="00F83BC8" w:rsidRPr="00F83BC8">
      <w:pPr>
        <w:pStyle w:val="FootnoteText"/>
      </w:pPr>
      <w:r>
        <w:rPr>
          <w:rStyle w:val="FootnoteReference"/>
        </w:rPr>
        <w:footnoteRef/>
      </w:r>
      <w:r>
        <w:t xml:space="preserve"> </w:t>
      </w:r>
      <w:r>
        <w:rPr>
          <w:i/>
        </w:rPr>
        <w:t>Id</w:t>
      </w:r>
      <w:r>
        <w:t xml:space="preserve">. </w:t>
      </w:r>
    </w:p>
  </w:footnote>
  <w:footnote w:id="25">
    <w:p w:rsidR="00053F2E" w:rsidRPr="00053F2E">
      <w:pPr>
        <w:pStyle w:val="FootnoteText"/>
      </w:pPr>
      <w:r>
        <w:rPr>
          <w:rStyle w:val="FootnoteReference"/>
        </w:rPr>
        <w:footnoteRef/>
      </w:r>
      <w:r>
        <w:t xml:space="preserve"> </w:t>
      </w:r>
      <w:r>
        <w:rPr>
          <w:i/>
        </w:rPr>
        <w:t>Id</w:t>
      </w:r>
      <w:r>
        <w:t xml:space="preserve">.  </w:t>
      </w:r>
    </w:p>
  </w:footnote>
  <w:footnote w:id="26">
    <w:p w:rsidR="008A2307" w:rsidRPr="00675326" w:rsidP="008A230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27">
    <w:p w:rsidR="008A2307" w:rsidRPr="00B0643B" w:rsidP="008A230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8">
    <w:p w:rsidR="008A2307">
      <w:pPr>
        <w:pStyle w:val="FootnoteText"/>
      </w:pPr>
      <w:r>
        <w:rPr>
          <w:rStyle w:val="FootnoteReference"/>
        </w:rPr>
        <w:footnoteRef/>
      </w:r>
      <w:r>
        <w:t xml:space="preserve"> Dallas Letter at 1.</w:t>
      </w:r>
    </w:p>
  </w:footnote>
  <w:footnote w:id="29">
    <w:p w:rsidR="008F75CC" w:rsidRPr="008F75CC">
      <w:pPr>
        <w:pStyle w:val="FootnoteText"/>
      </w:pPr>
      <w:r>
        <w:rPr>
          <w:rStyle w:val="FootnoteReference"/>
        </w:rPr>
        <w:footnoteRef/>
      </w:r>
      <w:r>
        <w:t xml:space="preserve"> </w:t>
      </w:r>
      <w:r>
        <w:rPr>
          <w:i/>
        </w:rPr>
        <w:t>Id</w:t>
      </w:r>
      <w:r>
        <w:t xml:space="preserve">.  </w:t>
      </w:r>
    </w:p>
  </w:footnote>
  <w:footnote w:id="30">
    <w:p w:rsidR="00DF567E" w:rsidRPr="00DF567E">
      <w:pPr>
        <w:pStyle w:val="FootnoteText"/>
      </w:pPr>
      <w:r>
        <w:rPr>
          <w:rStyle w:val="FootnoteReference"/>
        </w:rPr>
        <w:footnoteRef/>
      </w:r>
      <w:r>
        <w:t xml:space="preserve"> </w:t>
      </w:r>
      <w:r>
        <w:rPr>
          <w:i/>
        </w:rPr>
        <w:t>Id</w:t>
      </w:r>
      <w:r>
        <w:t>.</w:t>
      </w:r>
    </w:p>
  </w:footnote>
  <w:footnote w:id="31">
    <w:p w:rsidR="00DF567E" w:rsidP="00DF567E">
      <w:pPr>
        <w:pStyle w:val="FootnoteText"/>
      </w:pPr>
      <w:r>
        <w:rPr>
          <w:rStyle w:val="FootnoteReference"/>
        </w:rPr>
        <w:footnoteRef/>
      </w:r>
      <w:r>
        <w:t xml:space="preserve"> This waiver does not extend to any other circumstances involving the broadcast or transmission of the WEA Attention Signal.</w:t>
      </w:r>
    </w:p>
  </w:footnote>
  <w:footnote w:id="32">
    <w:p w:rsidR="00AB1695" w:rsidRPr="00B0643B" w:rsidP="00AB1695">
      <w:pPr>
        <w:pStyle w:val="FootnoteText"/>
      </w:pPr>
      <w:r w:rsidRPr="00B0643B">
        <w:rPr>
          <w:rStyle w:val="FootnoteReference"/>
        </w:rPr>
        <w:footnoteRef/>
      </w:r>
      <w:r w:rsidRPr="00B0643B">
        <w:t xml:space="preserve"> </w:t>
      </w:r>
      <w:r w:rsidRPr="00B0643B">
        <w:rPr>
          <w:spacing w:val="-1"/>
        </w:rPr>
        <w:t>For</w:t>
      </w:r>
      <w:r w:rsidRPr="00B0643B">
        <w:rPr>
          <w:spacing w:val="-4"/>
        </w:rPr>
        <w:t xml:space="preserve"> </w:t>
      </w:r>
      <w:r w:rsidRPr="00B0643B">
        <w:rPr>
          <w:spacing w:val="-1"/>
        </w:rPr>
        <w:t>example,</w:t>
      </w:r>
      <w:r w:rsidRPr="00B0643B">
        <w:rPr>
          <w:spacing w:val="-4"/>
        </w:rPr>
        <w:t xml:space="preserve"> </w:t>
      </w:r>
      <w:r w:rsidRPr="00B0643B">
        <w:rPr>
          <w:spacing w:val="-1"/>
        </w:rPr>
        <w:t>transmitting</w:t>
      </w:r>
      <w:r w:rsidRPr="00B0643B">
        <w:rPr>
          <w:spacing w:val="-5"/>
        </w:rPr>
        <w:t xml:space="preserve"> </w:t>
      </w:r>
      <w:r w:rsidRPr="00B0643B">
        <w:t>a</w:t>
      </w:r>
      <w:r w:rsidRPr="00B0643B">
        <w:rPr>
          <w:spacing w:val="-4"/>
        </w:rPr>
        <w:t xml:space="preserve"> </w:t>
      </w:r>
      <w:r w:rsidRPr="00B0643B">
        <w:t>WEA</w:t>
      </w:r>
      <w:r w:rsidRPr="00B0643B">
        <w:rPr>
          <w:spacing w:val="-5"/>
        </w:rPr>
        <w:t xml:space="preserve"> </w:t>
      </w:r>
      <w:r w:rsidRPr="00B0643B">
        <w:t>test</w:t>
      </w:r>
      <w:r w:rsidRPr="00B0643B">
        <w:rPr>
          <w:spacing w:val="-5"/>
        </w:rPr>
        <w:t xml:space="preserve"> </w:t>
      </w:r>
      <w:r w:rsidRPr="00B0643B">
        <w:rPr>
          <w:spacing w:val="-1"/>
        </w:rPr>
        <w:t>message</w:t>
      </w:r>
      <w:r w:rsidRPr="00B0643B">
        <w:rPr>
          <w:spacing w:val="-4"/>
        </w:rPr>
        <w:t xml:space="preserve"> </w:t>
      </w:r>
      <w:r w:rsidRPr="00B0643B">
        <w:rPr>
          <w:spacing w:val="-1"/>
        </w:rPr>
        <w:t>without</w:t>
      </w:r>
      <w:r w:rsidRPr="00B0643B">
        <w:rPr>
          <w:spacing w:val="-4"/>
        </w:rPr>
        <w:t xml:space="preserve"> </w:t>
      </w:r>
      <w:r w:rsidRPr="00B0643B">
        <w:t>first</w:t>
      </w:r>
      <w:r w:rsidRPr="00B0643B">
        <w:rPr>
          <w:spacing w:val="-4"/>
        </w:rPr>
        <w:t xml:space="preserve"> </w:t>
      </w:r>
      <w:r w:rsidRPr="00B0643B">
        <w:t>informing</w:t>
      </w:r>
      <w:r w:rsidRPr="00B0643B">
        <w:rPr>
          <w:spacing w:val="-5"/>
        </w:rPr>
        <w:t xml:space="preserve"> </w:t>
      </w:r>
      <w:r w:rsidRPr="00B0643B">
        <w:rPr>
          <w:spacing w:val="-1"/>
        </w:rPr>
        <w:t>emergency</w:t>
      </w:r>
      <w:r w:rsidRPr="00B0643B">
        <w:rPr>
          <w:spacing w:val="-5"/>
        </w:rPr>
        <w:t xml:space="preserve"> </w:t>
      </w:r>
      <w:r w:rsidRPr="00B0643B">
        <w:t>responders,</w:t>
      </w:r>
      <w:r w:rsidRPr="00B0643B">
        <w:rPr>
          <w:spacing w:val="-4"/>
        </w:rPr>
        <w:t xml:space="preserve"> such as</w:t>
      </w:r>
      <w:r w:rsidRPr="00B0643B">
        <w:rPr>
          <w:spacing w:val="-5"/>
        </w:rPr>
        <w:t xml:space="preserve"> </w:t>
      </w:r>
      <w:r>
        <w:t>91</w:t>
      </w:r>
      <w:r w:rsidRPr="00B0643B">
        <w:t>1</w:t>
      </w:r>
      <w:r w:rsidRPr="00B0643B">
        <w:rPr>
          <w:spacing w:val="-4"/>
        </w:rPr>
        <w:t xml:space="preserve"> </w:t>
      </w:r>
      <w:r w:rsidRPr="00B0643B">
        <w:rPr>
          <w:spacing w:val="-1"/>
        </w:rPr>
        <w:t>call</w:t>
      </w:r>
      <w:r w:rsidRPr="00B0643B">
        <w:rPr>
          <w:spacing w:val="75"/>
          <w:w w:val="99"/>
        </w:rPr>
        <w:t xml:space="preserve"> </w:t>
      </w:r>
      <w:r w:rsidRPr="00B0643B">
        <w:rPr>
          <w:spacing w:val="-1"/>
        </w:rPr>
        <w:t>centers,</w:t>
      </w:r>
      <w:r w:rsidRPr="00B0643B">
        <w:rPr>
          <w:spacing w:val="-5"/>
        </w:rPr>
        <w:t xml:space="preserve"> </w:t>
      </w:r>
      <w:r w:rsidRPr="00B0643B">
        <w:rPr>
          <w:spacing w:val="-1"/>
        </w:rPr>
        <w:t>and</w:t>
      </w:r>
      <w:r w:rsidRPr="00B0643B">
        <w:rPr>
          <w:spacing w:val="-4"/>
        </w:rPr>
        <w:t xml:space="preserve"> </w:t>
      </w:r>
      <w:r w:rsidRPr="00B0643B">
        <w:t>the</w:t>
      </w:r>
      <w:r w:rsidRPr="00B0643B">
        <w:rPr>
          <w:spacing w:val="-5"/>
        </w:rPr>
        <w:t xml:space="preserve"> </w:t>
      </w:r>
      <w:r w:rsidRPr="00B0643B">
        <w:t>public</w:t>
      </w:r>
      <w:r w:rsidRPr="00B0643B">
        <w:rPr>
          <w:spacing w:val="-4"/>
        </w:rPr>
        <w:t xml:space="preserve"> </w:t>
      </w:r>
      <w:r w:rsidRPr="00B0643B">
        <w:rPr>
          <w:spacing w:val="-1"/>
        </w:rPr>
        <w:t>about</w:t>
      </w:r>
      <w:r w:rsidRPr="00B0643B">
        <w:rPr>
          <w:spacing w:val="-4"/>
        </w:rPr>
        <w:t xml:space="preserve"> </w:t>
      </w:r>
      <w:r w:rsidRPr="00B0643B">
        <w:t>the</w:t>
      </w:r>
      <w:r w:rsidRPr="00B0643B">
        <w:rPr>
          <w:spacing w:val="-5"/>
        </w:rPr>
        <w:t xml:space="preserve"> </w:t>
      </w:r>
      <w:r w:rsidRPr="00B0643B">
        <w:t>test,</w:t>
      </w:r>
      <w:r w:rsidRPr="00B0643B">
        <w:rPr>
          <w:spacing w:val="-5"/>
        </w:rPr>
        <w:t xml:space="preserve"> </w:t>
      </w:r>
      <w:r w:rsidRPr="00B0643B">
        <w:rPr>
          <w:spacing w:val="-1"/>
        </w:rPr>
        <w:t>could</w:t>
      </w:r>
      <w:r w:rsidRPr="00B0643B">
        <w:rPr>
          <w:spacing w:val="-4"/>
        </w:rPr>
        <w:t xml:space="preserve"> </w:t>
      </w:r>
      <w:r w:rsidRPr="00B0643B">
        <w:t>predictably</w:t>
      </w:r>
      <w:r w:rsidRPr="00B0643B">
        <w:rPr>
          <w:spacing w:val="-4"/>
        </w:rPr>
        <w:t xml:space="preserve"> </w:t>
      </w:r>
      <w:r w:rsidRPr="00B0643B">
        <w:t>result</w:t>
      </w:r>
      <w:r w:rsidRPr="00B0643B">
        <w:rPr>
          <w:spacing w:val="-4"/>
        </w:rPr>
        <w:t xml:space="preserve"> </w:t>
      </w:r>
      <w:r w:rsidRPr="00B0643B">
        <w:t>in</w:t>
      </w:r>
      <w:r w:rsidRPr="00B0643B">
        <w:rPr>
          <w:spacing w:val="-5"/>
        </w:rPr>
        <w:t xml:space="preserve"> </w:t>
      </w:r>
      <w:r w:rsidRPr="00B0643B">
        <w:t>confusion</w:t>
      </w:r>
      <w:r w:rsidRPr="00B0643B">
        <w:rPr>
          <w:spacing w:val="-5"/>
        </w:rPr>
        <w:t xml:space="preserve"> </w:t>
      </w:r>
      <w:r w:rsidRPr="00B0643B">
        <w:t>or</w:t>
      </w:r>
      <w:r w:rsidRPr="00B0643B">
        <w:rPr>
          <w:spacing w:val="-4"/>
        </w:rPr>
        <w:t xml:space="preserve"> </w:t>
      </w:r>
      <w:r w:rsidRPr="00B0643B">
        <w:rPr>
          <w:spacing w:val="-1"/>
        </w:rPr>
        <w:t>panic.</w:t>
      </w:r>
    </w:p>
  </w:footnote>
  <w:footnote w:id="33">
    <w:p w:rsidR="00B65B34" w:rsidRPr="00B0643B" w:rsidP="00B65B34">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60DCC">
      <w:t>DA 19-</w:t>
    </w:r>
    <w:r w:rsidR="00334C9D">
      <w:t>1052</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F73A0">
      <w:rPr>
        <w:spacing w:val="-2"/>
      </w:rPr>
      <w:t>DA 19</w:t>
    </w:r>
    <w:r w:rsidR="00334C9D">
      <w:rPr>
        <w:spacing w:val="-2"/>
      </w:rPr>
      <w:t>-1052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A0"/>
    <w:rsid w:val="00036039"/>
    <w:rsid w:val="00037F90"/>
    <w:rsid w:val="00053F2E"/>
    <w:rsid w:val="000875BF"/>
    <w:rsid w:val="00096D8C"/>
    <w:rsid w:val="000A5291"/>
    <w:rsid w:val="000B7E59"/>
    <w:rsid w:val="000C0B65"/>
    <w:rsid w:val="000E05FE"/>
    <w:rsid w:val="000E3D42"/>
    <w:rsid w:val="0011588F"/>
    <w:rsid w:val="00122BD5"/>
    <w:rsid w:val="00133F79"/>
    <w:rsid w:val="00136659"/>
    <w:rsid w:val="00156F60"/>
    <w:rsid w:val="00194A66"/>
    <w:rsid w:val="001B31ED"/>
    <w:rsid w:val="001C4270"/>
    <w:rsid w:val="001C5361"/>
    <w:rsid w:val="001D3880"/>
    <w:rsid w:val="001D6BCF"/>
    <w:rsid w:val="001E01CA"/>
    <w:rsid w:val="00275CF5"/>
    <w:rsid w:val="0028301F"/>
    <w:rsid w:val="00285017"/>
    <w:rsid w:val="002A285F"/>
    <w:rsid w:val="002A2D2E"/>
    <w:rsid w:val="002C00E8"/>
    <w:rsid w:val="0032580D"/>
    <w:rsid w:val="00334C9D"/>
    <w:rsid w:val="00343749"/>
    <w:rsid w:val="003660ED"/>
    <w:rsid w:val="003A4DEE"/>
    <w:rsid w:val="003B0550"/>
    <w:rsid w:val="003B694F"/>
    <w:rsid w:val="003F171C"/>
    <w:rsid w:val="00412FC5"/>
    <w:rsid w:val="00422276"/>
    <w:rsid w:val="004242F1"/>
    <w:rsid w:val="00436ED9"/>
    <w:rsid w:val="00445A00"/>
    <w:rsid w:val="00451B0F"/>
    <w:rsid w:val="004C2EE3"/>
    <w:rsid w:val="004E4A22"/>
    <w:rsid w:val="004F7500"/>
    <w:rsid w:val="00511454"/>
    <w:rsid w:val="00511968"/>
    <w:rsid w:val="0055614C"/>
    <w:rsid w:val="00566D06"/>
    <w:rsid w:val="00572F79"/>
    <w:rsid w:val="005A36E9"/>
    <w:rsid w:val="005E14C2"/>
    <w:rsid w:val="00607BA5"/>
    <w:rsid w:val="0061180A"/>
    <w:rsid w:val="00626EB6"/>
    <w:rsid w:val="00641BA8"/>
    <w:rsid w:val="00655D03"/>
    <w:rsid w:val="00675326"/>
    <w:rsid w:val="00681200"/>
    <w:rsid w:val="00683388"/>
    <w:rsid w:val="00683F84"/>
    <w:rsid w:val="006A6A81"/>
    <w:rsid w:val="006B00FB"/>
    <w:rsid w:val="006F7393"/>
    <w:rsid w:val="0070224F"/>
    <w:rsid w:val="007115F7"/>
    <w:rsid w:val="00760375"/>
    <w:rsid w:val="0076645F"/>
    <w:rsid w:val="007740FF"/>
    <w:rsid w:val="0077577B"/>
    <w:rsid w:val="00785689"/>
    <w:rsid w:val="0079754B"/>
    <w:rsid w:val="007A1E6D"/>
    <w:rsid w:val="007B0EB2"/>
    <w:rsid w:val="007F73A0"/>
    <w:rsid w:val="00810B6F"/>
    <w:rsid w:val="00822CE0"/>
    <w:rsid w:val="00841AB1"/>
    <w:rsid w:val="00842B4B"/>
    <w:rsid w:val="0089293D"/>
    <w:rsid w:val="00894BEF"/>
    <w:rsid w:val="008A2307"/>
    <w:rsid w:val="008C444F"/>
    <w:rsid w:val="008C68F1"/>
    <w:rsid w:val="008F75CC"/>
    <w:rsid w:val="00911279"/>
    <w:rsid w:val="00921803"/>
    <w:rsid w:val="00926503"/>
    <w:rsid w:val="009726D8"/>
    <w:rsid w:val="0097339C"/>
    <w:rsid w:val="00984CB0"/>
    <w:rsid w:val="009A626F"/>
    <w:rsid w:val="009B5994"/>
    <w:rsid w:val="009D7308"/>
    <w:rsid w:val="009F76DB"/>
    <w:rsid w:val="009F7A1C"/>
    <w:rsid w:val="00A3257F"/>
    <w:rsid w:val="00A32C3B"/>
    <w:rsid w:val="00A45F4F"/>
    <w:rsid w:val="00A600A9"/>
    <w:rsid w:val="00A71D5B"/>
    <w:rsid w:val="00AA55B7"/>
    <w:rsid w:val="00AA5B9E"/>
    <w:rsid w:val="00AB1695"/>
    <w:rsid w:val="00AB2407"/>
    <w:rsid w:val="00AB53DF"/>
    <w:rsid w:val="00AD536F"/>
    <w:rsid w:val="00B0643B"/>
    <w:rsid w:val="00B07E5C"/>
    <w:rsid w:val="00B65B34"/>
    <w:rsid w:val="00B65F30"/>
    <w:rsid w:val="00B71F52"/>
    <w:rsid w:val="00B811F7"/>
    <w:rsid w:val="00B94FCC"/>
    <w:rsid w:val="00BA5DC6"/>
    <w:rsid w:val="00BA6196"/>
    <w:rsid w:val="00BC6D8C"/>
    <w:rsid w:val="00C06501"/>
    <w:rsid w:val="00C34006"/>
    <w:rsid w:val="00C34494"/>
    <w:rsid w:val="00C36B4C"/>
    <w:rsid w:val="00C426B1"/>
    <w:rsid w:val="00C66160"/>
    <w:rsid w:val="00C721AC"/>
    <w:rsid w:val="00C72B7C"/>
    <w:rsid w:val="00C7761C"/>
    <w:rsid w:val="00C87A15"/>
    <w:rsid w:val="00C90D6A"/>
    <w:rsid w:val="00CA247E"/>
    <w:rsid w:val="00CA6D21"/>
    <w:rsid w:val="00CC72B6"/>
    <w:rsid w:val="00D0218D"/>
    <w:rsid w:val="00D25FB5"/>
    <w:rsid w:val="00D42443"/>
    <w:rsid w:val="00D44223"/>
    <w:rsid w:val="00DA23D2"/>
    <w:rsid w:val="00DA2529"/>
    <w:rsid w:val="00DA426D"/>
    <w:rsid w:val="00DB130A"/>
    <w:rsid w:val="00DB2731"/>
    <w:rsid w:val="00DB2EBB"/>
    <w:rsid w:val="00DC10A1"/>
    <w:rsid w:val="00DC655F"/>
    <w:rsid w:val="00DD0B59"/>
    <w:rsid w:val="00DD7EBD"/>
    <w:rsid w:val="00DF567E"/>
    <w:rsid w:val="00DF62B6"/>
    <w:rsid w:val="00E04E39"/>
    <w:rsid w:val="00E07225"/>
    <w:rsid w:val="00E5409F"/>
    <w:rsid w:val="00E570F2"/>
    <w:rsid w:val="00E645A1"/>
    <w:rsid w:val="00E928F2"/>
    <w:rsid w:val="00E93B85"/>
    <w:rsid w:val="00EE6488"/>
    <w:rsid w:val="00EF145B"/>
    <w:rsid w:val="00F021FA"/>
    <w:rsid w:val="00F23110"/>
    <w:rsid w:val="00F40DA2"/>
    <w:rsid w:val="00F60DCC"/>
    <w:rsid w:val="00F62E97"/>
    <w:rsid w:val="00F64209"/>
    <w:rsid w:val="00F83BC8"/>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6342B48-7267-460D-925D-62AC9636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9F7A1C"/>
  </w:style>
  <w:style w:type="character" w:customStyle="1" w:styleId="ParaNumChar">
    <w:name w:val="ParaNum Char"/>
    <w:link w:val="ParaNum"/>
    <w:locked/>
    <w:rsid w:val="00DF567E"/>
    <w:rPr>
      <w:snapToGrid w:val="0"/>
      <w:kern w:val="28"/>
      <w:sz w:val="22"/>
    </w:rPr>
  </w:style>
  <w:style w:type="paragraph" w:styleId="BodyText">
    <w:name w:val="Body Text"/>
    <w:basedOn w:val="Normal"/>
    <w:link w:val="BodyTextChar"/>
    <w:uiPriority w:val="1"/>
    <w:qFormat/>
    <w:rsid w:val="00B65F30"/>
    <w:pPr>
      <w:ind w:left="120"/>
    </w:pPr>
    <w:rPr>
      <w:snapToGrid/>
      <w:kern w:val="0"/>
      <w:szCs w:val="22"/>
    </w:rPr>
  </w:style>
  <w:style w:type="character" w:customStyle="1" w:styleId="BodyTextChar">
    <w:name w:val="Body Text Char"/>
    <w:basedOn w:val="DefaultParagraphFont"/>
    <w:link w:val="BodyText"/>
    <w:uiPriority w:val="1"/>
    <w:rsid w:val="00B65F30"/>
    <w:rPr>
      <w:sz w:val="22"/>
      <w:szCs w:val="22"/>
    </w:rPr>
  </w:style>
  <w:style w:type="paragraph" w:styleId="ListParagraph">
    <w:name w:val="List Paragraph"/>
    <w:basedOn w:val="Normal"/>
    <w:uiPriority w:val="34"/>
    <w:qFormat/>
    <w:rsid w:val="00B65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