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25C0E" w:rsidRPr="00A24216" w:rsidP="00125C0E" w14:paraId="5B94C018" w14:textId="141EC905">
      <w:pPr>
        <w:jc w:val="right"/>
        <w:rPr>
          <w:b/>
          <w:szCs w:val="22"/>
        </w:rPr>
      </w:pPr>
      <w:r w:rsidRPr="00A24216">
        <w:rPr>
          <w:b/>
          <w:szCs w:val="22"/>
        </w:rPr>
        <w:t xml:space="preserve">DA </w:t>
      </w:r>
      <w:r w:rsidRPr="00A24216" w:rsidR="004A527C">
        <w:rPr>
          <w:b/>
          <w:szCs w:val="22"/>
        </w:rPr>
        <w:t>19-</w:t>
      </w:r>
      <w:r w:rsidR="008A47BF">
        <w:rPr>
          <w:b/>
          <w:szCs w:val="22"/>
        </w:rPr>
        <w:t>1057</w:t>
      </w:r>
    </w:p>
    <w:p w:rsidR="00125C0E" w:rsidRPr="00A24216" w:rsidP="00125C0E" w14:paraId="749A48CF" w14:textId="4B61041A">
      <w:pPr>
        <w:spacing w:before="60"/>
        <w:jc w:val="right"/>
        <w:rPr>
          <w:b/>
          <w:szCs w:val="22"/>
        </w:rPr>
      </w:pPr>
      <w:r w:rsidRPr="00A24216">
        <w:rPr>
          <w:b/>
          <w:szCs w:val="22"/>
        </w:rPr>
        <w:t>October</w:t>
      </w:r>
      <w:r w:rsidRPr="00A24216" w:rsidR="004A527C">
        <w:rPr>
          <w:b/>
          <w:szCs w:val="22"/>
        </w:rPr>
        <w:t xml:space="preserve"> </w:t>
      </w:r>
      <w:r w:rsidR="0047619B">
        <w:rPr>
          <w:b/>
          <w:szCs w:val="22"/>
        </w:rPr>
        <w:t>21</w:t>
      </w:r>
      <w:r w:rsidRPr="00A24216" w:rsidR="004A527C">
        <w:rPr>
          <w:b/>
          <w:szCs w:val="22"/>
        </w:rPr>
        <w:t>, 2019</w:t>
      </w:r>
    </w:p>
    <w:p w:rsidR="00125C0E" w:rsidRPr="00854B58" w:rsidP="00125C0E" w14:paraId="5DE82336" w14:textId="77777777">
      <w:pPr>
        <w:jc w:val="right"/>
        <w:rPr>
          <w:b/>
          <w:sz w:val="24"/>
        </w:rPr>
      </w:pPr>
    </w:p>
    <w:p w:rsidR="00125C0E" w:rsidP="00A24216" w14:paraId="4818DC7C" w14:textId="1DA9B216">
      <w:pPr>
        <w:jc w:val="center"/>
        <w:rPr>
          <w:b/>
          <w:szCs w:val="22"/>
        </w:rPr>
      </w:pPr>
      <w:r w:rsidRPr="00A24216">
        <w:rPr>
          <w:b/>
          <w:szCs w:val="22"/>
        </w:rPr>
        <w:t xml:space="preserve">INCENTIVE </w:t>
      </w:r>
      <w:r w:rsidRPr="00A24216">
        <w:rPr>
          <w:b/>
          <w:szCs w:val="22"/>
        </w:rPr>
        <w:t>AUCTION OF UPPER MICROWAVE</w:t>
      </w:r>
      <w:r w:rsidR="005336B7">
        <w:rPr>
          <w:b/>
          <w:szCs w:val="22"/>
        </w:rPr>
        <w:t>,</w:t>
      </w:r>
      <w:r w:rsidRPr="00A24216">
        <w:rPr>
          <w:b/>
          <w:szCs w:val="22"/>
        </w:rPr>
        <w:t xml:space="preserve"> FLEXIBLE USE SERVICE LICENSES </w:t>
      </w:r>
      <w:r w:rsidRPr="00A24216" w:rsidR="00DD588F">
        <w:rPr>
          <w:b/>
          <w:szCs w:val="22"/>
        </w:rPr>
        <w:t>IN</w:t>
      </w:r>
      <w:r w:rsidR="00A24216">
        <w:rPr>
          <w:b/>
          <w:szCs w:val="22"/>
        </w:rPr>
        <w:t xml:space="preserve"> </w:t>
      </w:r>
      <w:r w:rsidRPr="00A24216" w:rsidR="00DD588F">
        <w:rPr>
          <w:b/>
          <w:szCs w:val="22"/>
        </w:rPr>
        <w:t>THE UPPER 37 GH</w:t>
      </w:r>
      <w:r w:rsidRPr="00A24216" w:rsidR="00D642B5">
        <w:rPr>
          <w:b/>
          <w:szCs w:val="22"/>
        </w:rPr>
        <w:t>Z</w:t>
      </w:r>
      <w:r w:rsidRPr="00A24216" w:rsidR="00DD588F">
        <w:rPr>
          <w:b/>
          <w:szCs w:val="22"/>
        </w:rPr>
        <w:t>, 39 GH</w:t>
      </w:r>
      <w:r w:rsidRPr="00A24216" w:rsidR="00D642B5">
        <w:rPr>
          <w:b/>
          <w:szCs w:val="22"/>
        </w:rPr>
        <w:t>Z</w:t>
      </w:r>
      <w:r w:rsidRPr="00A24216" w:rsidR="00DD588F">
        <w:rPr>
          <w:b/>
          <w:szCs w:val="22"/>
        </w:rPr>
        <w:t>, AND 47 GH</w:t>
      </w:r>
      <w:r w:rsidRPr="00A24216" w:rsidR="00D642B5">
        <w:rPr>
          <w:b/>
          <w:szCs w:val="22"/>
        </w:rPr>
        <w:t>Z</w:t>
      </w:r>
      <w:r w:rsidRPr="00A24216" w:rsidR="00DD588F">
        <w:rPr>
          <w:b/>
          <w:szCs w:val="22"/>
        </w:rPr>
        <w:t xml:space="preserve"> BANDS</w:t>
      </w:r>
      <w:r w:rsidR="00A24216">
        <w:rPr>
          <w:b/>
          <w:szCs w:val="22"/>
        </w:rPr>
        <w:t xml:space="preserve"> </w:t>
      </w:r>
      <w:r w:rsidRPr="00A24216">
        <w:rPr>
          <w:b/>
          <w:szCs w:val="22"/>
        </w:rPr>
        <w:t xml:space="preserve">FOR NEXT-GENERATION WIRELESS SERVICES </w:t>
      </w:r>
    </w:p>
    <w:p w:rsidR="00501405" w:rsidP="00A24216" w14:paraId="1ECD67BD" w14:textId="77777777">
      <w:pPr>
        <w:jc w:val="center"/>
        <w:rPr>
          <w:b/>
          <w:szCs w:val="22"/>
        </w:rPr>
      </w:pPr>
    </w:p>
    <w:p w:rsidR="00125C0E" w:rsidRPr="00A24216" w:rsidP="00125C0E" w14:paraId="3B5FB6CF" w14:textId="0EFD3198">
      <w:pPr>
        <w:jc w:val="center"/>
        <w:rPr>
          <w:b/>
          <w:szCs w:val="22"/>
        </w:rPr>
      </w:pPr>
      <w:r>
        <w:rPr>
          <w:b/>
          <w:szCs w:val="22"/>
        </w:rPr>
        <w:t xml:space="preserve">INFORMATION ON </w:t>
      </w:r>
      <w:r w:rsidR="00501405">
        <w:rPr>
          <w:b/>
          <w:szCs w:val="22"/>
        </w:rPr>
        <w:t xml:space="preserve">LICENSE AREA SELECTIONS ON </w:t>
      </w:r>
      <w:r w:rsidRPr="00A24216" w:rsidR="00DD588F">
        <w:rPr>
          <w:b/>
          <w:szCs w:val="22"/>
        </w:rPr>
        <w:t>SHORT-FORM APPLICATIONS TO PARTICIPATE IN AUCTION 103</w:t>
      </w:r>
    </w:p>
    <w:p w:rsidR="00125C0E" w:rsidRPr="00A24216" w:rsidP="00125C0E" w14:paraId="61F4ED74" w14:textId="7CEC3A9D">
      <w:pPr>
        <w:spacing w:before="120" w:after="240"/>
        <w:jc w:val="center"/>
        <w:rPr>
          <w:b/>
          <w:szCs w:val="22"/>
        </w:rPr>
      </w:pPr>
      <w:r w:rsidRPr="00A24216">
        <w:rPr>
          <w:b/>
          <w:szCs w:val="22"/>
        </w:rPr>
        <w:t>AU Docket No. 1</w:t>
      </w:r>
      <w:r w:rsidR="005A4984">
        <w:rPr>
          <w:b/>
          <w:szCs w:val="22"/>
        </w:rPr>
        <w:t>9</w:t>
      </w:r>
      <w:r w:rsidRPr="00A24216">
        <w:rPr>
          <w:b/>
          <w:szCs w:val="22"/>
        </w:rPr>
        <w:t>-5</w:t>
      </w:r>
      <w:r w:rsidR="005A4984">
        <w:rPr>
          <w:b/>
          <w:szCs w:val="22"/>
        </w:rPr>
        <w:t>9</w:t>
      </w:r>
    </w:p>
    <w:p w:rsidR="00C016F1" w:rsidRPr="00AE5051" w:rsidP="00C016F1" w14:paraId="5E540FE0" w14:textId="7793A8F1">
      <w:pPr>
        <w:pStyle w:val="ParaNum"/>
        <w:widowControl/>
      </w:pPr>
      <w:r>
        <w:t xml:space="preserve">By this Public Notice, the Office of Economics and Analytics (OEA), in conjunction with the Wireless Telecommunications Bureau (WTB), provide information on the circumstances relating to an inadvertent availability in public search for under three hours on October 7, 2019, of license area selections on the short-form applications </w:t>
      </w:r>
      <w:r w:rsidR="00AF0CED">
        <w:t>submitted</w:t>
      </w:r>
      <w:r>
        <w:t xml:space="preserve"> for Auction </w:t>
      </w:r>
      <w:r w:rsidRPr="00287D58">
        <w:t>103</w:t>
      </w:r>
      <w:r>
        <w:t xml:space="preserve">.  As a result, the license </w:t>
      </w:r>
      <w:r w:rsidR="005336B7">
        <w:t xml:space="preserve">area </w:t>
      </w:r>
      <w:r>
        <w:t>selections of a small number of applicants were viewed during that period</w:t>
      </w:r>
      <w:r w:rsidRPr="00287D58">
        <w:t xml:space="preserve">.  </w:t>
      </w:r>
      <w:r>
        <w:t>This Public Notice also describes the circumstances that mitigate any potent</w:t>
      </w:r>
      <w:bookmarkStart w:id="0" w:name="_GoBack"/>
      <w:bookmarkEnd w:id="0"/>
      <w:r>
        <w:t xml:space="preserve">ial harm from the availability of the information and the next steps we will take to further protect competition in the auction.  </w:t>
      </w:r>
    </w:p>
    <w:p w:rsidR="00C016F1" w:rsidRPr="00AE5051" w:rsidP="00C016F1" w14:paraId="2EE6B5A7" w14:textId="77777777">
      <w:pPr>
        <w:pStyle w:val="ParaNum"/>
        <w:widowControl/>
      </w:pPr>
      <w:r w:rsidRPr="00287D58">
        <w:t>Auction</w:t>
      </w:r>
      <w:r>
        <w:t xml:space="preserve"> 103, which is scheduled to begin December 10, 2019, will offer Upper Microwave Flexible Use Service (UMFUS) licenses in the Upper 37 GHz (37.6–38.6 GHz), 39 GHz (38.6–40 GHz), and 47 GHz (47.2–48.2 GHz) bands</w:t>
      </w:r>
      <w:r w:rsidRPr="00E5449C">
        <w:t>.</w:t>
      </w:r>
      <w:r>
        <w:rPr>
          <w:rStyle w:val="FootnoteReference"/>
        </w:rPr>
        <w:footnoteReference w:id="3"/>
      </w:r>
      <w:r>
        <w:t xml:space="preserve">  Thirty-nine </w:t>
      </w:r>
      <w:r w:rsidRPr="00AE5051">
        <w:t>short-form applications to participate in Auction 103 (FCC Forms 175)</w:t>
      </w:r>
      <w:r>
        <w:t xml:space="preserve"> were submitted.</w:t>
      </w:r>
      <w:r>
        <w:rPr>
          <w:rStyle w:val="FootnoteReference"/>
        </w:rPr>
        <w:footnoteReference w:id="4"/>
      </w:r>
      <w:r>
        <w:t xml:space="preserve">  After reviewing those applications </w:t>
      </w:r>
      <w:r w:rsidRPr="00AE5051">
        <w:t>for completeness and compliance with the Commission’s rules</w:t>
      </w:r>
      <w:r>
        <w:t xml:space="preserve">, we released the </w:t>
      </w:r>
      <w:r w:rsidRPr="00843227">
        <w:rPr>
          <w:i/>
        </w:rPr>
        <w:t>Auction 103 Status Public Notice</w:t>
      </w:r>
      <w:r>
        <w:t xml:space="preserve"> on October 7, 2019, which classified the applications into two categories: complete and incomplete.</w:t>
      </w:r>
      <w:r>
        <w:rPr>
          <w:rStyle w:val="FootnoteReference"/>
        </w:rPr>
        <w:footnoteReference w:id="5"/>
      </w:r>
    </w:p>
    <w:p w:rsidR="00C016F1" w:rsidP="00C016F1" w14:paraId="63D3A10E" w14:textId="3C2ECAE5">
      <w:pPr>
        <w:pStyle w:val="ParaNum"/>
        <w:widowControl/>
        <w:tabs>
          <w:tab w:val="clear" w:pos="1440"/>
        </w:tabs>
      </w:pPr>
      <w:r>
        <w:t xml:space="preserve">Consistent with our usual practice, we made the applications publicly available that same day concurrent with our release of the </w:t>
      </w:r>
      <w:r>
        <w:rPr>
          <w:i/>
        </w:rPr>
        <w:t>Auction 103 Status Public Notice</w:t>
      </w:r>
      <w:r>
        <w:t>.</w:t>
      </w:r>
      <w:r>
        <w:rPr>
          <w:rStyle w:val="FootnoteReference"/>
        </w:rPr>
        <w:footnoteReference w:id="6"/>
      </w:r>
      <w:r>
        <w:t xml:space="preserve">  </w:t>
      </w:r>
      <w:r w:rsidR="005336B7">
        <w:t>C</w:t>
      </w:r>
      <w:r>
        <w:t xml:space="preserve">onsistent with our anonymous bidding procedures, we intended to make available each applicant’s entire FCC Form 175 </w:t>
      </w:r>
      <w:r>
        <w:rPr>
          <w:i/>
        </w:rPr>
        <w:t xml:space="preserve">except for </w:t>
      </w:r>
      <w:r>
        <w:t>the Partial Economic Areas (PEAs) selected</w:t>
      </w:r>
      <w:r w:rsidR="005336B7">
        <w:t>.</w:t>
      </w:r>
      <w:r>
        <w:rPr>
          <w:rStyle w:val="FootnoteReference"/>
        </w:rPr>
        <w:footnoteReference w:id="7"/>
      </w:r>
      <w:r>
        <w:t xml:space="preserve"> </w:t>
      </w:r>
      <w:r w:rsidR="005336B7">
        <w:t xml:space="preserve"> The information on PEAs selected </w:t>
      </w:r>
      <w:r>
        <w:t xml:space="preserve">was </w:t>
      </w:r>
      <w:r w:rsidRPr="00E751BD">
        <w:t>inadvertently made accessible to the public for a short period</w:t>
      </w:r>
      <w:r w:rsidR="005336B7">
        <w:t>, however</w:t>
      </w:r>
      <w:r w:rsidRPr="00E751BD">
        <w:t>.  When we</w:t>
      </w:r>
      <w:r>
        <w:t xml:space="preserve"> became aware that the license area </w:t>
      </w:r>
      <w:r>
        <w:t>selections were publicly viewable,</w:t>
      </w:r>
      <w:r>
        <w:rPr>
          <w:rStyle w:val="FootnoteReference"/>
        </w:rPr>
        <w:footnoteReference w:id="8"/>
      </w:r>
      <w:r>
        <w:t xml:space="preserve"> we immediately suppressed this information from public search to prevent any further access to that information.     </w:t>
      </w:r>
    </w:p>
    <w:p w:rsidR="00C016F1" w:rsidP="00C016F1" w14:paraId="48D68AAD" w14:textId="664B7764">
      <w:pPr>
        <w:pStyle w:val="ParaNum"/>
        <w:widowControl/>
        <w:tabs>
          <w:tab w:val="clear" w:pos="1440"/>
        </w:tabs>
      </w:pPr>
      <w:r>
        <w:t xml:space="preserve">Our internal investigation found that the license area selections of only </w:t>
      </w:r>
      <w:r w:rsidR="0016724F">
        <w:t xml:space="preserve">a small minority of </w:t>
      </w:r>
      <w:r>
        <w:t>applicants were accessed during this period</w:t>
      </w:r>
      <w:r w:rsidR="00EC3BD2">
        <w:t>, and those selections were accessed only a small number of times.</w:t>
      </w:r>
      <w:r>
        <w:t xml:space="preserve">  We have notified the affected applicants that their license area selections were accessed.  </w:t>
      </w:r>
    </w:p>
    <w:p w:rsidR="00C016F1" w:rsidP="00C016F1" w14:paraId="41D911EC" w14:textId="5DF55D3A">
      <w:pPr>
        <w:pStyle w:val="ParaNum"/>
        <w:widowControl/>
        <w:tabs>
          <w:tab w:val="clear" w:pos="1440"/>
        </w:tabs>
      </w:pPr>
      <w:r>
        <w:t xml:space="preserve">As a threshold matter, we do not foresee any adverse impact on competition in Auction 103 as a result of the brief availability of this information.  Each PEA </w:t>
      </w:r>
      <w:r w:rsidR="00626446">
        <w:t xml:space="preserve">whose selection was inadvertently revealed </w:t>
      </w:r>
      <w:r>
        <w:t xml:space="preserve">was selected by a minimum of 18 applicants.  In addition, there are 34 blocks available in each license area, and the selection by an applicant of any </w:t>
      </w:r>
      <w:r>
        <w:t>particular PEA</w:t>
      </w:r>
      <w:r>
        <w:t xml:space="preserve"> does not necessarily convey an intention to place bids on that PEA, nor does it provide any information about the number of blocks being targeted by the applicant.  Consequently, it would not be possible to discern with any certainty the </w:t>
      </w:r>
      <w:r>
        <w:t>particular bidders</w:t>
      </w:r>
      <w:r>
        <w:t xml:space="preserve"> placing bids on any specific license area.  </w:t>
      </w:r>
      <w:r w:rsidR="00626446">
        <w:t>These circumstances together with the very limited scope of the disclosure as determined by our investigation convince us that knowledge of the license selections of the applicants whose license area selections were viewed will not provide a material—if any—competitive advantage during the bidding.</w:t>
      </w:r>
      <w:r>
        <w:t xml:space="preserve">  </w:t>
      </w:r>
    </w:p>
    <w:p w:rsidR="00C016F1" w:rsidP="00C016F1" w14:paraId="3F916B9E" w14:textId="0C1AF330">
      <w:pPr>
        <w:pStyle w:val="ParaNum"/>
        <w:widowControl/>
        <w:tabs>
          <w:tab w:val="clear" w:pos="1440"/>
        </w:tabs>
      </w:pPr>
      <w:r>
        <w:t>Nonetheless, we are cognizant of the perceived possible impact of this inadvertent disclosure on those applicants.  Accordingly, we are providing certain affected applicants with additional flexibility with respect to their license area selections.  On our own motion, for those affected applicants that selected fewer than all 416 PEAs</w:t>
      </w:r>
      <w:r w:rsidR="00626446">
        <w:t>,</w:t>
      </w:r>
      <w:r>
        <w:t xml:space="preserve"> </w:t>
      </w:r>
      <w:r w:rsidR="00626446">
        <w:t xml:space="preserve">we waive </w:t>
      </w:r>
      <w:r>
        <w:t xml:space="preserve">section 1.2105(b)(2) of the Commission’s rules, which generally prohibits </w:t>
      </w:r>
      <w:r w:rsidRPr="003C0FC2">
        <w:t xml:space="preserve">changes </w:t>
      </w:r>
      <w:r>
        <w:t xml:space="preserve">to an auction applicant’s </w:t>
      </w:r>
      <w:r w:rsidRPr="003C0FC2">
        <w:t xml:space="preserve">license </w:t>
      </w:r>
      <w:r>
        <w:t xml:space="preserve">area selection after </w:t>
      </w:r>
      <w:r w:rsidRPr="003C0FC2">
        <w:t xml:space="preserve">the short-form application </w:t>
      </w:r>
      <w:r>
        <w:t>deadline.</w:t>
      </w:r>
      <w:r>
        <w:rPr>
          <w:rStyle w:val="FootnoteReference"/>
        </w:rPr>
        <w:footnoteReference w:id="9"/>
      </w:r>
      <w:r>
        <w:t xml:space="preserve">  This will allow those affected applicants that did not select all PEAs to change their license area selections during the limited period described below.</w:t>
      </w:r>
    </w:p>
    <w:p w:rsidR="00C016F1" w:rsidP="00C016F1" w14:paraId="48DA60EB" w14:textId="038E407F">
      <w:pPr>
        <w:pStyle w:val="ParaNum"/>
        <w:widowControl/>
        <w:tabs>
          <w:tab w:val="clear" w:pos="1440"/>
        </w:tabs>
      </w:pPr>
      <w:r>
        <w:t>S</w:t>
      </w:r>
      <w:r w:rsidRPr="00C75BE5">
        <w:t>ection 1.925 of the Commission’s rules</w:t>
      </w:r>
      <w:r>
        <w:t xml:space="preserve"> permit a waiver when</w:t>
      </w:r>
      <w:r w:rsidR="006646C7">
        <w:t>:</w:t>
      </w:r>
      <w:r w:rsidRPr="00C75BE5">
        <w:t xml:space="preserve"> (1) the underlying purpose of the rule would not be served or would be frustrated by application to the instant case, and that a grant of the waiver would be in the public interest, or (2) in view of the unique or unusual factual circumstances of the instant case, application of the rule would be inequitable, unduly burdensome or contrary to the public interest, or th</w:t>
      </w:r>
      <w:r>
        <w:t xml:space="preserve">ere is no </w:t>
      </w:r>
      <w:r w:rsidRPr="00C75BE5">
        <w:t>reasonable alternative.</w:t>
      </w:r>
      <w:r>
        <w:rPr>
          <w:rStyle w:val="FootnoteReference"/>
          <w:szCs w:val="22"/>
        </w:rPr>
        <w:footnoteReference w:id="10"/>
      </w:r>
      <w:r>
        <w:t xml:space="preserve">  Our </w:t>
      </w:r>
      <w:r w:rsidRPr="00981B3A">
        <w:rPr>
          <w:i/>
        </w:rPr>
        <w:t>sua</w:t>
      </w:r>
      <w:r w:rsidRPr="00981B3A">
        <w:rPr>
          <w:i/>
        </w:rPr>
        <w:t xml:space="preserve"> sponte</w:t>
      </w:r>
      <w:r>
        <w:t xml:space="preserve"> waiver addresses an unusual event, which has not previously occurred in </w:t>
      </w:r>
      <w:r w:rsidR="00027631">
        <w:t xml:space="preserve">any FCC spectrum </w:t>
      </w:r>
      <w:r>
        <w:t xml:space="preserve">auction.  Preventing applicants that did not select all PEAs and whose license area selections were viewed from adjusting those selections would be both inequitable and contrary to the public interest.  Allowing these affected </w:t>
      </w:r>
      <w:r>
        <w:t>applicants</w:t>
      </w:r>
      <w:r>
        <w:t xml:space="preserve"> the opportunity to modify their license area selections, whether they choose to do so or not, mitigates any perceived informational advantage.  Furthermore, under these unique circumstances, fairness dictates that those applicants that selected fewer than all PEAs </w:t>
      </w:r>
      <w:r w:rsidR="00A82DF5">
        <w:t xml:space="preserve">and </w:t>
      </w:r>
      <w:r>
        <w:t>whose license area selections were accessed be granted additional flexibility to select different license areas</w:t>
      </w:r>
      <w:r w:rsidR="00A82DF5">
        <w:t xml:space="preserve">.  This will </w:t>
      </w:r>
      <w:r>
        <w:t>allow them to implement new bidding strategies and backup bidding strategies.</w:t>
      </w:r>
    </w:p>
    <w:p w:rsidR="00C016F1" w:rsidP="00C016F1" w14:paraId="7CC4ED03" w14:textId="2FF8FA73">
      <w:pPr>
        <w:pStyle w:val="ParaNum"/>
        <w:widowControl/>
        <w:tabs>
          <w:tab w:val="clear" w:pos="1440"/>
        </w:tabs>
      </w:pPr>
      <w:r>
        <w:rPr>
          <w:rFonts w:eastAsia="TimesNewRoman"/>
        </w:rPr>
        <w:t xml:space="preserve">To change its license area selection(s), an applicant </w:t>
      </w:r>
      <w:r w:rsidRPr="00435180">
        <w:rPr>
          <w:szCs w:val="22"/>
        </w:rPr>
        <w:t xml:space="preserve">must </w:t>
      </w:r>
      <w:r>
        <w:rPr>
          <w:szCs w:val="22"/>
        </w:rPr>
        <w:t>have been advised by Commission staff that it is eligible for this opportunity</w:t>
      </w:r>
      <w:r w:rsidR="00A82DF5">
        <w:rPr>
          <w:szCs w:val="22"/>
        </w:rPr>
        <w:t>,</w:t>
      </w:r>
      <w:r>
        <w:rPr>
          <w:szCs w:val="22"/>
        </w:rPr>
        <w:t xml:space="preserve"> and </w:t>
      </w:r>
      <w:r w:rsidR="00A82DF5">
        <w:rPr>
          <w:szCs w:val="22"/>
        </w:rPr>
        <w:t xml:space="preserve">it </w:t>
      </w:r>
      <w:r>
        <w:rPr>
          <w:szCs w:val="22"/>
        </w:rPr>
        <w:t xml:space="preserve">must </w:t>
      </w:r>
      <w:r w:rsidRPr="00435180">
        <w:rPr>
          <w:szCs w:val="22"/>
        </w:rPr>
        <w:t xml:space="preserve">submit a written request by email to </w:t>
      </w:r>
      <w:hyperlink r:id="rId5" w:history="1">
        <w:r w:rsidRPr="00435180">
          <w:rPr>
            <w:rStyle w:val="Hyperlink"/>
            <w:szCs w:val="22"/>
          </w:rPr>
          <w:t>auction103@fcc.gov</w:t>
        </w:r>
      </w:hyperlink>
      <w:r w:rsidRPr="00435180">
        <w:rPr>
          <w:szCs w:val="22"/>
        </w:rPr>
        <w:t xml:space="preserve"> requesting that the Commission manually make the change </w:t>
      </w:r>
      <w:r>
        <w:rPr>
          <w:szCs w:val="22"/>
        </w:rPr>
        <w:t xml:space="preserve">to the application </w:t>
      </w:r>
      <w:r w:rsidRPr="00435180">
        <w:rPr>
          <w:szCs w:val="22"/>
        </w:rPr>
        <w:t>on the applicant’s behalf</w:t>
      </w:r>
      <w:r>
        <w:t>.</w:t>
      </w:r>
      <w:r>
        <w:rPr>
          <w:rStyle w:val="FootnoteReference"/>
        </w:rPr>
        <w:footnoteReference w:id="11"/>
      </w:r>
      <w:r>
        <w:t xml:space="preserve">  </w:t>
      </w:r>
      <w:r w:rsidRPr="00DA11AB">
        <w:rPr>
          <w:b/>
        </w:rPr>
        <w:t>This request must be received</w:t>
      </w:r>
      <w:r>
        <w:rPr>
          <w:b/>
        </w:rPr>
        <w:t xml:space="preserve"> by </w:t>
      </w:r>
      <w:r w:rsidRPr="00DA11AB">
        <w:rPr>
          <w:b/>
        </w:rPr>
        <w:t xml:space="preserve">no later than </w:t>
      </w:r>
      <w:r>
        <w:rPr>
          <w:b/>
        </w:rPr>
        <w:t>6</w:t>
      </w:r>
      <w:r w:rsidRPr="00DA11AB">
        <w:rPr>
          <w:b/>
        </w:rPr>
        <w:t>:</w:t>
      </w:r>
      <w:r>
        <w:rPr>
          <w:b/>
        </w:rPr>
        <w:t>00</w:t>
      </w:r>
      <w:r w:rsidRPr="00DA11AB">
        <w:rPr>
          <w:b/>
        </w:rPr>
        <w:t xml:space="preserve"> PM ET on October 23, 2019.</w:t>
      </w:r>
      <w:r w:rsidRPr="00DA11AB">
        <w:t xml:space="preserve"> </w:t>
      </w:r>
      <w:r>
        <w:t xml:space="preserve"> </w:t>
      </w:r>
    </w:p>
    <w:p w:rsidR="00C016F1" w:rsidRPr="00495005" w:rsidP="00C016F1" w14:paraId="29C57D88" w14:textId="77777777">
      <w:pPr>
        <w:pStyle w:val="ParaNum"/>
        <w:widowControl/>
        <w:tabs>
          <w:tab w:val="clear" w:pos="1440"/>
        </w:tabs>
      </w:pPr>
      <w:r>
        <w:t xml:space="preserve">We recognize that this due date is subsequent to the 6:00 PM ET deadline on October 22, 2019, for all applicants to submit an upfront payment.  </w:t>
      </w:r>
      <w:r w:rsidRPr="00BB1E2E">
        <w:rPr>
          <w:b/>
        </w:rPr>
        <w:t xml:space="preserve">We are not extending the upfront </w:t>
      </w:r>
      <w:r>
        <w:rPr>
          <w:b/>
        </w:rPr>
        <w:t xml:space="preserve">payment </w:t>
      </w:r>
      <w:r w:rsidRPr="00BB1E2E">
        <w:rPr>
          <w:b/>
        </w:rPr>
        <w:t>deadline for any applicant.</w:t>
      </w:r>
      <w:r>
        <w:t xml:space="preserve">  As such, each affected applicant should exercise appropriate diligence and carefully calculate the amount of its upfront payment to ensure that the payment provides sufficient bidding eligibility for the applicant for any planned changes to its license area selections and/or bidding strategy.</w:t>
      </w:r>
      <w:r>
        <w:rPr>
          <w:rStyle w:val="FootnoteReference"/>
        </w:rPr>
        <w:footnoteReference w:id="12"/>
      </w:r>
      <w:r>
        <w:t xml:space="preserve">  Applicants are encouraged to contact Commission staff listed below should they have any questions about making their upfront payments. </w:t>
      </w:r>
    </w:p>
    <w:p w:rsidR="00C016F1" w:rsidRPr="00F9339B" w:rsidP="00C016F1" w14:paraId="186DA48C" w14:textId="77777777">
      <w:pPr>
        <w:pStyle w:val="ParaNum"/>
        <w:widowControl/>
        <w:tabs>
          <w:tab w:val="clear" w:pos="1440"/>
        </w:tabs>
      </w:pPr>
      <w:r w:rsidRPr="00435180">
        <w:rPr>
          <w:szCs w:val="22"/>
        </w:rPr>
        <w:t xml:space="preserve">Once Commission staff has informed the applicant that the change </w:t>
      </w:r>
      <w:r>
        <w:rPr>
          <w:szCs w:val="22"/>
        </w:rPr>
        <w:t xml:space="preserve">to the selected license areas </w:t>
      </w:r>
      <w:r w:rsidRPr="00435180">
        <w:rPr>
          <w:szCs w:val="22"/>
        </w:rPr>
        <w:t>has been made in the Auction Application System, the applicant must then re-certify and re-submit its FCC Form 175 in the Auction Application System to confirm and effect the change(s).</w:t>
      </w:r>
      <w:r>
        <w:rPr>
          <w:szCs w:val="22"/>
        </w:rPr>
        <w:t xml:space="preserve">  </w:t>
      </w:r>
      <w:r>
        <w:rPr>
          <w:b/>
          <w:szCs w:val="22"/>
        </w:rPr>
        <w:t>Any such</w:t>
      </w:r>
      <w:r w:rsidRPr="00DA11AB">
        <w:rPr>
          <w:b/>
          <w:szCs w:val="22"/>
        </w:rPr>
        <w:t xml:space="preserve"> applicant must perform these steps by no later than </w:t>
      </w:r>
      <w:r>
        <w:rPr>
          <w:b/>
        </w:rPr>
        <w:t>6</w:t>
      </w:r>
      <w:r w:rsidRPr="00DA11AB">
        <w:rPr>
          <w:b/>
        </w:rPr>
        <w:t>:</w:t>
      </w:r>
      <w:r>
        <w:rPr>
          <w:b/>
        </w:rPr>
        <w:t>00</w:t>
      </w:r>
      <w:r w:rsidRPr="00DA11AB">
        <w:rPr>
          <w:b/>
        </w:rPr>
        <w:t xml:space="preserve"> PM ET on October 29, 2019</w:t>
      </w:r>
      <w:r>
        <w:rPr>
          <w:b/>
        </w:rPr>
        <w:t>, or its changes will not be effective</w:t>
      </w:r>
      <w:r w:rsidRPr="00DA11AB">
        <w:rPr>
          <w:b/>
        </w:rPr>
        <w:t>.</w:t>
      </w:r>
    </w:p>
    <w:p w:rsidR="00C016F1" w:rsidRPr="00F9339B" w:rsidP="00C016F1" w14:paraId="414E560B" w14:textId="77777777">
      <w:pPr>
        <w:pStyle w:val="ParaNum"/>
        <w:widowControl/>
        <w:tabs>
          <w:tab w:val="clear" w:pos="1440"/>
        </w:tabs>
        <w:rPr>
          <w:snapToGrid/>
        </w:rPr>
      </w:pPr>
      <w:r>
        <w:t xml:space="preserve">Finally, </w:t>
      </w:r>
      <w:r>
        <w:rPr>
          <w:snapToGrid/>
        </w:rPr>
        <w:t xml:space="preserve">the limited information procedures in effect for Auction 103 </w:t>
      </w:r>
      <w:r w:rsidRPr="005712E5">
        <w:rPr>
          <w:szCs w:val="22"/>
        </w:rPr>
        <w:t>(sometimes also referred to as anonymous bidding)</w:t>
      </w:r>
      <w:r>
        <w:rPr>
          <w:szCs w:val="22"/>
        </w:rPr>
        <w:t xml:space="preserve"> are in no way changed by the limited availability of applicants’ license area selections on October 7.</w:t>
      </w:r>
      <w:r>
        <w:rPr>
          <w:rStyle w:val="FootnoteReference"/>
          <w:snapToGrid/>
        </w:rPr>
        <w:footnoteReference w:id="13"/>
      </w:r>
      <w:r>
        <w:rPr>
          <w:snapToGrid/>
        </w:rPr>
        <w:t xml:space="preserve">  Accordingly, communication with other applicants or public disclosure of non-public information, including an applicant’s initial or modified license area selection(s), may violate the Commission’s rule prohibiting certain communications, section 1.2105(c) of the Commission’s rules.</w:t>
      </w:r>
      <w:r>
        <w:rPr>
          <w:rStyle w:val="FootnoteReference"/>
          <w:snapToGrid/>
        </w:rPr>
        <w:footnoteReference w:id="14"/>
      </w:r>
    </w:p>
    <w:p w:rsidR="00C016F1" w:rsidP="00C016F1" w14:paraId="7547ACE6" w14:textId="77777777">
      <w:pPr>
        <w:pStyle w:val="ParaNum"/>
        <w:keepNext/>
        <w:widowControl/>
        <w:tabs>
          <w:tab w:val="clear" w:pos="1440"/>
        </w:tabs>
      </w:pPr>
      <w:r>
        <w:t xml:space="preserve">For further information concerning Auction 103, contact:  </w:t>
      </w:r>
    </w:p>
    <w:tbl>
      <w:tblPr>
        <w:tblW w:w="9828" w:type="dxa"/>
        <w:tblLayout w:type="fixed"/>
        <w:tblLook w:val="0000"/>
      </w:tblPr>
      <w:tblGrid>
        <w:gridCol w:w="4968"/>
        <w:gridCol w:w="4860"/>
      </w:tblGrid>
      <w:tr w14:paraId="1FB8D9B4" w14:textId="77777777" w:rsidTr="00A50259">
        <w:tblPrEx>
          <w:tblW w:w="9828" w:type="dxa"/>
          <w:tblLayout w:type="fixed"/>
          <w:tblLook w:val="0000"/>
        </w:tblPrEx>
        <w:trPr>
          <w:cantSplit/>
        </w:trPr>
        <w:tc>
          <w:tcPr>
            <w:tcW w:w="4968" w:type="dxa"/>
          </w:tcPr>
          <w:p w:rsidR="00C016F1" w:rsidRPr="008D1285" w:rsidP="00A50259" w14:paraId="59C0E9A4" w14:textId="77777777">
            <w:pPr>
              <w:keepNext/>
              <w:widowControl/>
              <w:rPr>
                <w:b/>
                <w:szCs w:val="22"/>
              </w:rPr>
            </w:pPr>
            <w:r w:rsidRPr="008D1285">
              <w:rPr>
                <w:b/>
                <w:szCs w:val="22"/>
              </w:rPr>
              <w:t>General Auction Information</w:t>
            </w:r>
          </w:p>
          <w:p w:rsidR="00C016F1" w:rsidRPr="008D1285" w:rsidP="00A50259" w14:paraId="58D01C9B" w14:textId="77777777">
            <w:pPr>
              <w:keepNext/>
              <w:widowControl/>
              <w:ind w:left="360"/>
              <w:rPr>
                <w:szCs w:val="22"/>
              </w:rPr>
            </w:pPr>
            <w:r w:rsidRPr="008D1285">
              <w:rPr>
                <w:szCs w:val="22"/>
              </w:rPr>
              <w:t>General Auction Questions</w:t>
            </w:r>
          </w:p>
          <w:p w:rsidR="00C016F1" w:rsidRPr="008D1285" w:rsidP="00A50259" w14:paraId="42E652F4" w14:textId="77777777">
            <w:pPr>
              <w:keepNext/>
              <w:widowControl/>
              <w:ind w:left="360"/>
              <w:rPr>
                <w:b/>
                <w:szCs w:val="22"/>
              </w:rPr>
            </w:pPr>
          </w:p>
        </w:tc>
        <w:tc>
          <w:tcPr>
            <w:tcW w:w="4860" w:type="dxa"/>
          </w:tcPr>
          <w:p w:rsidR="00C016F1" w:rsidRPr="008D1285" w:rsidP="00A50259" w14:paraId="19094305" w14:textId="77777777">
            <w:pPr>
              <w:keepNext/>
              <w:widowControl/>
              <w:rPr>
                <w:b/>
                <w:szCs w:val="22"/>
              </w:rPr>
            </w:pPr>
            <w:r w:rsidRPr="008D1285">
              <w:rPr>
                <w:b/>
                <w:szCs w:val="22"/>
              </w:rPr>
              <w:t xml:space="preserve">FCC Auctions Hotline </w:t>
            </w:r>
          </w:p>
          <w:p w:rsidR="00C016F1" w:rsidRPr="008D1285" w:rsidP="00A50259" w14:paraId="135CCB45" w14:textId="77777777">
            <w:pPr>
              <w:keepNext/>
              <w:widowControl/>
              <w:rPr>
                <w:szCs w:val="22"/>
              </w:rPr>
            </w:pPr>
            <w:r w:rsidRPr="008D1285">
              <w:rPr>
                <w:szCs w:val="22"/>
              </w:rPr>
              <w:t>(888) 225-5322, option two; or</w:t>
            </w:r>
          </w:p>
          <w:p w:rsidR="00C016F1" w:rsidRPr="008D1285" w:rsidP="00A50259" w14:paraId="69EECF3C" w14:textId="77777777">
            <w:pPr>
              <w:keepNext/>
              <w:widowControl/>
              <w:rPr>
                <w:szCs w:val="22"/>
              </w:rPr>
            </w:pPr>
            <w:r w:rsidRPr="008D1285">
              <w:rPr>
                <w:szCs w:val="22"/>
              </w:rPr>
              <w:t>(717) 338-2868</w:t>
            </w:r>
          </w:p>
          <w:p w:rsidR="00C016F1" w:rsidRPr="008D1285" w:rsidP="00A50259" w14:paraId="09912158" w14:textId="77777777">
            <w:pPr>
              <w:keepNext/>
              <w:widowControl/>
              <w:rPr>
                <w:b/>
                <w:szCs w:val="22"/>
              </w:rPr>
            </w:pPr>
          </w:p>
        </w:tc>
      </w:tr>
      <w:tr w14:paraId="18DAF9AE" w14:textId="77777777" w:rsidTr="00A50259">
        <w:tblPrEx>
          <w:tblW w:w="9828" w:type="dxa"/>
          <w:tblLayout w:type="fixed"/>
          <w:tblLook w:val="0000"/>
        </w:tblPrEx>
        <w:trPr>
          <w:cantSplit/>
        </w:trPr>
        <w:tc>
          <w:tcPr>
            <w:tcW w:w="4968" w:type="dxa"/>
          </w:tcPr>
          <w:p w:rsidR="00C016F1" w:rsidRPr="008D1285" w:rsidP="00A50259" w14:paraId="118492BA" w14:textId="77777777">
            <w:pPr>
              <w:widowControl/>
              <w:rPr>
                <w:b/>
                <w:szCs w:val="22"/>
              </w:rPr>
            </w:pPr>
            <w:r w:rsidRPr="008D1285">
              <w:rPr>
                <w:b/>
                <w:szCs w:val="22"/>
              </w:rPr>
              <w:t xml:space="preserve">Auction </w:t>
            </w:r>
            <w:r>
              <w:rPr>
                <w:b/>
                <w:szCs w:val="22"/>
              </w:rPr>
              <w:t>103</w:t>
            </w:r>
            <w:r w:rsidRPr="008D1285">
              <w:rPr>
                <w:b/>
                <w:szCs w:val="22"/>
              </w:rPr>
              <w:t xml:space="preserve"> Process and Procedures</w:t>
            </w:r>
          </w:p>
          <w:p w:rsidR="00C016F1" w:rsidRPr="008D1285" w:rsidP="00A50259" w14:paraId="25FDB639" w14:textId="77777777">
            <w:pPr>
              <w:widowControl/>
              <w:ind w:left="360"/>
              <w:rPr>
                <w:szCs w:val="22"/>
              </w:rPr>
            </w:pPr>
            <w:r w:rsidRPr="008D1285">
              <w:rPr>
                <w:szCs w:val="22"/>
              </w:rPr>
              <w:t>Bidding Procedures</w:t>
            </w:r>
          </w:p>
          <w:p w:rsidR="00C016F1" w:rsidRPr="008D1285" w:rsidP="00A50259" w14:paraId="11447B95" w14:textId="77777777">
            <w:pPr>
              <w:widowControl/>
              <w:ind w:left="360"/>
              <w:rPr>
                <w:szCs w:val="22"/>
              </w:rPr>
            </w:pPr>
            <w:r w:rsidRPr="008D1285">
              <w:rPr>
                <w:szCs w:val="22"/>
              </w:rPr>
              <w:t>Auction Schedule</w:t>
            </w:r>
          </w:p>
          <w:p w:rsidR="00C016F1" w:rsidRPr="008D1285" w:rsidP="00A50259" w14:paraId="0B45B290" w14:textId="77777777">
            <w:pPr>
              <w:widowControl/>
              <w:ind w:left="360"/>
              <w:rPr>
                <w:szCs w:val="22"/>
              </w:rPr>
            </w:pPr>
          </w:p>
        </w:tc>
        <w:tc>
          <w:tcPr>
            <w:tcW w:w="4860" w:type="dxa"/>
          </w:tcPr>
          <w:p w:rsidR="00C016F1" w:rsidRPr="008D1285" w:rsidP="00A50259" w14:paraId="0BDFF0F8" w14:textId="77777777">
            <w:pPr>
              <w:widowControl/>
              <w:rPr>
                <w:szCs w:val="22"/>
              </w:rPr>
            </w:pPr>
            <w:r w:rsidRPr="008D1285">
              <w:rPr>
                <w:b/>
                <w:szCs w:val="22"/>
              </w:rPr>
              <w:t>Auctions Division</w:t>
            </w:r>
            <w:r>
              <w:rPr>
                <w:b/>
                <w:szCs w:val="22"/>
              </w:rPr>
              <w:t>, OEA</w:t>
            </w:r>
            <w:r w:rsidRPr="008D1285">
              <w:rPr>
                <w:szCs w:val="22"/>
              </w:rPr>
              <w:t xml:space="preserve"> </w:t>
            </w:r>
          </w:p>
          <w:p w:rsidR="00C016F1" w:rsidRPr="008D1285" w:rsidP="00A50259" w14:paraId="292C057B"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650C312F" w14:textId="77777777" w:rsidTr="00A50259">
        <w:tblPrEx>
          <w:tblW w:w="9828" w:type="dxa"/>
          <w:tblLayout w:type="fixed"/>
          <w:tblLook w:val="0000"/>
        </w:tblPrEx>
        <w:trPr>
          <w:cantSplit/>
        </w:trPr>
        <w:tc>
          <w:tcPr>
            <w:tcW w:w="4968" w:type="dxa"/>
          </w:tcPr>
          <w:p w:rsidR="00C016F1" w:rsidRPr="008D1285" w:rsidP="00A50259" w14:paraId="23A95251" w14:textId="77777777">
            <w:pPr>
              <w:widowControl/>
              <w:rPr>
                <w:b/>
                <w:szCs w:val="22"/>
              </w:rPr>
            </w:pPr>
            <w:r w:rsidRPr="008D1285">
              <w:rPr>
                <w:b/>
                <w:szCs w:val="22"/>
              </w:rPr>
              <w:t xml:space="preserve">Auction </w:t>
            </w:r>
            <w:r>
              <w:rPr>
                <w:b/>
                <w:szCs w:val="22"/>
              </w:rPr>
              <w:t>103</w:t>
            </w:r>
            <w:r w:rsidRPr="008D1285">
              <w:rPr>
                <w:b/>
                <w:szCs w:val="22"/>
              </w:rPr>
              <w:t xml:space="preserve"> Legal Information</w:t>
            </w:r>
          </w:p>
          <w:p w:rsidR="00C016F1" w:rsidRPr="008D1285" w:rsidP="00A50259" w14:paraId="31C7B98E" w14:textId="77777777">
            <w:pPr>
              <w:widowControl/>
              <w:ind w:left="360"/>
              <w:rPr>
                <w:b/>
                <w:szCs w:val="22"/>
              </w:rPr>
            </w:pPr>
            <w:r w:rsidRPr="008D1285">
              <w:rPr>
                <w:szCs w:val="22"/>
              </w:rPr>
              <w:t>Auction Rules, Policies, Regulations, Including</w:t>
            </w:r>
          </w:p>
          <w:p w:rsidR="00C016F1" w:rsidRPr="008D1285" w:rsidP="00A50259" w14:paraId="5626450A" w14:textId="77777777">
            <w:pPr>
              <w:widowControl/>
              <w:ind w:left="360"/>
              <w:rPr>
                <w:szCs w:val="22"/>
              </w:rPr>
            </w:pPr>
            <w:r w:rsidRPr="008D1285">
              <w:rPr>
                <w:szCs w:val="22"/>
              </w:rPr>
              <w:t xml:space="preserve">Reports of </w:t>
            </w:r>
            <w:r>
              <w:rPr>
                <w:szCs w:val="22"/>
              </w:rPr>
              <w:t>S</w:t>
            </w:r>
            <w:r w:rsidRPr="008D1285">
              <w:rPr>
                <w:szCs w:val="22"/>
              </w:rPr>
              <w:t>ection 1.2105(c) Violations and Application Modifications</w:t>
            </w:r>
          </w:p>
          <w:p w:rsidR="00C016F1" w:rsidRPr="008D1285" w:rsidP="00A50259" w14:paraId="15338347" w14:textId="77777777">
            <w:pPr>
              <w:widowControl/>
              <w:ind w:left="360"/>
              <w:rPr>
                <w:b/>
                <w:szCs w:val="22"/>
              </w:rPr>
            </w:pPr>
          </w:p>
        </w:tc>
        <w:tc>
          <w:tcPr>
            <w:tcW w:w="4860" w:type="dxa"/>
          </w:tcPr>
          <w:p w:rsidR="00C016F1" w:rsidRPr="008D1285" w:rsidP="00A50259" w14:paraId="743FEAD2" w14:textId="77777777">
            <w:pPr>
              <w:widowControl/>
              <w:rPr>
                <w:b/>
                <w:szCs w:val="22"/>
              </w:rPr>
            </w:pPr>
            <w:r w:rsidRPr="008D1285">
              <w:rPr>
                <w:b/>
                <w:szCs w:val="22"/>
              </w:rPr>
              <w:t>Auctions Division</w:t>
            </w:r>
            <w:r>
              <w:rPr>
                <w:b/>
                <w:szCs w:val="22"/>
              </w:rPr>
              <w:t>, OEA</w:t>
            </w:r>
          </w:p>
          <w:p w:rsidR="00C016F1" w:rsidRPr="008D1285" w:rsidP="00A50259" w14:paraId="532064B0" w14:textId="77777777">
            <w:pPr>
              <w:widowControl/>
              <w:rPr>
                <w:szCs w:val="22"/>
              </w:rPr>
            </w:pPr>
            <w:r w:rsidRPr="008D1285">
              <w:rPr>
                <w:szCs w:val="22"/>
              </w:rPr>
              <w:t>(202) 418-0660</w:t>
            </w:r>
          </w:p>
          <w:p w:rsidR="00C016F1" w:rsidP="00A50259" w14:paraId="1CC38B15" w14:textId="77777777">
            <w:pPr>
              <w:widowControl/>
              <w:rPr>
                <w:szCs w:val="22"/>
              </w:rPr>
            </w:pPr>
            <w:r>
              <w:rPr>
                <w:szCs w:val="22"/>
              </w:rPr>
              <w:t xml:space="preserve">Mark Montano </w:t>
            </w:r>
          </w:p>
          <w:p w:rsidR="00C016F1" w:rsidRPr="008D1285" w:rsidP="00A50259" w14:paraId="14BB61A0" w14:textId="77777777">
            <w:pPr>
              <w:widowControl/>
              <w:rPr>
                <w:szCs w:val="22"/>
              </w:rPr>
            </w:pPr>
            <w:r>
              <w:rPr>
                <w:szCs w:val="22"/>
              </w:rPr>
              <w:t>Erik Beith</w:t>
            </w:r>
            <w:r w:rsidRPr="008D1285">
              <w:rPr>
                <w:szCs w:val="22"/>
              </w:rPr>
              <w:t xml:space="preserve"> </w:t>
            </w:r>
          </w:p>
          <w:p w:rsidR="00C016F1" w:rsidRPr="00400B6C" w:rsidP="00A50259" w14:paraId="739CE50E" w14:textId="77777777">
            <w:pPr>
              <w:widowControl/>
              <w:rPr>
                <w:szCs w:val="22"/>
              </w:rPr>
            </w:pPr>
          </w:p>
        </w:tc>
      </w:tr>
      <w:tr w14:paraId="4B958B1E" w14:textId="77777777" w:rsidTr="00A50259">
        <w:tblPrEx>
          <w:tblW w:w="9828" w:type="dxa"/>
          <w:tblLayout w:type="fixed"/>
          <w:tblLook w:val="0000"/>
        </w:tblPrEx>
        <w:trPr>
          <w:cantSplit/>
        </w:trPr>
        <w:tc>
          <w:tcPr>
            <w:tcW w:w="4968" w:type="dxa"/>
          </w:tcPr>
          <w:p w:rsidR="00C016F1" w:rsidRPr="008D1285" w:rsidP="00A50259" w14:paraId="1FC7D5E2" w14:textId="77777777">
            <w:pPr>
              <w:widowControl/>
              <w:ind w:left="360"/>
              <w:rPr>
                <w:b/>
                <w:szCs w:val="22"/>
              </w:rPr>
            </w:pPr>
          </w:p>
        </w:tc>
        <w:tc>
          <w:tcPr>
            <w:tcW w:w="4860" w:type="dxa"/>
          </w:tcPr>
          <w:p w:rsidR="00C016F1" w:rsidRPr="008D1285" w:rsidP="00A50259" w14:paraId="5064F19A" w14:textId="77777777">
            <w:pPr>
              <w:widowControl/>
              <w:rPr>
                <w:szCs w:val="22"/>
              </w:rPr>
            </w:pPr>
          </w:p>
        </w:tc>
      </w:tr>
      <w:tr w14:paraId="2EBABDED" w14:textId="77777777" w:rsidTr="00A50259">
        <w:tblPrEx>
          <w:tblW w:w="9828" w:type="dxa"/>
          <w:tblLayout w:type="fixed"/>
          <w:tblLook w:val="0000"/>
        </w:tblPrEx>
        <w:trPr>
          <w:cantSplit/>
        </w:trPr>
        <w:tc>
          <w:tcPr>
            <w:tcW w:w="4968" w:type="dxa"/>
          </w:tcPr>
          <w:p w:rsidR="00C016F1" w:rsidRPr="008D1285" w:rsidP="00A50259" w14:paraId="4306E680" w14:textId="77777777">
            <w:pPr>
              <w:widowControl/>
              <w:rPr>
                <w:b/>
                <w:szCs w:val="22"/>
              </w:rPr>
            </w:pPr>
            <w:r w:rsidRPr="008D1285">
              <w:rPr>
                <w:b/>
                <w:szCs w:val="22"/>
              </w:rPr>
              <w:t>Technical Support</w:t>
            </w:r>
          </w:p>
          <w:p w:rsidR="00C016F1" w:rsidRPr="008D1285" w:rsidP="00A50259" w14:paraId="7AC585DA" w14:textId="77777777">
            <w:pPr>
              <w:widowControl/>
              <w:ind w:left="360"/>
              <w:rPr>
                <w:szCs w:val="22"/>
              </w:rPr>
            </w:pPr>
            <w:r w:rsidRPr="008D1285">
              <w:rPr>
                <w:szCs w:val="22"/>
              </w:rPr>
              <w:t>Hardware/Software Issues with Electronic Filing</w:t>
            </w:r>
          </w:p>
          <w:p w:rsidR="00C016F1" w:rsidRPr="008D1285" w:rsidP="00A50259" w14:paraId="06ACF5BC" w14:textId="77777777">
            <w:pPr>
              <w:widowControl/>
              <w:ind w:left="360"/>
              <w:rPr>
                <w:szCs w:val="22"/>
              </w:rPr>
            </w:pPr>
          </w:p>
        </w:tc>
        <w:tc>
          <w:tcPr>
            <w:tcW w:w="4860" w:type="dxa"/>
          </w:tcPr>
          <w:p w:rsidR="00C016F1" w:rsidRPr="008D1285" w:rsidP="00A50259" w14:paraId="345BD263" w14:textId="77777777">
            <w:pPr>
              <w:widowControl/>
              <w:rPr>
                <w:b/>
                <w:szCs w:val="22"/>
              </w:rPr>
            </w:pPr>
            <w:r w:rsidRPr="008D1285">
              <w:rPr>
                <w:b/>
                <w:szCs w:val="22"/>
              </w:rPr>
              <w:t>FCC Auctions Technical Support Hotline</w:t>
            </w:r>
          </w:p>
          <w:p w:rsidR="00C016F1" w:rsidRPr="008D1285" w:rsidP="00A50259" w14:paraId="41A2F66F" w14:textId="77777777">
            <w:pPr>
              <w:widowControl/>
              <w:rPr>
                <w:szCs w:val="22"/>
              </w:rPr>
            </w:pPr>
            <w:r w:rsidRPr="008D1285">
              <w:rPr>
                <w:szCs w:val="22"/>
              </w:rPr>
              <w:t>(877) 480-3201, option nine; or (202) 414-1250</w:t>
            </w:r>
          </w:p>
          <w:p w:rsidR="00C016F1" w:rsidRPr="008D1285" w:rsidP="00A50259" w14:paraId="23D4CB54" w14:textId="77777777">
            <w:pPr>
              <w:widowControl/>
              <w:rPr>
                <w:szCs w:val="22"/>
              </w:rPr>
            </w:pPr>
            <w:r w:rsidRPr="008D1285">
              <w:rPr>
                <w:szCs w:val="22"/>
              </w:rPr>
              <w:t>(202) 414-1255 (TTY)</w:t>
            </w:r>
          </w:p>
          <w:p w:rsidR="00C016F1" w:rsidRPr="008D1285" w:rsidP="00A50259" w14:paraId="3589288A" w14:textId="77777777">
            <w:pPr>
              <w:widowControl/>
              <w:rPr>
                <w:szCs w:val="22"/>
              </w:rPr>
            </w:pPr>
            <w:r w:rsidRPr="008D1285">
              <w:rPr>
                <w:szCs w:val="22"/>
              </w:rPr>
              <w:t>Hours of service: 8:00 a.m. – 6:00 p.m. ET,</w:t>
            </w:r>
          </w:p>
          <w:p w:rsidR="00C016F1" w:rsidRPr="008D1285" w:rsidP="00A50259" w14:paraId="69E4F37F" w14:textId="77777777">
            <w:pPr>
              <w:widowControl/>
              <w:rPr>
                <w:szCs w:val="22"/>
              </w:rPr>
            </w:pPr>
            <w:r w:rsidRPr="008D1285">
              <w:rPr>
                <w:szCs w:val="22"/>
              </w:rPr>
              <w:t>Monday through Friday</w:t>
            </w:r>
          </w:p>
          <w:p w:rsidR="00C016F1" w:rsidRPr="008D1285" w:rsidP="00A50259" w14:paraId="0F5E4647" w14:textId="77777777">
            <w:pPr>
              <w:widowControl/>
              <w:rPr>
                <w:szCs w:val="22"/>
              </w:rPr>
            </w:pPr>
          </w:p>
        </w:tc>
      </w:tr>
      <w:tr w14:paraId="750458C6" w14:textId="77777777" w:rsidTr="00A50259">
        <w:tblPrEx>
          <w:tblW w:w="9828" w:type="dxa"/>
          <w:tblLayout w:type="fixed"/>
          <w:tblLook w:val="0000"/>
        </w:tblPrEx>
        <w:trPr>
          <w:cantSplit/>
        </w:trPr>
        <w:tc>
          <w:tcPr>
            <w:tcW w:w="4968" w:type="dxa"/>
          </w:tcPr>
          <w:p w:rsidR="00C016F1" w:rsidRPr="0038667B" w:rsidP="00A50259" w14:paraId="4D150669" w14:textId="77777777">
            <w:pPr>
              <w:widowControl/>
              <w:rPr>
                <w:b/>
                <w:szCs w:val="22"/>
              </w:rPr>
            </w:pPr>
            <w:r>
              <w:rPr>
                <w:b/>
                <w:szCs w:val="22"/>
              </w:rPr>
              <w:t>Payment Information</w:t>
            </w:r>
          </w:p>
          <w:p w:rsidR="005124F3" w:rsidP="00A50259" w14:paraId="4075A7C8" w14:textId="0BAEA0D4">
            <w:pPr>
              <w:widowControl/>
              <w:ind w:left="360"/>
            </w:pPr>
            <w:r w:rsidRPr="0038667B">
              <w:rPr>
                <w:szCs w:val="22"/>
              </w:rPr>
              <w:t>I</w:t>
            </w:r>
            <w:r w:rsidRPr="0038667B">
              <w:t>nstructions for Wiring Upfront Payments and Completin</w:t>
            </w:r>
            <w:r>
              <w:t>g</w:t>
            </w:r>
            <w:r w:rsidRPr="0038667B">
              <w:t xml:space="preserve"> Form 159</w:t>
            </w:r>
          </w:p>
          <w:p w:rsidR="005124F3" w:rsidP="00A50259" w14:paraId="64631B61" w14:textId="77777777">
            <w:pPr>
              <w:widowControl/>
              <w:ind w:left="360"/>
            </w:pPr>
          </w:p>
          <w:p w:rsidR="005124F3" w:rsidP="00A50259" w14:paraId="28BE608F" w14:textId="77777777">
            <w:pPr>
              <w:widowControl/>
              <w:ind w:left="360"/>
            </w:pPr>
          </w:p>
          <w:p w:rsidR="005124F3" w:rsidP="00A50259" w14:paraId="322FBF5B" w14:textId="77777777">
            <w:pPr>
              <w:widowControl/>
              <w:ind w:left="360"/>
            </w:pPr>
          </w:p>
          <w:p w:rsidR="005124F3" w:rsidP="00A50259" w14:paraId="0A2C5270" w14:textId="77777777">
            <w:pPr>
              <w:widowControl/>
              <w:ind w:left="360"/>
            </w:pPr>
          </w:p>
          <w:p w:rsidR="005124F3" w:rsidRPr="008D1285" w:rsidP="00A50259" w14:paraId="3AA3D7C4" w14:textId="6CCCDC4C">
            <w:pPr>
              <w:widowControl/>
              <w:ind w:left="360"/>
              <w:rPr>
                <w:b/>
                <w:szCs w:val="22"/>
              </w:rPr>
            </w:pPr>
          </w:p>
        </w:tc>
        <w:tc>
          <w:tcPr>
            <w:tcW w:w="4860" w:type="dxa"/>
          </w:tcPr>
          <w:p w:rsidR="00C016F1" w:rsidRPr="0038667B" w:rsidP="00A50259" w14:paraId="3A994A14" w14:textId="77777777">
            <w:pPr>
              <w:widowControl/>
              <w:rPr>
                <w:b/>
                <w:szCs w:val="22"/>
              </w:rPr>
            </w:pPr>
            <w:r>
              <w:rPr>
                <w:b/>
              </w:rPr>
              <w:t>FCC Revenue &amp; Receivables Operations Group/Auctions</w:t>
            </w:r>
            <w:r w:rsidRPr="0038667B">
              <w:rPr>
                <w:b/>
                <w:szCs w:val="22"/>
              </w:rPr>
              <w:t xml:space="preserve"> </w:t>
            </w:r>
          </w:p>
          <w:p w:rsidR="00C016F1" w:rsidP="00A50259" w14:paraId="25BBACDF" w14:textId="77777777">
            <w:pPr>
              <w:keepNext/>
              <w:widowControl/>
              <w:rPr>
                <w:szCs w:val="22"/>
              </w:rPr>
            </w:pPr>
            <w:r>
              <w:rPr>
                <w:szCs w:val="22"/>
              </w:rPr>
              <w:t>Scott Radcliffe at (202) 418-7518</w:t>
            </w:r>
            <w:r w:rsidRPr="00517FE6">
              <w:rPr>
                <w:szCs w:val="22"/>
              </w:rPr>
              <w:t>,</w:t>
            </w:r>
            <w:r>
              <w:rPr>
                <w:szCs w:val="22"/>
              </w:rPr>
              <w:t xml:space="preserve"> </w:t>
            </w:r>
          </w:p>
          <w:p w:rsidR="00C016F1" w:rsidP="00A50259" w14:paraId="2BE3A50E" w14:textId="77777777">
            <w:pPr>
              <w:keepNext/>
              <w:widowControl/>
              <w:rPr>
                <w:szCs w:val="22"/>
              </w:rPr>
            </w:pPr>
            <w:r>
              <w:rPr>
                <w:szCs w:val="22"/>
              </w:rPr>
              <w:t>Theresa Meeks at (202) 418-2945</w:t>
            </w:r>
            <w:r w:rsidRPr="00517FE6">
              <w:rPr>
                <w:szCs w:val="22"/>
              </w:rPr>
              <w:t xml:space="preserve"> </w:t>
            </w:r>
            <w:r>
              <w:rPr>
                <w:szCs w:val="22"/>
              </w:rPr>
              <w:t>or</w:t>
            </w:r>
          </w:p>
          <w:p w:rsidR="00C016F1" w:rsidP="00A50259" w14:paraId="573FCCD9" w14:textId="77777777">
            <w:pPr>
              <w:widowControl/>
              <w:rPr>
                <w:szCs w:val="22"/>
              </w:rPr>
            </w:pPr>
            <w:r w:rsidRPr="00517FE6">
              <w:rPr>
                <w:szCs w:val="22"/>
              </w:rPr>
              <w:t>Gail Glasser at (202) 418-0578</w:t>
            </w:r>
          </w:p>
          <w:p w:rsidR="00C016F1" w:rsidRPr="008D1285" w:rsidP="005124F3" w14:paraId="046014A3" w14:textId="4B5E724E">
            <w:pPr>
              <w:widowControl/>
              <w:rPr>
                <w:b/>
                <w:szCs w:val="22"/>
              </w:rPr>
            </w:pPr>
            <w:r>
              <w:rPr>
                <w:szCs w:val="22"/>
              </w:rPr>
              <w:t xml:space="preserve">(202) 418-2843 (fax) or email to </w:t>
            </w:r>
            <w:hyperlink r:id="rId6" w:history="1">
              <w:r w:rsidRPr="000750F4">
                <w:rPr>
                  <w:rStyle w:val="Hyperlink"/>
                </w:rPr>
                <w:t>RROGWireFaxes@fcc.gov</w:t>
              </w:r>
            </w:hyperlink>
          </w:p>
        </w:tc>
      </w:tr>
      <w:tr w14:paraId="1636B5C9" w14:textId="77777777" w:rsidTr="00A50259">
        <w:tblPrEx>
          <w:tblW w:w="9828" w:type="dxa"/>
          <w:tblLayout w:type="fixed"/>
          <w:tblLook w:val="0000"/>
        </w:tblPrEx>
        <w:trPr>
          <w:cantSplit/>
        </w:trPr>
        <w:tc>
          <w:tcPr>
            <w:tcW w:w="4968" w:type="dxa"/>
          </w:tcPr>
          <w:p w:rsidR="005124F3" w:rsidRPr="00202FBB" w:rsidP="005124F3" w14:paraId="03D861B4" w14:textId="77777777">
            <w:pPr>
              <w:widowControl/>
              <w:rPr>
                <w:b/>
                <w:szCs w:val="22"/>
              </w:rPr>
            </w:pPr>
            <w:r w:rsidRPr="00202FBB">
              <w:rPr>
                <w:b/>
                <w:szCs w:val="22"/>
              </w:rPr>
              <w:t>News Media</w:t>
            </w:r>
          </w:p>
          <w:p w:rsidR="005124F3" w:rsidP="00FB0425" w14:paraId="5CD49590" w14:textId="1F28F362">
            <w:pPr>
              <w:widowControl/>
              <w:ind w:left="360"/>
              <w:rPr>
                <w:b/>
                <w:szCs w:val="22"/>
              </w:rPr>
            </w:pPr>
            <w:r w:rsidRPr="00202FBB">
              <w:rPr>
                <w:szCs w:val="22"/>
              </w:rPr>
              <w:t>For Press Questions</w:t>
            </w:r>
          </w:p>
        </w:tc>
        <w:tc>
          <w:tcPr>
            <w:tcW w:w="4860" w:type="dxa"/>
          </w:tcPr>
          <w:p w:rsidR="005124F3" w:rsidRPr="00202FBB" w:rsidP="005124F3" w14:paraId="010DCAE6" w14:textId="77777777">
            <w:pPr>
              <w:keepNext/>
              <w:widowControl/>
              <w:rPr>
                <w:b/>
                <w:szCs w:val="22"/>
              </w:rPr>
            </w:pPr>
            <w:r>
              <w:rPr>
                <w:b/>
                <w:szCs w:val="22"/>
              </w:rPr>
              <w:t>Wireless Telecommunications Bureau</w:t>
            </w:r>
          </w:p>
          <w:p w:rsidR="005124F3" w:rsidRPr="00202FBB" w:rsidP="005124F3" w14:paraId="092D9A4C" w14:textId="77777777">
            <w:pPr>
              <w:keepNext/>
              <w:widowControl/>
              <w:rPr>
                <w:szCs w:val="22"/>
              </w:rPr>
            </w:pPr>
            <w:r>
              <w:rPr>
                <w:szCs w:val="22"/>
              </w:rPr>
              <w:t>Cecilia Sulhoff</w:t>
            </w:r>
            <w:r w:rsidRPr="00202FBB">
              <w:rPr>
                <w:szCs w:val="22"/>
              </w:rPr>
              <w:t xml:space="preserve"> at (202) 418-</w:t>
            </w:r>
            <w:r>
              <w:rPr>
                <w:szCs w:val="22"/>
              </w:rPr>
              <w:t>0587</w:t>
            </w:r>
          </w:p>
          <w:p w:rsidR="005124F3" w:rsidP="005124F3" w14:paraId="627AA5C7" w14:textId="77777777">
            <w:pPr>
              <w:widowControl/>
              <w:rPr>
                <w:b/>
              </w:rPr>
            </w:pPr>
          </w:p>
        </w:tc>
      </w:tr>
    </w:tbl>
    <w:p w:rsidR="00C016F1" w:rsidP="00C016F1" w14:paraId="42CEA089" w14:textId="77777777">
      <w:pPr>
        <w:pStyle w:val="ParaNum"/>
        <w:widowControl/>
        <w:tabs>
          <w:tab w:val="clear" w:pos="1440"/>
        </w:tabs>
        <w:rPr>
          <w:szCs w:val="22"/>
        </w:rPr>
      </w:pPr>
      <w:r w:rsidRPr="0038667B">
        <w:t xml:space="preserve">To request materials </w:t>
      </w:r>
      <w:r>
        <w:t xml:space="preserve">in accessible formats (Braille, large print, electronic files, audio format) for people with disabilities, send an email to </w:t>
      </w:r>
      <w:hyperlink r:id="rId7" w:history="1">
        <w:r>
          <w:rPr>
            <w:rStyle w:val="Hyperlink"/>
          </w:rPr>
          <w:t>fcc504@fcc.gov</w:t>
        </w:r>
      </w:hyperlink>
      <w:r>
        <w:t xml:space="preserve"> or call the Consumer and Governmental Affairs Bureau at (202) 418-0530 or (202) 418-0432 (TTY).  </w:t>
      </w:r>
    </w:p>
    <w:p w:rsidR="00C016F1" w:rsidP="00C016F1" w14:paraId="0BF1844F" w14:textId="77777777">
      <w:pPr>
        <w:widowControl/>
        <w:suppressAutoHyphens/>
        <w:rPr>
          <w:szCs w:val="22"/>
        </w:rPr>
      </w:pPr>
    </w:p>
    <w:p w:rsidR="00C016F1" w:rsidP="00C016F1" w14:paraId="4B6D8AB0" w14:textId="77777777">
      <w:pPr>
        <w:widowControl/>
        <w:suppressAutoHyphens/>
        <w:jc w:val="center"/>
      </w:pPr>
      <w:r>
        <w:rPr>
          <w:b/>
        </w:rPr>
        <w:t>–FCC–</w:t>
      </w:r>
    </w:p>
    <w:p w:rsidR="00C016F1" w:rsidRPr="00412FC5" w:rsidP="00C016F1" w14:paraId="446E606C" w14:textId="77777777">
      <w:pPr>
        <w:pStyle w:val="Heading1"/>
        <w:widowControl/>
        <w:numPr>
          <w:ilvl w:val="0"/>
          <w:numId w:val="0"/>
        </w:numPr>
        <w:ind w:left="720" w:hanging="720"/>
      </w:pPr>
    </w:p>
    <w:p w:rsidR="00125C0E" w:rsidP="00A91613" w14:paraId="0EC27141" w14:textId="77777777">
      <w:pPr>
        <w:pStyle w:val="ParaNum"/>
        <w:widowControl/>
        <w:numPr>
          <w:ilvl w:val="0"/>
          <w:numId w:val="0"/>
        </w:numPr>
        <w:ind w:left="720"/>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E9D" w:rsidP="0055614C" w14:paraId="38A3EB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F84E9D" w14:paraId="0388DB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E9D" w:rsidP="0055614C" w14:paraId="783575A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84E9D" w14:paraId="35EFC4DD" w14:textId="77777777">
    <w:pPr>
      <w:spacing w:before="140" w:line="100" w:lineRule="exact"/>
      <w:rPr>
        <w:sz w:val="10"/>
      </w:rPr>
    </w:pPr>
  </w:p>
  <w:p w:rsidR="00F84E9D" w14:paraId="4A601E7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B6E" w:rsidRPr="00D34B6E" w14:paraId="1B49F08A" w14:textId="131C991A">
    <w:pPr>
      <w:pStyle w:val="Footer"/>
      <w:rPr>
        <w:color w:val="FF0000"/>
      </w:rPr>
    </w:pPr>
    <w:r>
      <w:rPr>
        <w:color w:val="FF0000"/>
      </w:rPr>
      <w:tab/>
    </w:r>
    <w:r>
      <w:rPr>
        <w:color w:val="FF0000"/>
      </w:rPr>
      <w:tab/>
    </w:r>
    <w:r>
      <w:rPr>
        <w:color w:val="FF0000"/>
      </w:rPr>
      <w:tab/>
    </w:r>
  </w:p>
  <w:p w:rsidR="00F84E9D" w14:paraId="629325E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4E9D" w14:paraId="5CA55A16" w14:textId="77777777">
      <w:r>
        <w:separator/>
      </w:r>
    </w:p>
  </w:footnote>
  <w:footnote w:type="continuationSeparator" w:id="1">
    <w:p w:rsidR="00F84E9D" w14:paraId="50C1AA87" w14:textId="77777777">
      <w:pPr>
        <w:rPr>
          <w:sz w:val="20"/>
        </w:rPr>
      </w:pPr>
      <w:r>
        <w:rPr>
          <w:sz w:val="20"/>
        </w:rPr>
        <w:t xml:space="preserve">(Continued from previous page)  </w:t>
      </w:r>
      <w:r>
        <w:rPr>
          <w:sz w:val="20"/>
        </w:rPr>
        <w:separator/>
      </w:r>
    </w:p>
  </w:footnote>
  <w:footnote w:type="continuationNotice" w:id="2">
    <w:p w:rsidR="00F84E9D" w14:paraId="18BE2223" w14:textId="77777777">
      <w:pPr>
        <w:rPr>
          <w:sz w:val="20"/>
        </w:rPr>
      </w:pPr>
      <w:r>
        <w:rPr>
          <w:sz w:val="20"/>
        </w:rPr>
        <w:t>(continued….)</w:t>
      </w:r>
    </w:p>
  </w:footnote>
  <w:footnote w:id="3">
    <w:p w:rsidR="00C016F1" w:rsidRPr="0085121E" w:rsidP="00C016F1" w14:paraId="1BC32C58" w14:textId="77777777">
      <w:pPr>
        <w:pStyle w:val="FootnoteText"/>
      </w:pPr>
      <w:r w:rsidRPr="0085121E">
        <w:rPr>
          <w:rStyle w:val="FootnoteReference"/>
          <w:sz w:val="20"/>
        </w:rPr>
        <w:footnoteRef/>
      </w:r>
      <w:r w:rsidRPr="0085121E">
        <w:t xml:space="preserve"> </w:t>
      </w:r>
      <w:r w:rsidRPr="0085121E">
        <w:rPr>
          <w:i/>
        </w:rPr>
        <w:t>See Incentive Auction of Upper Microwave Flexible Use Service Licenses in the Upper 37 GHz, 39 GHz, and 47 GHz Bands for Next-Generation Wireless Services; Notice and Filing Requirements, Minimum Opening Bids, Upfront Payments, and Other Procedures for Auction 103; Bidding in Auction 103 Scheduled to Begin December 10, 2019</w:t>
      </w:r>
      <w:r w:rsidRPr="0085121E">
        <w:t xml:space="preserve">, Public Notice, 34 FCC </w:t>
      </w:r>
      <w:r w:rsidRPr="0085121E">
        <w:t>Rcd</w:t>
      </w:r>
      <w:r w:rsidRPr="0085121E">
        <w:t xml:space="preserve"> 5532 (2019) (</w:t>
      </w:r>
      <w:r w:rsidRPr="0085121E">
        <w:rPr>
          <w:i/>
        </w:rPr>
        <w:t>Auction 103 Procedures Public Notice</w:t>
      </w:r>
      <w:r w:rsidRPr="0085121E">
        <w:t>).</w:t>
      </w:r>
    </w:p>
  </w:footnote>
  <w:footnote w:id="4">
    <w:p w:rsidR="00C016F1" w:rsidRPr="0085121E" w:rsidP="00C016F1" w14:paraId="2988EB0F" w14:textId="5177E70F">
      <w:pPr>
        <w:pStyle w:val="FootnoteText"/>
      </w:pPr>
      <w:r w:rsidRPr="00FC00DD">
        <w:rPr>
          <w:rStyle w:val="FootnoteReference"/>
          <w:sz w:val="20"/>
        </w:rPr>
        <w:footnoteRef/>
      </w:r>
      <w:r w:rsidRPr="0085121E">
        <w:t xml:space="preserve"> </w:t>
      </w:r>
      <w:r w:rsidRPr="0085121E">
        <w:rPr>
          <w:i/>
        </w:rPr>
        <w:t>See Incentive Auction of Upper Microwave Flexible Use Service Licenses in the Upper 37 GHz, 39 GHz, and 47 GHz Bands for Next-Generation Wireless Services; Status of Short-Form Applications to Participate in Auction 103</w:t>
      </w:r>
      <w:r w:rsidRPr="0085121E">
        <w:t xml:space="preserve">, Public Notice, DA 19-1003, </w:t>
      </w:r>
      <w:r w:rsidR="00637B44">
        <w:t xml:space="preserve">at </w:t>
      </w:r>
      <w:r w:rsidRPr="0085121E">
        <w:t>2, para. 2 (OEA/WTB Oct. 7, 2019)</w:t>
      </w:r>
      <w:r>
        <w:t xml:space="preserve"> </w:t>
      </w:r>
      <w:r w:rsidRPr="0085121E">
        <w:t>(</w:t>
      </w:r>
      <w:r w:rsidRPr="0085121E">
        <w:rPr>
          <w:i/>
        </w:rPr>
        <w:t xml:space="preserve">Auction 103 </w:t>
      </w:r>
      <w:r>
        <w:rPr>
          <w:i/>
        </w:rPr>
        <w:t xml:space="preserve">Status </w:t>
      </w:r>
      <w:r w:rsidRPr="0085121E">
        <w:rPr>
          <w:i/>
        </w:rPr>
        <w:t>Public Notice</w:t>
      </w:r>
      <w:r w:rsidRPr="0085121E">
        <w:t>).</w:t>
      </w:r>
    </w:p>
  </w:footnote>
  <w:footnote w:id="5">
    <w:p w:rsidR="00C016F1" w:rsidRPr="0085121E" w:rsidP="00C016F1" w14:paraId="04AE760B" w14:textId="77777777">
      <w:pPr>
        <w:pStyle w:val="FootnoteText"/>
      </w:pPr>
      <w:r w:rsidRPr="00FC00DD">
        <w:rPr>
          <w:rStyle w:val="FootnoteReference"/>
          <w:sz w:val="20"/>
        </w:rPr>
        <w:footnoteRef/>
      </w:r>
      <w:r w:rsidRPr="0085121E">
        <w:t xml:space="preserve"> </w:t>
      </w:r>
      <w:r w:rsidRPr="0085121E">
        <w:rPr>
          <w:i/>
        </w:rPr>
        <w:t>Id</w:t>
      </w:r>
      <w:r w:rsidRPr="0085121E">
        <w:t xml:space="preserve">. </w:t>
      </w:r>
    </w:p>
  </w:footnote>
  <w:footnote w:id="6">
    <w:p w:rsidR="00C016F1" w:rsidP="00C016F1" w14:paraId="33F3446F" w14:textId="77777777">
      <w:pPr>
        <w:pStyle w:val="FootnoteText"/>
      </w:pPr>
      <w:r w:rsidRPr="00FC00DD">
        <w:rPr>
          <w:rStyle w:val="FootnoteReference"/>
          <w:sz w:val="20"/>
        </w:rPr>
        <w:footnoteRef/>
      </w:r>
      <w:r w:rsidRPr="0085121E">
        <w:t xml:space="preserve"> Short-form applications for Auction 103, as well as previous auctions, can be found </w:t>
      </w:r>
      <w:r>
        <w:t xml:space="preserve">using the Form 175 search function </w:t>
      </w:r>
      <w:r w:rsidRPr="0085121E">
        <w:t xml:space="preserve">at </w:t>
      </w:r>
      <w:hyperlink r:id="rId1" w:history="1">
        <w:r w:rsidRPr="0085121E">
          <w:rPr>
            <w:rStyle w:val="Hyperlink"/>
          </w:rPr>
          <w:t>https://auctionfiling.fcc.gov/form175/search175/index.htm</w:t>
        </w:r>
      </w:hyperlink>
      <w:r w:rsidRPr="0085121E">
        <w:t xml:space="preserve">. </w:t>
      </w:r>
    </w:p>
  </w:footnote>
  <w:footnote w:id="7">
    <w:p w:rsidR="00C016F1" w:rsidRPr="0085121E" w:rsidP="00C016F1" w14:paraId="16953842" w14:textId="77777777">
      <w:pPr>
        <w:pStyle w:val="FootnoteText"/>
      </w:pPr>
      <w:r w:rsidRPr="00FC00DD">
        <w:rPr>
          <w:rStyle w:val="FootnoteReference"/>
          <w:sz w:val="20"/>
        </w:rPr>
        <w:footnoteRef/>
      </w:r>
      <w:r w:rsidRPr="0085121E">
        <w:t xml:space="preserve"> </w:t>
      </w:r>
      <w:r w:rsidRPr="0085121E">
        <w:rPr>
          <w:i/>
        </w:rPr>
        <w:t>See</w:t>
      </w:r>
      <w:r w:rsidRPr="0085121E">
        <w:t xml:space="preserve"> </w:t>
      </w:r>
      <w:r w:rsidRPr="0085121E">
        <w:rPr>
          <w:i/>
        </w:rPr>
        <w:t>Auction 103 Procedures Public Notice</w:t>
      </w:r>
      <w:r w:rsidRPr="0085121E">
        <w:t xml:space="preserve">, 34 FCC </w:t>
      </w:r>
      <w:r w:rsidRPr="0085121E">
        <w:t>Rcd</w:t>
      </w:r>
      <w:r w:rsidRPr="0085121E">
        <w:t xml:space="preserve"> at 5546-47, paras. 35-40.</w:t>
      </w:r>
    </w:p>
  </w:footnote>
  <w:footnote w:id="8">
    <w:p w:rsidR="00C016F1" w:rsidP="00C016F1" w14:paraId="759BFEF6" w14:textId="138A9CDD">
      <w:pPr>
        <w:pStyle w:val="FootnoteText"/>
      </w:pPr>
      <w:r>
        <w:rPr>
          <w:rStyle w:val="FootnoteReference"/>
        </w:rPr>
        <w:footnoteRef/>
      </w:r>
      <w:r>
        <w:t xml:space="preserve"> </w:t>
      </w:r>
      <w:r w:rsidRPr="00B51CE3" w:rsidR="00B51CE3">
        <w:t>We note that, under the Commission’s competitive bidding rules, applicants that come into possession of non-public information to which they are not entitled have an obligation to report that to us and return and/or delete the information.</w:t>
      </w:r>
    </w:p>
  </w:footnote>
  <w:footnote w:id="9">
    <w:p w:rsidR="00C016F1" w:rsidRPr="0085121E" w:rsidP="00C016F1" w14:paraId="7C910C0A" w14:textId="77777777">
      <w:pPr>
        <w:pStyle w:val="FootnoteText"/>
      </w:pPr>
      <w:r w:rsidRPr="00FC00DD">
        <w:rPr>
          <w:rStyle w:val="FootnoteReference"/>
          <w:sz w:val="20"/>
        </w:rPr>
        <w:footnoteRef/>
      </w:r>
      <w:r w:rsidRPr="0085121E">
        <w:t xml:space="preserve"> 47 CFR § 1.2105(b)(2).</w:t>
      </w:r>
    </w:p>
  </w:footnote>
  <w:footnote w:id="10">
    <w:p w:rsidR="00C016F1" w:rsidRPr="006A6108" w:rsidP="00C016F1" w14:paraId="6387D264" w14:textId="77777777">
      <w:pPr>
        <w:pStyle w:val="FootnoteText"/>
      </w:pPr>
      <w:r w:rsidRPr="00FC00DD">
        <w:rPr>
          <w:rStyle w:val="FootnoteReference"/>
          <w:sz w:val="20"/>
        </w:rPr>
        <w:footnoteRef/>
      </w:r>
      <w:r w:rsidRPr="0085121E">
        <w:t xml:space="preserve"> </w:t>
      </w:r>
      <w:r w:rsidRPr="0085121E">
        <w:rPr>
          <w:i/>
        </w:rPr>
        <w:t>See</w:t>
      </w:r>
      <w:r w:rsidRPr="0085121E">
        <w:t xml:space="preserve"> </w:t>
      </w:r>
      <w:r w:rsidRPr="0085121E">
        <w:rPr>
          <w:i/>
        </w:rPr>
        <w:t>id.</w:t>
      </w:r>
      <w:r w:rsidRPr="0085121E">
        <w:t xml:space="preserve"> § 1.925(b)(3)(</w:t>
      </w:r>
      <w:r w:rsidRPr="0085121E">
        <w:t>i</w:t>
      </w:r>
      <w:r w:rsidRPr="0085121E">
        <w:t>)-(ii).</w:t>
      </w:r>
      <w:r w:rsidRPr="006A6108">
        <w:t xml:space="preserve">      </w:t>
      </w:r>
    </w:p>
  </w:footnote>
  <w:footnote w:id="11">
    <w:p w:rsidR="00C016F1" w:rsidRPr="0085121E" w:rsidP="00C016F1" w14:paraId="6C9F42C8" w14:textId="77777777">
      <w:pPr>
        <w:pStyle w:val="FootnoteText"/>
      </w:pPr>
      <w:r w:rsidRPr="0085121E">
        <w:rPr>
          <w:rStyle w:val="FootnoteReference"/>
          <w:sz w:val="20"/>
        </w:rPr>
        <w:footnoteRef/>
      </w:r>
      <w:r w:rsidRPr="0085121E">
        <w:t xml:space="preserve"> The letter summarizing the changes must include a subject or caption referring to Auction 103 and the name of the applicant, for example, “Re:  Changes to Auction 103 Application of XYZ Corp.”  Any attachments to email must be formatted as Adobe</w:t>
      </w:r>
      <w:r w:rsidRPr="0085121E">
        <w:rPr>
          <w:vertAlign w:val="superscript"/>
        </w:rPr>
        <w:t>®</w:t>
      </w:r>
      <w:r w:rsidRPr="0085121E">
        <w:t xml:space="preserve"> Acrobat</w:t>
      </w:r>
      <w:r w:rsidRPr="0085121E">
        <w:rPr>
          <w:vertAlign w:val="superscript"/>
        </w:rPr>
        <w:t>®</w:t>
      </w:r>
      <w:r w:rsidRPr="0085121E">
        <w:t xml:space="preserve"> (PDF) or Microsoft</w:t>
      </w:r>
      <w:r w:rsidRPr="0085121E">
        <w:rPr>
          <w:vertAlign w:val="superscript"/>
        </w:rPr>
        <w:t xml:space="preserve">® </w:t>
      </w:r>
      <w:r w:rsidRPr="0085121E">
        <w:t xml:space="preserve">Word documents.      </w:t>
      </w:r>
    </w:p>
  </w:footnote>
  <w:footnote w:id="12">
    <w:p w:rsidR="00C016F1" w:rsidRPr="0085121E" w:rsidP="00C016F1" w14:paraId="34D1E78C" w14:textId="77777777">
      <w:pPr>
        <w:pStyle w:val="FootnoteText"/>
      </w:pPr>
      <w:r w:rsidRPr="00FC00DD">
        <w:rPr>
          <w:rStyle w:val="FootnoteReference"/>
          <w:sz w:val="20"/>
        </w:rPr>
        <w:footnoteRef/>
      </w:r>
      <w:r w:rsidRPr="0085121E">
        <w:t xml:space="preserve"> </w:t>
      </w:r>
      <w:r w:rsidRPr="0085121E">
        <w:rPr>
          <w:i/>
        </w:rPr>
        <w:t>See generally Auction 103 Procedures Public Notice</w:t>
      </w:r>
      <w:r w:rsidRPr="0085121E">
        <w:t xml:space="preserve">, 34 FCC </w:t>
      </w:r>
      <w:r w:rsidRPr="0085121E">
        <w:t>Rcd</w:t>
      </w:r>
      <w:r w:rsidRPr="0085121E">
        <w:rPr>
          <w:i/>
        </w:rPr>
        <w:t xml:space="preserve"> </w:t>
      </w:r>
      <w:r w:rsidRPr="0085121E">
        <w:t>at 5576-78, paras. 135-41.</w:t>
      </w:r>
    </w:p>
  </w:footnote>
  <w:footnote w:id="13">
    <w:p w:rsidR="00C016F1" w:rsidRPr="0085121E" w:rsidP="00C016F1" w14:paraId="73ACA71E" w14:textId="77777777">
      <w:pPr>
        <w:pStyle w:val="FootnoteText"/>
      </w:pPr>
      <w:r w:rsidRPr="0085121E">
        <w:rPr>
          <w:rStyle w:val="FootnoteReference"/>
          <w:sz w:val="20"/>
        </w:rPr>
        <w:footnoteRef/>
      </w:r>
      <w:r w:rsidRPr="0085121E">
        <w:t xml:space="preserve"> </w:t>
      </w:r>
      <w:r w:rsidRPr="0085121E">
        <w:rPr>
          <w:i/>
        </w:rPr>
        <w:t xml:space="preserve">See id. </w:t>
      </w:r>
      <w:r w:rsidRPr="0085121E">
        <w:t>at 5546-47, paras. 35-40.</w:t>
      </w:r>
    </w:p>
  </w:footnote>
  <w:footnote w:id="14">
    <w:p w:rsidR="00C016F1" w:rsidRPr="0085121E" w:rsidP="00C016F1" w14:paraId="4194321E" w14:textId="77777777">
      <w:pPr>
        <w:pStyle w:val="FootnoteText"/>
      </w:pPr>
      <w:r w:rsidRPr="00FC00DD">
        <w:rPr>
          <w:rStyle w:val="FootnoteReference"/>
          <w:sz w:val="20"/>
        </w:rPr>
        <w:footnoteRef/>
      </w:r>
      <w:r w:rsidRPr="0085121E">
        <w:t xml:space="preserve"> 47 CFR § 1.2105(c).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E9D" w:rsidRPr="004A527C" w:rsidP="00837C62" w14:paraId="71F453D0" w14:textId="7F2847A0">
    <w:pPr>
      <w:pStyle w:val="Header"/>
      <w:rPr>
        <w:rFonts w:ascii="Times New Roman" w:hAnsi="Times New Roman" w:cs="Times New Roman"/>
        <w:sz w:val="22"/>
        <w:szCs w:val="22"/>
      </w:rPr>
    </w:pPr>
    <w:r>
      <w:tab/>
    </w:r>
    <w:r w:rsidRPr="004A527C">
      <w:rPr>
        <w:rFonts w:ascii="Times New Roman" w:hAnsi="Times New Roman" w:cs="Times New Roman"/>
        <w:sz w:val="22"/>
        <w:szCs w:val="22"/>
      </w:rPr>
      <w:t>Federal Communications Commission</w:t>
    </w:r>
    <w:r w:rsidRPr="004A527C">
      <w:rPr>
        <w:rFonts w:ascii="Times New Roman" w:hAnsi="Times New Roman" w:cs="Times New Roman"/>
        <w:sz w:val="22"/>
        <w:szCs w:val="22"/>
      </w:rPr>
      <w:tab/>
    </w:r>
    <w:r w:rsidR="00D56E0C">
      <w:rPr>
        <w:rFonts w:ascii="Times New Roman" w:hAnsi="Times New Roman" w:cs="Times New Roman"/>
        <w:sz w:val="22"/>
        <w:szCs w:val="22"/>
      </w:rPr>
      <w:t>DA 19-</w:t>
    </w:r>
    <w:r w:rsidR="00C242A9">
      <w:rPr>
        <w:rFonts w:ascii="Times New Roman" w:hAnsi="Times New Roman" w:cs="Times New Roman"/>
        <w:sz w:val="22"/>
        <w:szCs w:val="22"/>
      </w:rPr>
      <w:t>1057</w:t>
    </w:r>
  </w:p>
  <w:p w:rsidR="00F84E9D" w14:paraId="45403E16"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F84E9D" w14:paraId="4C9A9E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E9D" w:rsidRPr="00837C62" w:rsidP="00837C62" w14:paraId="72A61352" w14:textId="10190A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F84E9D" w:rsidP="00837C62" w14:paraId="684017AA"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F84E9D" w:rsidP="00C82B6B" w14:paraId="50CD6556" w14:textId="77777777">
                <w:pPr>
                  <w:rPr>
                    <w:rFonts w:ascii="Arial" w:hAnsi="Arial"/>
                    <w:b/>
                  </w:rPr>
                </w:pPr>
                <w:r>
                  <w:rPr>
                    <w:rFonts w:ascii="Arial" w:hAnsi="Arial"/>
                    <w:b/>
                  </w:rPr>
                  <w:t>Federal Communications Commission</w:t>
                </w:r>
              </w:p>
              <w:p w:rsidR="00F84E9D" w:rsidP="00C82B6B" w14:paraId="72B56CA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F84E9D" w:rsidP="00C82B6B" w14:paraId="35164FC2"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F84E9D" w:rsidP="00C82B6B" w14:paraId="4A60B607" w14:textId="77777777">
                <w:pPr>
                  <w:spacing w:before="40"/>
                  <w:jc w:val="right"/>
                  <w:rPr>
                    <w:rFonts w:ascii="Arial" w:hAnsi="Arial"/>
                    <w:b/>
                    <w:sz w:val="16"/>
                  </w:rPr>
                </w:pPr>
                <w:r>
                  <w:rPr>
                    <w:rFonts w:ascii="Arial" w:hAnsi="Arial"/>
                    <w:b/>
                    <w:sz w:val="16"/>
                  </w:rPr>
                  <w:t>News Media Information: 202-418-0500</w:t>
                </w:r>
              </w:p>
              <w:p w:rsidR="00F84E9D" w:rsidP="00C82B6B" w14:paraId="7B340EB8" w14:textId="77777777">
                <w:pPr>
                  <w:jc w:val="right"/>
                  <w:rPr>
                    <w:rFonts w:ascii="Arial" w:hAnsi="Arial"/>
                    <w:b/>
                    <w:sz w:val="16"/>
                  </w:rPr>
                </w:pPr>
                <w:r>
                  <w:rPr>
                    <w:rFonts w:ascii="Arial" w:hAnsi="Arial"/>
                    <w:b/>
                    <w:sz w:val="16"/>
                  </w:rPr>
                  <w:tab/>
                  <w:t xml:space="preserve">Internet: </w:t>
                </w:r>
                <w:hyperlink r:id="rId2" w:history="1">
                  <w:r w:rsidRPr="006006C0">
                    <w:rPr>
                      <w:rStyle w:val="Hyperlink"/>
                      <w:rFonts w:ascii="Arial" w:hAnsi="Arial"/>
                      <w:b/>
                      <w:sz w:val="16"/>
                    </w:rPr>
                    <w:t>www.fcc.gov</w:t>
                  </w:r>
                </w:hyperlink>
                <w:r>
                  <w:rPr>
                    <w:rFonts w:ascii="Arial" w:hAnsi="Arial"/>
                    <w:b/>
                    <w:sz w:val="16"/>
                  </w:rPr>
                  <w:t xml:space="preserve"> </w:t>
                </w:r>
              </w:p>
              <w:p w:rsidR="00F84E9D" w:rsidP="00C82B6B" w14:paraId="1725A36E" w14:textId="77777777">
                <w:pPr>
                  <w:jc w:val="right"/>
                  <w:rPr>
                    <w:rFonts w:ascii="Arial" w:hAnsi="Arial"/>
                    <w:b/>
                    <w:sz w:val="16"/>
                  </w:rPr>
                </w:pPr>
                <w:r>
                  <w:rPr>
                    <w:rFonts w:ascii="Arial" w:hAnsi="Arial"/>
                    <w:b/>
                    <w:sz w:val="16"/>
                  </w:rPr>
                  <w:t>TTY: 888-835-5322</w:t>
                </w:r>
              </w:p>
              <w:p w:rsidR="00F84E9D" w:rsidP="00C82B6B" w14:paraId="19FB6CBC" w14:textId="77777777">
                <w:pPr>
                  <w:jc w:val="right"/>
                </w:pPr>
              </w:p>
            </w:txbxContent>
          </v:textbox>
        </v:shape>
      </w:pict>
    </w:r>
  </w:p>
  <w:p w:rsidR="00F84E9D" w:rsidRPr="00C82B6B" w:rsidP="00837C62" w14:paraId="7DD8BDBB"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3062692"/>
    <w:lvl w:ilvl="0">
      <w:start w:val="1"/>
      <w:numFmt w:val="decimal"/>
      <w:pStyle w:val="Para"/>
      <w:lvlText w:val="%1."/>
      <w:lvlJc w:val="left"/>
      <w:pPr>
        <w:tabs>
          <w:tab w:val="num" w:pos="1170"/>
        </w:tabs>
        <w:ind w:left="90"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3019"/>
    <w:rsid w:val="00014442"/>
    <w:rsid w:val="00027631"/>
    <w:rsid w:val="00034ACC"/>
    <w:rsid w:val="000357D9"/>
    <w:rsid w:val="000358E0"/>
    <w:rsid w:val="00036039"/>
    <w:rsid w:val="000364FC"/>
    <w:rsid w:val="00037F90"/>
    <w:rsid w:val="000750F4"/>
    <w:rsid w:val="00084D48"/>
    <w:rsid w:val="000875BF"/>
    <w:rsid w:val="00096D8C"/>
    <w:rsid w:val="000A725E"/>
    <w:rsid w:val="000C0B65"/>
    <w:rsid w:val="000E3D42"/>
    <w:rsid w:val="000E5884"/>
    <w:rsid w:val="000E639C"/>
    <w:rsid w:val="000F2F16"/>
    <w:rsid w:val="000F73CC"/>
    <w:rsid w:val="0010140E"/>
    <w:rsid w:val="00104465"/>
    <w:rsid w:val="00114B67"/>
    <w:rsid w:val="00122BD5"/>
    <w:rsid w:val="00125C0E"/>
    <w:rsid w:val="00130D74"/>
    <w:rsid w:val="0013128D"/>
    <w:rsid w:val="0013226A"/>
    <w:rsid w:val="001343C5"/>
    <w:rsid w:val="001370D4"/>
    <w:rsid w:val="00144815"/>
    <w:rsid w:val="00146E3B"/>
    <w:rsid w:val="0016724F"/>
    <w:rsid w:val="001765B5"/>
    <w:rsid w:val="00180360"/>
    <w:rsid w:val="001A19AD"/>
    <w:rsid w:val="001C5671"/>
    <w:rsid w:val="001D6BCF"/>
    <w:rsid w:val="001E01CA"/>
    <w:rsid w:val="001E10EE"/>
    <w:rsid w:val="001F0A2B"/>
    <w:rsid w:val="001F5A65"/>
    <w:rsid w:val="00200D7C"/>
    <w:rsid w:val="00202FBB"/>
    <w:rsid w:val="00226822"/>
    <w:rsid w:val="0022774B"/>
    <w:rsid w:val="00240678"/>
    <w:rsid w:val="0025369A"/>
    <w:rsid w:val="00260BEB"/>
    <w:rsid w:val="00266D70"/>
    <w:rsid w:val="00272560"/>
    <w:rsid w:val="00281927"/>
    <w:rsid w:val="002832CC"/>
    <w:rsid w:val="00285017"/>
    <w:rsid w:val="00287D58"/>
    <w:rsid w:val="002A2D2E"/>
    <w:rsid w:val="002C6BE5"/>
    <w:rsid w:val="002D336D"/>
    <w:rsid w:val="002D6123"/>
    <w:rsid w:val="0030093A"/>
    <w:rsid w:val="00343749"/>
    <w:rsid w:val="00353C6D"/>
    <w:rsid w:val="003567A8"/>
    <w:rsid w:val="003602B2"/>
    <w:rsid w:val="00363831"/>
    <w:rsid w:val="0037443E"/>
    <w:rsid w:val="0038003F"/>
    <w:rsid w:val="00381AE0"/>
    <w:rsid w:val="0038667B"/>
    <w:rsid w:val="003B0550"/>
    <w:rsid w:val="003B3108"/>
    <w:rsid w:val="003B694F"/>
    <w:rsid w:val="003C0FC2"/>
    <w:rsid w:val="003C3351"/>
    <w:rsid w:val="003E0DAF"/>
    <w:rsid w:val="003E2759"/>
    <w:rsid w:val="003F171C"/>
    <w:rsid w:val="00400B6C"/>
    <w:rsid w:val="00402748"/>
    <w:rsid w:val="0041223B"/>
    <w:rsid w:val="00412FC5"/>
    <w:rsid w:val="00413A54"/>
    <w:rsid w:val="00422276"/>
    <w:rsid w:val="004242F1"/>
    <w:rsid w:val="004329F1"/>
    <w:rsid w:val="0043444D"/>
    <w:rsid w:val="00435180"/>
    <w:rsid w:val="00445A00"/>
    <w:rsid w:val="00451B0F"/>
    <w:rsid w:val="0046102D"/>
    <w:rsid w:val="00474C53"/>
    <w:rsid w:val="0047619B"/>
    <w:rsid w:val="00495005"/>
    <w:rsid w:val="00496106"/>
    <w:rsid w:val="00497808"/>
    <w:rsid w:val="004A527C"/>
    <w:rsid w:val="004B59FC"/>
    <w:rsid w:val="004C12D0"/>
    <w:rsid w:val="004C2EE3"/>
    <w:rsid w:val="004E4A22"/>
    <w:rsid w:val="00501405"/>
    <w:rsid w:val="00511968"/>
    <w:rsid w:val="005124F3"/>
    <w:rsid w:val="00517FE6"/>
    <w:rsid w:val="005336B7"/>
    <w:rsid w:val="00544961"/>
    <w:rsid w:val="00546C70"/>
    <w:rsid w:val="0055614C"/>
    <w:rsid w:val="005644FC"/>
    <w:rsid w:val="005712E5"/>
    <w:rsid w:val="00582ABD"/>
    <w:rsid w:val="00583A91"/>
    <w:rsid w:val="005933C5"/>
    <w:rsid w:val="005A4984"/>
    <w:rsid w:val="005A6414"/>
    <w:rsid w:val="005B001B"/>
    <w:rsid w:val="005F22A3"/>
    <w:rsid w:val="006006C0"/>
    <w:rsid w:val="006025C8"/>
    <w:rsid w:val="00607BA5"/>
    <w:rsid w:val="00617378"/>
    <w:rsid w:val="00626446"/>
    <w:rsid w:val="00626EB6"/>
    <w:rsid w:val="00630D53"/>
    <w:rsid w:val="00637B44"/>
    <w:rsid w:val="0065341E"/>
    <w:rsid w:val="00655D03"/>
    <w:rsid w:val="006621FE"/>
    <w:rsid w:val="006646C7"/>
    <w:rsid w:val="00671743"/>
    <w:rsid w:val="006775DC"/>
    <w:rsid w:val="006777B9"/>
    <w:rsid w:val="00683F84"/>
    <w:rsid w:val="00687EED"/>
    <w:rsid w:val="00696850"/>
    <w:rsid w:val="006A6108"/>
    <w:rsid w:val="006A6A81"/>
    <w:rsid w:val="006D0840"/>
    <w:rsid w:val="006D7753"/>
    <w:rsid w:val="006E26AF"/>
    <w:rsid w:val="006E3F64"/>
    <w:rsid w:val="006E5F29"/>
    <w:rsid w:val="006F0A42"/>
    <w:rsid w:val="006F1EB8"/>
    <w:rsid w:val="006F7393"/>
    <w:rsid w:val="006F761E"/>
    <w:rsid w:val="0070224F"/>
    <w:rsid w:val="007073F1"/>
    <w:rsid w:val="007115F7"/>
    <w:rsid w:val="007561A5"/>
    <w:rsid w:val="0078395E"/>
    <w:rsid w:val="00785689"/>
    <w:rsid w:val="0079754B"/>
    <w:rsid w:val="007A1E6D"/>
    <w:rsid w:val="007D48B2"/>
    <w:rsid w:val="007E108C"/>
    <w:rsid w:val="007F278E"/>
    <w:rsid w:val="007F473E"/>
    <w:rsid w:val="007F4B9C"/>
    <w:rsid w:val="007F6377"/>
    <w:rsid w:val="00822CE0"/>
    <w:rsid w:val="00837C62"/>
    <w:rsid w:val="00841AB1"/>
    <w:rsid w:val="00843227"/>
    <w:rsid w:val="0084454B"/>
    <w:rsid w:val="00845530"/>
    <w:rsid w:val="00846365"/>
    <w:rsid w:val="0085121E"/>
    <w:rsid w:val="008517BE"/>
    <w:rsid w:val="00854957"/>
    <w:rsid w:val="00854B58"/>
    <w:rsid w:val="008569E9"/>
    <w:rsid w:val="00874892"/>
    <w:rsid w:val="0087555F"/>
    <w:rsid w:val="00885528"/>
    <w:rsid w:val="00886D2D"/>
    <w:rsid w:val="00887F40"/>
    <w:rsid w:val="008978A7"/>
    <w:rsid w:val="008A47BF"/>
    <w:rsid w:val="008B06F5"/>
    <w:rsid w:val="008D0200"/>
    <w:rsid w:val="008D1285"/>
    <w:rsid w:val="008E36CA"/>
    <w:rsid w:val="008E6A72"/>
    <w:rsid w:val="008F34F9"/>
    <w:rsid w:val="009237C8"/>
    <w:rsid w:val="00926503"/>
    <w:rsid w:val="009445B3"/>
    <w:rsid w:val="00952281"/>
    <w:rsid w:val="00960456"/>
    <w:rsid w:val="00980509"/>
    <w:rsid w:val="00981B3A"/>
    <w:rsid w:val="009923AA"/>
    <w:rsid w:val="00996BB3"/>
    <w:rsid w:val="009A08FA"/>
    <w:rsid w:val="009A4CF9"/>
    <w:rsid w:val="009B42AD"/>
    <w:rsid w:val="009B7871"/>
    <w:rsid w:val="009C40FB"/>
    <w:rsid w:val="00A107DC"/>
    <w:rsid w:val="00A24216"/>
    <w:rsid w:val="00A2629F"/>
    <w:rsid w:val="00A304C7"/>
    <w:rsid w:val="00A37A99"/>
    <w:rsid w:val="00A40052"/>
    <w:rsid w:val="00A4059F"/>
    <w:rsid w:val="00A45F4F"/>
    <w:rsid w:val="00A50259"/>
    <w:rsid w:val="00A567E3"/>
    <w:rsid w:val="00A600A9"/>
    <w:rsid w:val="00A77707"/>
    <w:rsid w:val="00A82DF5"/>
    <w:rsid w:val="00A85C95"/>
    <w:rsid w:val="00A910D0"/>
    <w:rsid w:val="00A91613"/>
    <w:rsid w:val="00AA091D"/>
    <w:rsid w:val="00AA55B7"/>
    <w:rsid w:val="00AA5B9E"/>
    <w:rsid w:val="00AB2407"/>
    <w:rsid w:val="00AB5189"/>
    <w:rsid w:val="00AB53DF"/>
    <w:rsid w:val="00AC21FB"/>
    <w:rsid w:val="00AC23DE"/>
    <w:rsid w:val="00AC2E05"/>
    <w:rsid w:val="00AE5051"/>
    <w:rsid w:val="00AF0CED"/>
    <w:rsid w:val="00AF4761"/>
    <w:rsid w:val="00AF56F3"/>
    <w:rsid w:val="00B00D80"/>
    <w:rsid w:val="00B050D8"/>
    <w:rsid w:val="00B07E5C"/>
    <w:rsid w:val="00B209EC"/>
    <w:rsid w:val="00B23A0B"/>
    <w:rsid w:val="00B302EE"/>
    <w:rsid w:val="00B368F3"/>
    <w:rsid w:val="00B41CDD"/>
    <w:rsid w:val="00B469D4"/>
    <w:rsid w:val="00B51CE3"/>
    <w:rsid w:val="00B5408A"/>
    <w:rsid w:val="00B811F7"/>
    <w:rsid w:val="00BA5DC6"/>
    <w:rsid w:val="00BA6196"/>
    <w:rsid w:val="00BB1E2E"/>
    <w:rsid w:val="00BB50FD"/>
    <w:rsid w:val="00BC552A"/>
    <w:rsid w:val="00BC6D8C"/>
    <w:rsid w:val="00BD3589"/>
    <w:rsid w:val="00BE0B23"/>
    <w:rsid w:val="00C016F1"/>
    <w:rsid w:val="00C02B11"/>
    <w:rsid w:val="00C13662"/>
    <w:rsid w:val="00C242A9"/>
    <w:rsid w:val="00C34006"/>
    <w:rsid w:val="00C342D4"/>
    <w:rsid w:val="00C36184"/>
    <w:rsid w:val="00C426B1"/>
    <w:rsid w:val="00C42783"/>
    <w:rsid w:val="00C5042D"/>
    <w:rsid w:val="00C665E4"/>
    <w:rsid w:val="00C736BD"/>
    <w:rsid w:val="00C75BE5"/>
    <w:rsid w:val="00C82B6B"/>
    <w:rsid w:val="00C83607"/>
    <w:rsid w:val="00C87F79"/>
    <w:rsid w:val="00C90D6A"/>
    <w:rsid w:val="00CB348A"/>
    <w:rsid w:val="00CB7FEA"/>
    <w:rsid w:val="00CC72B6"/>
    <w:rsid w:val="00CD0AC0"/>
    <w:rsid w:val="00CE255F"/>
    <w:rsid w:val="00D0218D"/>
    <w:rsid w:val="00D17C24"/>
    <w:rsid w:val="00D34B6E"/>
    <w:rsid w:val="00D53A17"/>
    <w:rsid w:val="00D53C1B"/>
    <w:rsid w:val="00D56E0C"/>
    <w:rsid w:val="00D642B5"/>
    <w:rsid w:val="00D6458F"/>
    <w:rsid w:val="00D75CD0"/>
    <w:rsid w:val="00D817EC"/>
    <w:rsid w:val="00DA11AB"/>
    <w:rsid w:val="00DA2529"/>
    <w:rsid w:val="00DA4C2C"/>
    <w:rsid w:val="00DB130A"/>
    <w:rsid w:val="00DC10A1"/>
    <w:rsid w:val="00DC2102"/>
    <w:rsid w:val="00DC655F"/>
    <w:rsid w:val="00DD28DC"/>
    <w:rsid w:val="00DD588F"/>
    <w:rsid w:val="00DD7383"/>
    <w:rsid w:val="00DD7EBD"/>
    <w:rsid w:val="00DF1475"/>
    <w:rsid w:val="00DF62B6"/>
    <w:rsid w:val="00E054B0"/>
    <w:rsid w:val="00E07225"/>
    <w:rsid w:val="00E31A04"/>
    <w:rsid w:val="00E35701"/>
    <w:rsid w:val="00E5409F"/>
    <w:rsid w:val="00E5449C"/>
    <w:rsid w:val="00E5635E"/>
    <w:rsid w:val="00E751BD"/>
    <w:rsid w:val="00E76588"/>
    <w:rsid w:val="00E86E25"/>
    <w:rsid w:val="00E96495"/>
    <w:rsid w:val="00EC3BD2"/>
    <w:rsid w:val="00ED6639"/>
    <w:rsid w:val="00EE514A"/>
    <w:rsid w:val="00EF5E77"/>
    <w:rsid w:val="00F009D4"/>
    <w:rsid w:val="00F021FA"/>
    <w:rsid w:val="00F03165"/>
    <w:rsid w:val="00F057F2"/>
    <w:rsid w:val="00F06F32"/>
    <w:rsid w:val="00F16CBA"/>
    <w:rsid w:val="00F311AC"/>
    <w:rsid w:val="00F34935"/>
    <w:rsid w:val="00F36F75"/>
    <w:rsid w:val="00F57ACA"/>
    <w:rsid w:val="00F62E97"/>
    <w:rsid w:val="00F64209"/>
    <w:rsid w:val="00F67CCA"/>
    <w:rsid w:val="00F84E9D"/>
    <w:rsid w:val="00F9339B"/>
    <w:rsid w:val="00F93BF5"/>
    <w:rsid w:val="00FB0425"/>
    <w:rsid w:val="00FB0AC4"/>
    <w:rsid w:val="00FC6987"/>
    <w:rsid w:val="00FE725A"/>
    <w:rsid w:val="00FF7D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11B866C-3BAA-4B00-A5F3-5FCE7F34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link w:val="FootnoteText"/>
    <w:rsid w:val="00125C0E"/>
  </w:style>
  <w:style w:type="character" w:customStyle="1" w:styleId="ParaNumChar">
    <w:name w:val="ParaNum Char"/>
    <w:link w:val="ParaNum"/>
    <w:locked/>
    <w:rsid w:val="00125C0E"/>
    <w:rPr>
      <w:snapToGrid w:val="0"/>
      <w:kern w:val="28"/>
      <w:sz w:val="22"/>
    </w:rPr>
  </w:style>
  <w:style w:type="character" w:customStyle="1" w:styleId="UnresolvedMention">
    <w:name w:val="Unresolved Mention"/>
    <w:uiPriority w:val="99"/>
    <w:semiHidden/>
    <w:unhideWhenUsed/>
    <w:rsid w:val="004A527C"/>
    <w:rPr>
      <w:color w:val="605E5C"/>
      <w:shd w:val="clear" w:color="auto" w:fill="E1DFDD"/>
    </w:rPr>
  </w:style>
  <w:style w:type="character" w:styleId="CommentReference">
    <w:name w:val="annotation reference"/>
    <w:uiPriority w:val="99"/>
    <w:semiHidden/>
    <w:unhideWhenUsed/>
    <w:rsid w:val="00F84E9D"/>
    <w:rPr>
      <w:sz w:val="16"/>
      <w:szCs w:val="16"/>
    </w:rPr>
  </w:style>
  <w:style w:type="paragraph" w:styleId="CommentText">
    <w:name w:val="annotation text"/>
    <w:basedOn w:val="Normal"/>
    <w:link w:val="CommentTextChar"/>
    <w:uiPriority w:val="99"/>
    <w:semiHidden/>
    <w:unhideWhenUsed/>
    <w:rsid w:val="00F84E9D"/>
    <w:rPr>
      <w:sz w:val="20"/>
    </w:rPr>
  </w:style>
  <w:style w:type="character" w:customStyle="1" w:styleId="CommentTextChar">
    <w:name w:val="Comment Text Char"/>
    <w:link w:val="CommentText"/>
    <w:uiPriority w:val="99"/>
    <w:semiHidden/>
    <w:rsid w:val="00F84E9D"/>
    <w:rPr>
      <w:snapToGrid w:val="0"/>
      <w:kern w:val="28"/>
    </w:rPr>
  </w:style>
  <w:style w:type="paragraph" w:styleId="CommentSubject">
    <w:name w:val="annotation subject"/>
    <w:basedOn w:val="CommentText"/>
    <w:next w:val="CommentText"/>
    <w:link w:val="CommentSubjectChar"/>
    <w:uiPriority w:val="99"/>
    <w:semiHidden/>
    <w:unhideWhenUsed/>
    <w:rsid w:val="00F84E9D"/>
    <w:rPr>
      <w:b/>
      <w:bCs/>
    </w:rPr>
  </w:style>
  <w:style w:type="character" w:customStyle="1" w:styleId="CommentSubjectChar">
    <w:name w:val="Comment Subject Char"/>
    <w:link w:val="CommentSubject"/>
    <w:uiPriority w:val="99"/>
    <w:semiHidden/>
    <w:rsid w:val="00F84E9D"/>
    <w:rPr>
      <w:b/>
      <w:bCs/>
      <w:snapToGrid w:val="0"/>
      <w:kern w:val="28"/>
    </w:rPr>
  </w:style>
  <w:style w:type="paragraph" w:styleId="BalloonText">
    <w:name w:val="Balloon Text"/>
    <w:basedOn w:val="Normal"/>
    <w:link w:val="BalloonTextChar"/>
    <w:uiPriority w:val="99"/>
    <w:semiHidden/>
    <w:unhideWhenUsed/>
    <w:rsid w:val="00F84E9D"/>
    <w:rPr>
      <w:rFonts w:ascii="Segoe UI" w:hAnsi="Segoe UI" w:cs="Segoe UI"/>
      <w:sz w:val="18"/>
      <w:szCs w:val="18"/>
    </w:rPr>
  </w:style>
  <w:style w:type="character" w:customStyle="1" w:styleId="BalloonTextChar">
    <w:name w:val="Balloon Text Char"/>
    <w:link w:val="BalloonText"/>
    <w:uiPriority w:val="99"/>
    <w:semiHidden/>
    <w:rsid w:val="00F84E9D"/>
    <w:rPr>
      <w:rFonts w:ascii="Segoe UI" w:hAnsi="Segoe UI" w:cs="Segoe UI"/>
      <w:snapToGrid w:val="0"/>
      <w:kern w:val="28"/>
      <w:sz w:val="18"/>
      <w:szCs w:val="18"/>
    </w:rPr>
  </w:style>
  <w:style w:type="character" w:styleId="FollowedHyperlink">
    <w:name w:val="FollowedHyperlink"/>
    <w:uiPriority w:val="99"/>
    <w:semiHidden/>
    <w:unhideWhenUsed/>
    <w:rsid w:val="008978A7"/>
    <w:rPr>
      <w:color w:val="954F72"/>
      <w:u w:val="single"/>
    </w:rPr>
  </w:style>
  <w:style w:type="paragraph" w:customStyle="1" w:styleId="Para">
    <w:name w:val="Para"/>
    <w:basedOn w:val="Normal"/>
    <w:rsid w:val="0065341E"/>
    <w:pPr>
      <w:numPr>
        <w:numId w:val="7"/>
      </w:numPr>
    </w:pPr>
  </w:style>
  <w:style w:type="character" w:customStyle="1" w:styleId="FooterChar">
    <w:name w:val="Footer Char"/>
    <w:link w:val="Footer"/>
    <w:uiPriority w:val="99"/>
    <w:rsid w:val="00D34B6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3@fcc.gov" TargetMode="External" /><Relationship Id="rId6" Type="http://schemas.openxmlformats.org/officeDocument/2006/relationships/hyperlink" Target="mailto:RROGWireFaxes@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filing.fcc.gov/form175/search175/index.ht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