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B71F2" w:rsidP="00B73B55">
      <w:pPr>
        <w:pStyle w:val="Title"/>
        <w:rPr>
          <w:szCs w:val="22"/>
        </w:rPr>
      </w:pPr>
      <w:r>
        <w:rPr>
          <w:szCs w:val="22"/>
        </w:rPr>
        <w:t>Before the</w:t>
      </w:r>
    </w:p>
    <w:p w:rsidR="00AB71F2" w:rsidP="00AB71F2">
      <w:pPr>
        <w:pStyle w:val="Subtitle"/>
        <w:ind w:firstLine="0"/>
        <w:rPr>
          <w:szCs w:val="22"/>
        </w:rPr>
      </w:pPr>
      <w:r>
        <w:rPr>
          <w:szCs w:val="22"/>
        </w:rPr>
        <w:t>Federal Communications Commission</w:t>
      </w:r>
    </w:p>
    <w:p w:rsidR="00AB71F2" w:rsidP="00AB71F2">
      <w:pPr>
        <w:jc w:val="center"/>
        <w:rPr>
          <w:b/>
          <w:szCs w:val="22"/>
        </w:rPr>
      </w:pPr>
      <w:r>
        <w:rPr>
          <w:b/>
          <w:szCs w:val="22"/>
        </w:rPr>
        <w:t>Washington, D.C. 20554</w:t>
      </w:r>
    </w:p>
    <w:p w:rsidR="00AB71F2" w:rsidP="00AB71F2">
      <w:pPr>
        <w:tabs>
          <w:tab w:val="left" w:pos="-720"/>
        </w:tabs>
        <w:suppressAutoHyphens/>
        <w:spacing w:line="225" w:lineRule="auto"/>
        <w:rPr>
          <w:spacing w:val="-2"/>
          <w:szCs w:val="22"/>
        </w:rPr>
      </w:pPr>
    </w:p>
    <w:p w:rsidR="00AB71F2" w:rsidP="00AB71F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AB71F2">
        <w:tblPrEx>
          <w:tblW w:w="0" w:type="auto"/>
          <w:tblLayout w:type="fixed"/>
          <w:tblLook w:val="04A0"/>
        </w:tblPrEx>
        <w:tc>
          <w:tcPr>
            <w:tcW w:w="4698" w:type="dxa"/>
          </w:tcPr>
          <w:p w:rsidR="00AB71F2">
            <w:pPr>
              <w:pStyle w:val="TOAHeading"/>
              <w:tabs>
                <w:tab w:val="center" w:pos="4680"/>
              </w:tabs>
              <w:rPr>
                <w:spacing w:val="-2"/>
                <w:szCs w:val="22"/>
              </w:rPr>
            </w:pPr>
            <w:r>
              <w:rPr>
                <w:spacing w:val="-2"/>
                <w:szCs w:val="22"/>
              </w:rPr>
              <w:t>In the Matter of</w:t>
            </w:r>
          </w:p>
          <w:p w:rsidR="00AB71F2">
            <w:pPr>
              <w:tabs>
                <w:tab w:val="center" w:pos="4680"/>
              </w:tabs>
              <w:suppressAutoHyphens/>
              <w:rPr>
                <w:spacing w:val="-2"/>
                <w:szCs w:val="22"/>
              </w:rPr>
            </w:pPr>
          </w:p>
          <w:p w:rsidR="00AB71F2">
            <w:pPr>
              <w:tabs>
                <w:tab w:val="center" w:pos="4680"/>
              </w:tabs>
              <w:suppressAutoHyphens/>
              <w:rPr>
                <w:szCs w:val="22"/>
              </w:rPr>
            </w:pPr>
            <w:r>
              <w:rPr>
                <w:szCs w:val="22"/>
              </w:rPr>
              <w:t>Telplex</w:t>
            </w:r>
            <w:r>
              <w:rPr>
                <w:szCs w:val="22"/>
              </w:rPr>
              <w:t xml:space="preserve"> Communications</w:t>
            </w:r>
          </w:p>
          <w:p w:rsidR="00AB71F2">
            <w:pPr>
              <w:tabs>
                <w:tab w:val="center" w:pos="4680"/>
              </w:tabs>
              <w:suppressAutoHyphens/>
              <w:rPr>
                <w:szCs w:val="22"/>
              </w:rPr>
            </w:pPr>
          </w:p>
          <w:p w:rsidR="00AB71F2">
            <w:pPr>
              <w:pStyle w:val="TOAHeading"/>
              <w:tabs>
                <w:tab w:val="center" w:pos="4680"/>
              </w:tabs>
              <w:rPr>
                <w:szCs w:val="22"/>
              </w:rPr>
            </w:pPr>
            <w:r>
              <w:rPr>
                <w:szCs w:val="22"/>
              </w:rPr>
              <w:t xml:space="preserve">Complaint Regarding </w:t>
            </w:r>
          </w:p>
          <w:p w:rsidR="00AB71F2">
            <w:pPr>
              <w:pStyle w:val="TOAHeading"/>
              <w:tabs>
                <w:tab w:val="center" w:pos="4680"/>
              </w:tabs>
              <w:rPr>
                <w:szCs w:val="22"/>
              </w:rPr>
            </w:pPr>
            <w:r>
              <w:rPr>
                <w:szCs w:val="22"/>
              </w:rPr>
              <w:t>Unauthorized Change of</w:t>
            </w:r>
          </w:p>
          <w:p w:rsidR="00AB71F2">
            <w:pPr>
              <w:pStyle w:val="TOAHeading"/>
              <w:tabs>
                <w:tab w:val="center" w:pos="4680"/>
              </w:tabs>
              <w:rPr>
                <w:szCs w:val="22"/>
              </w:rPr>
            </w:pPr>
            <w:r>
              <w:rPr>
                <w:szCs w:val="22"/>
              </w:rPr>
              <w:t>Subscriber’s Telecommunications Carrier</w:t>
            </w:r>
          </w:p>
        </w:tc>
        <w:tc>
          <w:tcPr>
            <w:tcW w:w="630" w:type="dxa"/>
          </w:tcPr>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spacing w:val="-2"/>
                <w:szCs w:val="22"/>
              </w:rPr>
            </w:pPr>
          </w:p>
        </w:tc>
        <w:tc>
          <w:tcPr>
            <w:tcW w:w="4248" w:type="dxa"/>
          </w:tcPr>
          <w:p w:rsidR="00AB71F2">
            <w:pPr>
              <w:tabs>
                <w:tab w:val="center" w:pos="4680"/>
              </w:tabs>
              <w:suppressAutoHyphens/>
              <w:rPr>
                <w:spacing w:val="-2"/>
                <w:szCs w:val="22"/>
              </w:rPr>
            </w:pPr>
          </w:p>
          <w:p w:rsidR="00AB71F2">
            <w:pPr>
              <w:tabs>
                <w:tab w:val="center" w:pos="4680"/>
              </w:tabs>
              <w:suppressAutoHyphens/>
              <w:rPr>
                <w:spacing w:val="-2"/>
                <w:szCs w:val="22"/>
              </w:rPr>
            </w:pPr>
          </w:p>
          <w:p w:rsidR="00AB71F2" w:rsidRPr="00B83BA2" w:rsidP="00B83BA2">
            <w:pPr>
              <w:pStyle w:val="TOAHeading"/>
              <w:rPr>
                <w:szCs w:val="22"/>
              </w:rPr>
            </w:pPr>
            <w:r>
              <w:rPr>
                <w:szCs w:val="22"/>
              </w:rPr>
              <w:t xml:space="preserve">Complaint No. </w:t>
            </w:r>
            <w:r w:rsidR="00E015BA">
              <w:t>3457066</w:t>
            </w:r>
          </w:p>
          <w:p w:rsidR="00AB71F2">
            <w:pPr>
              <w:rPr>
                <w:szCs w:val="22"/>
              </w:rPr>
            </w:pPr>
            <w:r>
              <w:rPr>
                <w:szCs w:val="22"/>
              </w:rPr>
              <w:t xml:space="preserve">                  </w:t>
            </w:r>
          </w:p>
          <w:p w:rsidR="00AB71F2">
            <w:pPr>
              <w:pStyle w:val="TOAHeading"/>
              <w:rPr>
                <w:szCs w:val="22"/>
              </w:rPr>
            </w:pPr>
          </w:p>
        </w:tc>
      </w:tr>
      <w:tr w:rsidTr="00AB71F2">
        <w:tblPrEx>
          <w:tblW w:w="0" w:type="auto"/>
          <w:tblLayout w:type="fixed"/>
          <w:tblLook w:val="04A0"/>
        </w:tblPrEx>
        <w:trPr>
          <w:trHeight w:val="117"/>
        </w:trPr>
        <w:tc>
          <w:tcPr>
            <w:tcW w:w="4698" w:type="dxa"/>
          </w:tcPr>
          <w:p w:rsidR="00AB71F2">
            <w:pPr>
              <w:pStyle w:val="TOAHeading"/>
              <w:tabs>
                <w:tab w:val="center" w:pos="4680"/>
              </w:tabs>
              <w:rPr>
                <w:spacing w:val="-2"/>
                <w:szCs w:val="22"/>
              </w:rPr>
            </w:pPr>
          </w:p>
        </w:tc>
        <w:tc>
          <w:tcPr>
            <w:tcW w:w="630" w:type="dxa"/>
          </w:tcPr>
          <w:p w:rsidR="00AB71F2">
            <w:pPr>
              <w:tabs>
                <w:tab w:val="center" w:pos="4680"/>
              </w:tabs>
              <w:suppressAutoHyphens/>
              <w:rPr>
                <w:b/>
                <w:spacing w:val="-2"/>
                <w:szCs w:val="22"/>
              </w:rPr>
            </w:pPr>
          </w:p>
        </w:tc>
        <w:tc>
          <w:tcPr>
            <w:tcW w:w="4248" w:type="dxa"/>
          </w:tcPr>
          <w:p w:rsidR="00AB71F2">
            <w:pPr>
              <w:tabs>
                <w:tab w:val="center" w:pos="4680"/>
              </w:tabs>
              <w:suppressAutoHyphens/>
              <w:rPr>
                <w:spacing w:val="-2"/>
                <w:szCs w:val="22"/>
              </w:rPr>
            </w:pPr>
          </w:p>
        </w:tc>
      </w:tr>
    </w:tbl>
    <w:p w:rsidR="00AB71F2" w:rsidP="00AB71F2">
      <w:pPr>
        <w:tabs>
          <w:tab w:val="left" w:pos="-720"/>
        </w:tabs>
        <w:suppressAutoHyphens/>
        <w:spacing w:line="225" w:lineRule="auto"/>
        <w:rPr>
          <w:spacing w:val="-2"/>
          <w:szCs w:val="22"/>
        </w:rPr>
      </w:pPr>
    </w:p>
    <w:p w:rsidR="00AB71F2" w:rsidP="00AB71F2">
      <w:pPr>
        <w:jc w:val="center"/>
        <w:rPr>
          <w:b/>
          <w:szCs w:val="22"/>
        </w:rPr>
      </w:pPr>
      <w:r>
        <w:rPr>
          <w:b/>
          <w:szCs w:val="22"/>
        </w:rPr>
        <w:t>ORDER</w:t>
      </w:r>
    </w:p>
    <w:p w:rsidR="00AB71F2" w:rsidP="00AB71F2">
      <w:pPr>
        <w:tabs>
          <w:tab w:val="left" w:pos="-720"/>
        </w:tabs>
        <w:suppressAutoHyphens/>
        <w:spacing w:line="225" w:lineRule="auto"/>
        <w:ind w:left="720"/>
        <w:rPr>
          <w:spacing w:val="-2"/>
          <w:szCs w:val="22"/>
        </w:rPr>
      </w:pPr>
    </w:p>
    <w:p w:rsidR="00AB71F2" w:rsidP="00AB71F2">
      <w:pPr>
        <w:tabs>
          <w:tab w:val="left" w:pos="0"/>
          <w:tab w:val="left" w:pos="5760"/>
        </w:tabs>
        <w:suppressAutoHyphens/>
        <w:spacing w:line="225" w:lineRule="auto"/>
        <w:rPr>
          <w:spacing w:val="-2"/>
          <w:szCs w:val="22"/>
        </w:rPr>
      </w:pPr>
      <w:r>
        <w:rPr>
          <w:b/>
          <w:spacing w:val="-2"/>
          <w:szCs w:val="22"/>
        </w:rPr>
        <w:t xml:space="preserve">Adopted: </w:t>
      </w:r>
      <w:r w:rsidR="005638D9">
        <w:rPr>
          <w:b/>
          <w:spacing w:val="-2"/>
          <w:szCs w:val="22"/>
        </w:rPr>
        <w:t>October 22</w:t>
      </w:r>
      <w:r>
        <w:rPr>
          <w:b/>
          <w:spacing w:val="-2"/>
          <w:szCs w:val="22"/>
        </w:rPr>
        <w:t>, 2019</w:t>
      </w:r>
      <w:r>
        <w:rPr>
          <w:b/>
          <w:spacing w:val="-2"/>
          <w:szCs w:val="22"/>
        </w:rPr>
        <w:tab/>
      </w:r>
      <w:r>
        <w:rPr>
          <w:b/>
          <w:spacing w:val="-2"/>
          <w:szCs w:val="22"/>
        </w:rPr>
        <w:tab/>
        <w:t xml:space="preserve">Released: </w:t>
      </w:r>
      <w:r w:rsidR="005638D9">
        <w:rPr>
          <w:b/>
          <w:spacing w:val="-2"/>
          <w:szCs w:val="22"/>
        </w:rPr>
        <w:t>October 22</w:t>
      </w:r>
      <w:bookmarkStart w:id="0" w:name="_GoBack"/>
      <w:bookmarkEnd w:id="0"/>
      <w:r>
        <w:rPr>
          <w:b/>
          <w:spacing w:val="-2"/>
          <w:szCs w:val="22"/>
        </w:rPr>
        <w:t>, 2019</w:t>
      </w:r>
    </w:p>
    <w:p w:rsidR="00AB71F2" w:rsidP="00AB71F2">
      <w:pPr>
        <w:rPr>
          <w:szCs w:val="22"/>
        </w:rPr>
      </w:pPr>
    </w:p>
    <w:p w:rsidR="00AB71F2" w:rsidP="00B73B55">
      <w:pPr>
        <w:spacing w:after="120"/>
        <w:rPr>
          <w:szCs w:val="22"/>
        </w:rPr>
      </w:pPr>
      <w:r>
        <w:rPr>
          <w:szCs w:val="22"/>
        </w:rPr>
        <w:t>By the Deputy Chief, Consumer Policy Division, Consumer and Governmental Affairs Bureau:</w:t>
      </w:r>
    </w:p>
    <w:p w:rsidR="00AB71F2" w:rsidP="00B73B55">
      <w:pPr>
        <w:numPr>
          <w:ilvl w:val="0"/>
          <w:numId w:val="7"/>
        </w:numPr>
        <w:tabs>
          <w:tab w:val="num" w:pos="0"/>
        </w:tabs>
        <w:snapToGrid w:val="0"/>
        <w:spacing w:after="120"/>
        <w:ind w:left="0" w:firstLine="720"/>
        <w:rPr>
          <w:szCs w:val="22"/>
        </w:rPr>
      </w:pPr>
      <w:r>
        <w:rPr>
          <w:szCs w:val="22"/>
        </w:rPr>
        <w:t xml:space="preserve">In this Order, we consider </w:t>
      </w:r>
      <w:r w:rsidR="006533AA">
        <w:rPr>
          <w:szCs w:val="22"/>
        </w:rPr>
        <w:t>a</w:t>
      </w:r>
      <w:r w:rsidR="00B83BA2">
        <w:rPr>
          <w:szCs w:val="22"/>
        </w:rPr>
        <w:t xml:space="preserve"> </w:t>
      </w:r>
      <w:r>
        <w:rPr>
          <w:szCs w:val="22"/>
        </w:rPr>
        <w:t>complain</w:t>
      </w:r>
      <w:r w:rsidR="006533AA">
        <w:rPr>
          <w:szCs w:val="22"/>
        </w:rPr>
        <w:t xml:space="preserve">t </w:t>
      </w:r>
      <w:r>
        <w:rPr>
          <w:szCs w:val="22"/>
        </w:rPr>
        <w:t xml:space="preserve">alleging that </w:t>
      </w:r>
      <w:r>
        <w:rPr>
          <w:szCs w:val="22"/>
        </w:rPr>
        <w:t>Telplex</w:t>
      </w:r>
      <w:r>
        <w:rPr>
          <w:szCs w:val="22"/>
        </w:rPr>
        <w:t xml:space="preserve"> Communications (</w:t>
      </w:r>
      <w:r>
        <w:rPr>
          <w:szCs w:val="22"/>
        </w:rPr>
        <w:t>Tel</w:t>
      </w:r>
      <w:r w:rsidR="009E714E">
        <w:rPr>
          <w:szCs w:val="22"/>
        </w:rPr>
        <w:t>p</w:t>
      </w:r>
      <w:r>
        <w:rPr>
          <w:szCs w:val="22"/>
        </w:rPr>
        <w:t>lex</w:t>
      </w:r>
      <w:r>
        <w:rPr>
          <w:szCs w:val="22"/>
        </w:rPr>
        <w:t>) changed Complainant</w:t>
      </w:r>
      <w:r w:rsidR="00B83BA2">
        <w:rPr>
          <w:szCs w:val="22"/>
        </w:rPr>
        <w:t>’s</w:t>
      </w:r>
      <w:r>
        <w:rPr>
          <w:szCs w:val="22"/>
        </w:rPr>
        <w:t xml:space="preserve"> telecommunications service provider without obtaining authorization and verification from Complainant as required by the Commission’s rules.</w:t>
      </w:r>
      <w:r>
        <w:rPr>
          <w:rStyle w:val="FootnoteReference"/>
          <w:szCs w:val="22"/>
        </w:rPr>
        <w:footnoteReference w:id="3"/>
      </w:r>
      <w:r>
        <w:rPr>
          <w:szCs w:val="22"/>
        </w:rPr>
        <w:t xml:space="preserve">  We </w:t>
      </w:r>
      <w:r w:rsidR="00B83BA2">
        <w:rPr>
          <w:szCs w:val="22"/>
        </w:rPr>
        <w:t xml:space="preserve">find that </w:t>
      </w:r>
      <w:r w:rsidR="00B83BA2">
        <w:rPr>
          <w:szCs w:val="22"/>
        </w:rPr>
        <w:t>Telplex</w:t>
      </w:r>
      <w:r w:rsidRPr="00237F60" w:rsidR="00B83BA2">
        <w:rPr>
          <w:szCs w:val="22"/>
        </w:rPr>
        <w:t>’s</w:t>
      </w:r>
      <w:r w:rsidRPr="00237F60" w:rsidR="00B83BA2">
        <w:rPr>
          <w:szCs w:val="22"/>
        </w:rPr>
        <w:t xml:space="preserve"> actions violated the Commission’s slamming rules, and we therefore grant Complainant</w:t>
      </w:r>
      <w:r w:rsidR="00B83BA2">
        <w:rPr>
          <w:szCs w:val="22"/>
        </w:rPr>
        <w:t>’s</w:t>
      </w:r>
      <w:r w:rsidRPr="00237F60" w:rsidR="00B83BA2">
        <w:rPr>
          <w:szCs w:val="22"/>
        </w:rPr>
        <w:t xml:space="preserve"> complaint.</w:t>
      </w:r>
    </w:p>
    <w:p w:rsidR="00B83BA2" w:rsidP="00B73B55">
      <w:pPr>
        <w:numPr>
          <w:ilvl w:val="0"/>
          <w:numId w:val="7"/>
        </w:numPr>
        <w:snapToGrid w:val="0"/>
        <w:spacing w:after="120"/>
        <w:ind w:left="0" w:firstLine="720"/>
        <w:rPr>
          <w:szCs w:val="22"/>
        </w:rPr>
      </w:pPr>
      <w:r>
        <w:rPr>
          <w:szCs w:val="22"/>
        </w:rP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szCs w:val="22"/>
        </w:rPr>
        <w:footnoteReference w:id="4"/>
      </w:r>
      <w:r>
        <w:rPr>
          <w:szCs w:val="22"/>
        </w:rPr>
        <w:t xml:space="preserve">  The Commission’s implementing rules require, among other things, that a carrier receive individual subscriber consent before a carrier change may occur.</w:t>
      </w:r>
      <w:r>
        <w:rPr>
          <w:rStyle w:val="FootnoteReference"/>
          <w:szCs w:val="22"/>
        </w:rPr>
        <w:footnoteReference w:id="5"/>
      </w:r>
      <w:r>
        <w:rPr>
          <w:szCs w:val="22"/>
        </w:rPr>
        <w:t xml:space="preserve">  Specifically, a carrier must: (1) obtain the subscriber's written or electronically signed authorization in a format that </w:t>
      </w:r>
      <w:r>
        <w:rPr>
          <w:szCs w:val="22"/>
        </w:rPr>
        <w:t>satisfies our rules</w:t>
      </w:r>
      <w:r>
        <w:rPr>
          <w:szCs w:val="22"/>
        </w:rPr>
        <w:t>; (2) obtain confirmation from the subscriber via a toll-free number provided exclusively for the purpose of confirming orders electronically; or (3) utilize an appropriately qualified independent third party to verify the order.</w:t>
      </w:r>
      <w:r>
        <w:rPr>
          <w:rStyle w:val="FootnoteReference"/>
          <w:szCs w:val="22"/>
        </w:rPr>
        <w:footnoteReference w:id="6"/>
      </w:r>
      <w:r>
        <w:rPr>
          <w:szCs w:val="22"/>
        </w:rPr>
        <w:t xml:space="preserve">  The Commission has </w:t>
      </w:r>
      <w:r w:rsidR="00311848">
        <w:rPr>
          <w:szCs w:val="22"/>
        </w:rPr>
        <w:t xml:space="preserve">also </w:t>
      </w:r>
      <w:r>
        <w:rPr>
          <w:szCs w:val="22"/>
        </w:rPr>
        <w:t>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7"/>
      </w:r>
      <w:r>
        <w:rPr>
          <w:szCs w:val="22"/>
        </w:rPr>
        <w:t xml:space="preserve"> </w:t>
      </w:r>
    </w:p>
    <w:p w:rsidR="001D73F3" w:rsidP="00847D23">
      <w:pPr>
        <w:numPr>
          <w:ilvl w:val="0"/>
          <w:numId w:val="7"/>
        </w:numPr>
        <w:snapToGrid w:val="0"/>
        <w:spacing w:after="120"/>
        <w:ind w:left="0" w:firstLine="720"/>
        <w:rPr>
          <w:szCs w:val="22"/>
        </w:rPr>
      </w:pPr>
      <w:r>
        <w:rPr>
          <w:szCs w:val="22"/>
        </w:rPr>
        <w:t>In June 2018, the Commission codified a rule to prohibit misrepresentations on sales calls to further reduce the incidence of slamming.</w:t>
      </w:r>
      <w:r>
        <w:rPr>
          <w:rStyle w:val="FootnoteReference"/>
          <w:szCs w:val="22"/>
        </w:rPr>
        <w:footnoteReference w:id="8"/>
      </w:r>
      <w:r>
        <w:rPr>
          <w:rStyle w:val="FootnoteReference"/>
          <w:szCs w:val="22"/>
        </w:rPr>
        <w:t xml:space="preserve"> </w:t>
      </w:r>
      <w:r>
        <w:rPr>
          <w:szCs w:val="22"/>
        </w:rPr>
        <w:t xml:space="preserve"> Under the revised rule, upon a finding of material misrepresentation during the sales call, the consumer’s authorization to change carriers will be deemed invalid even if the carrier has some evidence of consumer authorization of a </w:t>
      </w:r>
      <w:r w:rsidR="00D33E46">
        <w:rPr>
          <w:szCs w:val="22"/>
        </w:rPr>
        <w:t xml:space="preserve">carrier </w:t>
      </w:r>
      <w:r>
        <w:rPr>
          <w:szCs w:val="22"/>
        </w:rPr>
        <w:t xml:space="preserve">switch, </w:t>
      </w:r>
      <w:r w:rsidRPr="00305DCB">
        <w:rPr>
          <w:szCs w:val="22"/>
        </w:rPr>
        <w:t>e.g.</w:t>
      </w:r>
      <w:r>
        <w:rPr>
          <w:szCs w:val="22"/>
        </w:rPr>
        <w:t xml:space="preserve">, a </w:t>
      </w:r>
      <w:r w:rsidR="008F5FAB">
        <w:rPr>
          <w:szCs w:val="22"/>
        </w:rPr>
        <w:t>third-party v</w:t>
      </w:r>
      <w:r w:rsidR="00D26A9E">
        <w:rPr>
          <w:szCs w:val="22"/>
        </w:rPr>
        <w:t>e</w:t>
      </w:r>
      <w:r w:rsidR="008F5FAB">
        <w:rPr>
          <w:szCs w:val="22"/>
        </w:rPr>
        <w:t>ri</w:t>
      </w:r>
      <w:r w:rsidR="00D26A9E">
        <w:rPr>
          <w:szCs w:val="22"/>
        </w:rPr>
        <w:t>fi</w:t>
      </w:r>
      <w:r w:rsidR="008F5FAB">
        <w:rPr>
          <w:szCs w:val="22"/>
        </w:rPr>
        <w:t>cation (TPV) recording</w:t>
      </w:r>
      <w:r>
        <w:rPr>
          <w:szCs w:val="22"/>
        </w:rPr>
        <w:t>.  Sales misrepresentations may not be cured by a facially valid TPV.</w:t>
      </w:r>
      <w:r>
        <w:rPr>
          <w:rStyle w:val="FootnoteReference"/>
          <w:szCs w:val="22"/>
        </w:rPr>
        <w:footnoteReference w:id="9"/>
      </w:r>
      <w:r w:rsidRPr="00B83BA2" w:rsidR="00AB71F2">
        <w:rPr>
          <w:szCs w:val="22"/>
        </w:rPr>
        <w:t xml:space="preserve"> </w:t>
      </w:r>
      <w:r w:rsidR="002F09DF">
        <w:rPr>
          <w:szCs w:val="22"/>
        </w:rPr>
        <w:t xml:space="preserve"> </w:t>
      </w:r>
      <w:r w:rsidR="00856C22">
        <w:rPr>
          <w:szCs w:val="22"/>
        </w:rPr>
        <w:t>The rule provides</w:t>
      </w:r>
      <w:r w:rsidR="00CF2AA9">
        <w:rPr>
          <w:szCs w:val="22"/>
        </w:rPr>
        <w:t xml:space="preserve"> that a</w:t>
      </w:r>
      <w:r w:rsidR="00856C22">
        <w:rPr>
          <w:szCs w:val="22"/>
        </w:rPr>
        <w:t xml:space="preserve"> consumer’s credible</w:t>
      </w:r>
      <w:r w:rsidR="00CF2AA9">
        <w:rPr>
          <w:szCs w:val="22"/>
        </w:rPr>
        <w:t xml:space="preserve"> allegation of misrepresentation shifts the burden of proof to the carrier to provide evidence to rebut the consumer’s claim regarding misrepresentation.  </w:t>
      </w:r>
      <w:r w:rsidR="00856C22">
        <w:rPr>
          <w:szCs w:val="22"/>
        </w:rPr>
        <w:t>The Commission</w:t>
      </w:r>
      <w:r w:rsidR="00CF2AA9">
        <w:rPr>
          <w:szCs w:val="22"/>
        </w:rPr>
        <w:t xml:space="preserve"> </w:t>
      </w:r>
      <w:r w:rsidR="00856C22">
        <w:rPr>
          <w:szCs w:val="22"/>
        </w:rPr>
        <w:t>made clear</w:t>
      </w:r>
      <w:r w:rsidR="00CF2AA9">
        <w:rPr>
          <w:szCs w:val="22"/>
        </w:rPr>
        <w:t xml:space="preserve"> that an accurate and complete recording of the sales call may be the carrier’s best persuasive evidence to rebut the consumer’s claim that a misrepresentation was made on the sales call.</w:t>
      </w:r>
      <w:r>
        <w:rPr>
          <w:rStyle w:val="FootnoteReference"/>
          <w:szCs w:val="22"/>
        </w:rPr>
        <w:footnoteReference w:id="10"/>
      </w:r>
    </w:p>
    <w:p w:rsidR="00BA7C1E" w:rsidRPr="009D72F3" w:rsidP="009D72F3">
      <w:pPr>
        <w:numPr>
          <w:ilvl w:val="0"/>
          <w:numId w:val="7"/>
        </w:numPr>
        <w:snapToGrid w:val="0"/>
        <w:spacing w:after="120"/>
        <w:ind w:left="0" w:firstLine="720"/>
        <w:rPr>
          <w:szCs w:val="22"/>
        </w:rPr>
      </w:pPr>
      <w:r w:rsidRPr="002A45AF">
        <w:rPr>
          <w:szCs w:val="22"/>
        </w:rPr>
        <w:t>We received Complainant</w:t>
      </w:r>
      <w:r w:rsidRPr="002A45AF" w:rsidR="00B83BA2">
        <w:rPr>
          <w:szCs w:val="22"/>
        </w:rPr>
        <w:t>’s</w:t>
      </w:r>
      <w:r w:rsidRPr="002A45AF">
        <w:rPr>
          <w:szCs w:val="22"/>
        </w:rPr>
        <w:t xml:space="preserve"> complaint alleging that Complainant</w:t>
      </w:r>
      <w:r w:rsidRPr="002A45AF" w:rsidR="00B83BA2">
        <w:rPr>
          <w:szCs w:val="22"/>
        </w:rPr>
        <w:t>’s</w:t>
      </w:r>
      <w:r w:rsidRPr="002A45AF">
        <w:rPr>
          <w:szCs w:val="22"/>
        </w:rPr>
        <w:t xml:space="preserve"> telecommunications service provider had been changed </w:t>
      </w:r>
      <w:r w:rsidRPr="002A45AF" w:rsidR="009F6F0E">
        <w:rPr>
          <w:szCs w:val="22"/>
        </w:rPr>
        <w:t xml:space="preserve">to </w:t>
      </w:r>
      <w:r w:rsidRPr="002A45AF" w:rsidR="009F6F0E">
        <w:rPr>
          <w:szCs w:val="22"/>
        </w:rPr>
        <w:t>Telplex</w:t>
      </w:r>
      <w:r w:rsidRPr="002A45AF" w:rsidR="009F6F0E">
        <w:rPr>
          <w:szCs w:val="22"/>
        </w:rPr>
        <w:t xml:space="preserve"> </w:t>
      </w:r>
      <w:r w:rsidRPr="002A45AF">
        <w:rPr>
          <w:szCs w:val="22"/>
        </w:rPr>
        <w:t>without Complainant</w:t>
      </w:r>
      <w:r w:rsidRPr="002A45AF" w:rsidR="00B83BA2">
        <w:rPr>
          <w:szCs w:val="22"/>
        </w:rPr>
        <w:t>’s</w:t>
      </w:r>
      <w:r w:rsidRPr="002A45AF">
        <w:rPr>
          <w:szCs w:val="22"/>
        </w:rPr>
        <w:t xml:space="preserve"> authorization</w:t>
      </w:r>
      <w:r w:rsidRPr="002A45AF" w:rsidR="00311848">
        <w:rPr>
          <w:szCs w:val="22"/>
        </w:rPr>
        <w:t>.</w:t>
      </w:r>
      <w:r>
        <w:rPr>
          <w:rStyle w:val="FootnoteReference"/>
          <w:szCs w:val="22"/>
        </w:rPr>
        <w:footnoteReference w:id="11"/>
      </w:r>
      <w:r w:rsidR="001D73F3">
        <w:rPr>
          <w:szCs w:val="22"/>
        </w:rPr>
        <w:t xml:space="preserve"> </w:t>
      </w:r>
      <w:r w:rsidRPr="002A45AF" w:rsidR="00311848">
        <w:rPr>
          <w:szCs w:val="22"/>
        </w:rPr>
        <w:t xml:space="preserve"> </w:t>
      </w:r>
      <w:r w:rsidRPr="002A45AF" w:rsidR="00B83BA2">
        <w:rPr>
          <w:szCs w:val="22"/>
        </w:rPr>
        <w:t xml:space="preserve">In </w:t>
      </w:r>
      <w:r w:rsidRPr="002A45AF" w:rsidR="00305DCB">
        <w:rPr>
          <w:szCs w:val="22"/>
        </w:rPr>
        <w:t>the complaint</w:t>
      </w:r>
      <w:r w:rsidRPr="002A45AF" w:rsidR="00B83BA2">
        <w:rPr>
          <w:szCs w:val="22"/>
        </w:rPr>
        <w:t xml:space="preserve">, Complainant </w:t>
      </w:r>
      <w:r w:rsidRPr="002A45AF" w:rsidR="00305DCB">
        <w:rPr>
          <w:szCs w:val="22"/>
        </w:rPr>
        <w:t xml:space="preserve">also </w:t>
      </w:r>
      <w:r w:rsidRPr="002A45AF" w:rsidR="00B83BA2">
        <w:rPr>
          <w:szCs w:val="22"/>
        </w:rPr>
        <w:t>allege</w:t>
      </w:r>
      <w:r w:rsidR="001C0B77">
        <w:rPr>
          <w:szCs w:val="22"/>
        </w:rPr>
        <w:t>s</w:t>
      </w:r>
      <w:r w:rsidRPr="002A45AF" w:rsidR="00B83BA2">
        <w:rPr>
          <w:szCs w:val="22"/>
        </w:rPr>
        <w:t xml:space="preserve"> that</w:t>
      </w:r>
      <w:r w:rsidRPr="002A45AF">
        <w:rPr>
          <w:szCs w:val="22"/>
        </w:rPr>
        <w:t xml:space="preserve"> </w:t>
      </w:r>
      <w:r w:rsidRPr="002A45AF">
        <w:rPr>
          <w:szCs w:val="22"/>
        </w:rPr>
        <w:t>Telplex’s</w:t>
      </w:r>
      <w:r w:rsidRPr="002A45AF">
        <w:rPr>
          <w:szCs w:val="22"/>
        </w:rPr>
        <w:t xml:space="preserve"> telemarketer contacted</w:t>
      </w:r>
      <w:r w:rsidRPr="002A45AF" w:rsidR="00B83BA2">
        <w:rPr>
          <w:szCs w:val="22"/>
        </w:rPr>
        <w:t xml:space="preserve"> </w:t>
      </w:r>
      <w:r w:rsidRPr="002A45AF">
        <w:rPr>
          <w:szCs w:val="22"/>
        </w:rPr>
        <w:t xml:space="preserve">his office, </w:t>
      </w:r>
      <w:r w:rsidR="00A447E0">
        <w:rPr>
          <w:szCs w:val="22"/>
        </w:rPr>
        <w:t>“</w:t>
      </w:r>
      <w:r w:rsidRPr="002A45AF">
        <w:rPr>
          <w:szCs w:val="22"/>
        </w:rPr>
        <w:t>representing h</w:t>
      </w:r>
      <w:r w:rsidR="00342416">
        <w:rPr>
          <w:szCs w:val="22"/>
        </w:rPr>
        <w:t>imself</w:t>
      </w:r>
      <w:r w:rsidRPr="002A45AF">
        <w:rPr>
          <w:szCs w:val="22"/>
        </w:rPr>
        <w:t xml:space="preserve"> </w:t>
      </w:r>
      <w:r w:rsidR="00A447E0">
        <w:rPr>
          <w:szCs w:val="22"/>
        </w:rPr>
        <w:t>from AT&amp;T</w:t>
      </w:r>
      <w:r w:rsidR="00747C81">
        <w:rPr>
          <w:szCs w:val="22"/>
        </w:rPr>
        <w:t xml:space="preserve">.  </w:t>
      </w:r>
      <w:r w:rsidR="00912AF3">
        <w:rPr>
          <w:szCs w:val="22"/>
        </w:rPr>
        <w:t>He</w:t>
      </w:r>
      <w:r w:rsidR="00A447E0">
        <w:rPr>
          <w:szCs w:val="22"/>
        </w:rPr>
        <w:t xml:space="preserve"> said I </w:t>
      </w:r>
      <w:r w:rsidRPr="00A447E0" w:rsidR="00A447E0">
        <w:rPr>
          <w:szCs w:val="22"/>
          <w:u w:val="single"/>
        </w:rPr>
        <w:t>had</w:t>
      </w:r>
      <w:r w:rsidRPr="002A45AF">
        <w:rPr>
          <w:szCs w:val="22"/>
        </w:rPr>
        <w:t xml:space="preserve"> </w:t>
      </w:r>
      <w:r w:rsidR="00A447E0">
        <w:rPr>
          <w:szCs w:val="22"/>
        </w:rPr>
        <w:t>to switch to a new carrier on their order.</w:t>
      </w:r>
      <w:r w:rsidR="001C0B77">
        <w:rPr>
          <w:szCs w:val="22"/>
        </w:rPr>
        <w:t>”</w:t>
      </w:r>
      <w:r>
        <w:rPr>
          <w:rStyle w:val="FootnoteReference"/>
          <w:szCs w:val="22"/>
        </w:rPr>
        <w:footnoteReference w:id="12"/>
      </w:r>
      <w:r w:rsidR="00A447E0">
        <w:rPr>
          <w:szCs w:val="22"/>
        </w:rPr>
        <w:t xml:space="preserve">  </w:t>
      </w:r>
      <w:r w:rsidR="001C0B77">
        <w:rPr>
          <w:szCs w:val="22"/>
        </w:rPr>
        <w:t>Complainant claims that the telemarketer “</w:t>
      </w:r>
      <w:r w:rsidR="00A447E0">
        <w:rPr>
          <w:szCs w:val="22"/>
        </w:rPr>
        <w:t>then explained that they woul</w:t>
      </w:r>
      <w:r w:rsidR="009D72F3">
        <w:rPr>
          <w:szCs w:val="22"/>
        </w:rPr>
        <w:t>d</w:t>
      </w:r>
      <w:r w:rsidR="00A447E0">
        <w:rPr>
          <w:szCs w:val="22"/>
        </w:rPr>
        <w:t xml:space="preserve"> be less expensive and gave me charge information </w:t>
      </w:r>
      <w:r w:rsidR="009D72F3">
        <w:rPr>
          <w:szCs w:val="22"/>
        </w:rPr>
        <w:t>. . .</w:t>
      </w:r>
      <w:r w:rsidR="00A447E0">
        <w:rPr>
          <w:szCs w:val="22"/>
        </w:rPr>
        <w:t xml:space="preserve"> a few weeks later they replaced my AT&amp;T service.”</w:t>
      </w:r>
      <w:r>
        <w:rPr>
          <w:rStyle w:val="FootnoteReference"/>
          <w:szCs w:val="22"/>
        </w:rPr>
        <w:footnoteReference w:id="13"/>
      </w:r>
      <w:r w:rsidR="00A447E0">
        <w:rPr>
          <w:szCs w:val="22"/>
        </w:rPr>
        <w:t xml:space="preserve">  </w:t>
      </w:r>
      <w:r w:rsidRPr="002A45AF">
        <w:rPr>
          <w:szCs w:val="22"/>
        </w:rPr>
        <w:t xml:space="preserve">Complainant </w:t>
      </w:r>
      <w:r w:rsidR="001C0B77">
        <w:rPr>
          <w:szCs w:val="22"/>
        </w:rPr>
        <w:t xml:space="preserve">further </w:t>
      </w:r>
      <w:r w:rsidRPr="002A45AF">
        <w:rPr>
          <w:szCs w:val="22"/>
        </w:rPr>
        <w:t>state</w:t>
      </w:r>
      <w:r w:rsidR="001C0B77">
        <w:rPr>
          <w:szCs w:val="22"/>
        </w:rPr>
        <w:t>s</w:t>
      </w:r>
      <w:r w:rsidR="00B76BB9">
        <w:rPr>
          <w:szCs w:val="22"/>
        </w:rPr>
        <w:t>,</w:t>
      </w:r>
      <w:r w:rsidRPr="00A447E0">
        <w:rPr>
          <w:szCs w:val="22"/>
        </w:rPr>
        <w:t xml:space="preserve"> “</w:t>
      </w:r>
      <w:r w:rsidR="009D72F3">
        <w:rPr>
          <w:szCs w:val="22"/>
        </w:rPr>
        <w:t>I am sure this [telemarketer] was paid a commission to misrepresent AT&amp;T and switch my servi</w:t>
      </w:r>
      <w:r w:rsidR="001C0B77">
        <w:rPr>
          <w:szCs w:val="22"/>
        </w:rPr>
        <w:t>c</w:t>
      </w:r>
      <w:r w:rsidR="009D72F3">
        <w:rPr>
          <w:szCs w:val="22"/>
        </w:rPr>
        <w:t>e by lying to me.”</w:t>
      </w:r>
      <w:r>
        <w:rPr>
          <w:rStyle w:val="FootnoteReference"/>
          <w:szCs w:val="22"/>
        </w:rPr>
        <w:footnoteReference w:id="14"/>
      </w:r>
      <w:r w:rsidR="009D72F3">
        <w:rPr>
          <w:szCs w:val="22"/>
        </w:rPr>
        <w:t xml:space="preserve"> </w:t>
      </w:r>
      <w:r w:rsidRPr="00A447E0">
        <w:rPr>
          <w:szCs w:val="22"/>
          <w:shd w:val="clear" w:color="auto" w:fill="FFFFFF"/>
        </w:rPr>
        <w:t xml:space="preserve"> </w:t>
      </w:r>
      <w:r w:rsidRPr="009D72F3" w:rsidR="004F7A19">
        <w:rPr>
          <w:szCs w:val="22"/>
        </w:rPr>
        <w:t xml:space="preserve">With the complaint, Complainant provided copies of the invoices his office received from </w:t>
      </w:r>
      <w:r w:rsidRPr="009D72F3" w:rsidR="004F7A19">
        <w:rPr>
          <w:szCs w:val="22"/>
        </w:rPr>
        <w:t>Telplex</w:t>
      </w:r>
      <w:r w:rsidR="009D72F3">
        <w:rPr>
          <w:szCs w:val="22"/>
        </w:rPr>
        <w:t xml:space="preserve">, a “one time settlement offer” from </w:t>
      </w:r>
      <w:r w:rsidR="009D72F3">
        <w:rPr>
          <w:szCs w:val="22"/>
        </w:rPr>
        <w:t>Telplex</w:t>
      </w:r>
      <w:r w:rsidR="009D72F3">
        <w:rPr>
          <w:szCs w:val="22"/>
        </w:rPr>
        <w:t xml:space="preserve">, and copies of checks Complainant paid to </w:t>
      </w:r>
      <w:r w:rsidR="009D72F3">
        <w:rPr>
          <w:szCs w:val="22"/>
        </w:rPr>
        <w:t>Telplex</w:t>
      </w:r>
      <w:r w:rsidR="009D72F3">
        <w:rPr>
          <w:szCs w:val="22"/>
        </w:rPr>
        <w:t xml:space="preserve">. </w:t>
      </w:r>
      <w:r w:rsidRPr="009D72F3" w:rsidR="004F7A19">
        <w:rPr>
          <w:szCs w:val="22"/>
        </w:rPr>
        <w:t xml:space="preserve"> </w:t>
      </w:r>
      <w:r w:rsidRPr="009D72F3" w:rsidR="001D73F3">
        <w:rPr>
          <w:szCs w:val="22"/>
        </w:rPr>
        <w:t xml:space="preserve">  </w:t>
      </w:r>
    </w:p>
    <w:p w:rsidR="000460DE" w:rsidRPr="000460DE" w:rsidP="000460DE">
      <w:pPr>
        <w:numPr>
          <w:ilvl w:val="0"/>
          <w:numId w:val="7"/>
        </w:numPr>
        <w:snapToGrid w:val="0"/>
        <w:spacing w:after="120"/>
        <w:ind w:left="0" w:firstLine="720"/>
        <w:rPr>
          <w:szCs w:val="22"/>
        </w:rPr>
      </w:pPr>
      <w:r w:rsidRPr="00A447E0">
        <w:rPr>
          <w:szCs w:val="22"/>
        </w:rPr>
        <w:t xml:space="preserve">Pursuant to our rules, we notified </w:t>
      </w:r>
      <w:r w:rsidRPr="00A447E0">
        <w:rPr>
          <w:szCs w:val="22"/>
        </w:rPr>
        <w:t>Telplex</w:t>
      </w:r>
      <w:r>
        <w:rPr>
          <w:szCs w:val="22"/>
        </w:rPr>
        <w:t xml:space="preserve"> of the complaint</w:t>
      </w:r>
      <w:r w:rsidR="005D1258">
        <w:rPr>
          <w:szCs w:val="22"/>
        </w:rPr>
        <w:t>.</w:t>
      </w:r>
      <w:r>
        <w:rPr>
          <w:rStyle w:val="FootnoteReference"/>
          <w:szCs w:val="22"/>
        </w:rPr>
        <w:footnoteReference w:id="15"/>
      </w:r>
      <w:r w:rsidR="002B63B8">
        <w:rPr>
          <w:szCs w:val="22"/>
        </w:rPr>
        <w:t xml:space="preserve"> </w:t>
      </w:r>
      <w:r>
        <w:rPr>
          <w:szCs w:val="22"/>
        </w:rPr>
        <w:t xml:space="preserve"> </w:t>
      </w:r>
      <w:r>
        <w:rPr>
          <w:szCs w:val="22"/>
        </w:rPr>
        <w:t>Telplex</w:t>
      </w:r>
      <w:r>
        <w:rPr>
          <w:szCs w:val="22"/>
        </w:rPr>
        <w:t xml:space="preserve"> responded</w:t>
      </w:r>
      <w:r w:rsidR="005D1258">
        <w:rPr>
          <w:szCs w:val="22"/>
        </w:rPr>
        <w:t xml:space="preserve"> to the complaint, </w:t>
      </w:r>
      <w:r>
        <w:rPr>
          <w:szCs w:val="22"/>
        </w:rPr>
        <w:t>stat</w:t>
      </w:r>
      <w:r w:rsidR="005D1258">
        <w:rPr>
          <w:szCs w:val="22"/>
        </w:rPr>
        <w:t>ing</w:t>
      </w:r>
      <w:r>
        <w:rPr>
          <w:szCs w:val="22"/>
        </w:rPr>
        <w:t xml:space="preserve"> that authorization was received and confirmed through </w:t>
      </w:r>
      <w:r w:rsidR="00305DCB">
        <w:rPr>
          <w:szCs w:val="22"/>
        </w:rPr>
        <w:t xml:space="preserve">a </w:t>
      </w:r>
      <w:r>
        <w:rPr>
          <w:szCs w:val="22"/>
        </w:rPr>
        <w:t>TPV.</w:t>
      </w:r>
      <w:r>
        <w:rPr>
          <w:rStyle w:val="FootnoteReference"/>
          <w:szCs w:val="22"/>
        </w:rPr>
        <w:footnoteReference w:id="16"/>
      </w:r>
      <w:r w:rsidR="002B63B8">
        <w:rPr>
          <w:szCs w:val="22"/>
        </w:rPr>
        <w:t xml:space="preserve"> </w:t>
      </w:r>
      <w:r>
        <w:rPr>
          <w:szCs w:val="22"/>
        </w:rPr>
        <w:t xml:space="preserve"> </w:t>
      </w:r>
      <w:r w:rsidR="00C74A8A">
        <w:rPr>
          <w:szCs w:val="22"/>
        </w:rPr>
        <w:t>Telplex</w:t>
      </w:r>
      <w:r w:rsidR="00CF2AA9">
        <w:rPr>
          <w:szCs w:val="22"/>
        </w:rPr>
        <w:t xml:space="preserve"> also state</w:t>
      </w:r>
      <w:r w:rsidR="0067532A">
        <w:rPr>
          <w:szCs w:val="22"/>
        </w:rPr>
        <w:t>s</w:t>
      </w:r>
      <w:r w:rsidR="00CF2AA9">
        <w:rPr>
          <w:szCs w:val="22"/>
        </w:rPr>
        <w:t xml:space="preserve"> that </w:t>
      </w:r>
      <w:r w:rsidR="009D72F3">
        <w:rPr>
          <w:szCs w:val="22"/>
        </w:rPr>
        <w:t xml:space="preserve">Complainant’s allegations “are directly contradicted by the TPV recording and transcript unambiguously establishing that he clearly understood at the time of the call in question that the representative called him on behalf of </w:t>
      </w:r>
      <w:r w:rsidR="009D72F3">
        <w:rPr>
          <w:szCs w:val="22"/>
        </w:rPr>
        <w:t>Telplex</w:t>
      </w:r>
      <w:r w:rsidR="009D72F3">
        <w:rPr>
          <w:szCs w:val="22"/>
        </w:rPr>
        <w:t xml:space="preserve">, a separate carrier competing with AT&amp;T, and that he </w:t>
      </w:r>
      <w:r w:rsidR="00C74A8A">
        <w:rPr>
          <w:szCs w:val="22"/>
        </w:rPr>
        <w:t>w</w:t>
      </w:r>
      <w:r w:rsidR="009D72F3">
        <w:rPr>
          <w:szCs w:val="22"/>
        </w:rPr>
        <w:t>as authorizing a car</w:t>
      </w:r>
      <w:r w:rsidR="006B1727">
        <w:rPr>
          <w:szCs w:val="22"/>
        </w:rPr>
        <w:t>r</w:t>
      </w:r>
      <w:r w:rsidR="009D72F3">
        <w:rPr>
          <w:szCs w:val="22"/>
        </w:rPr>
        <w:t>ier change . . .”</w:t>
      </w:r>
      <w:r>
        <w:rPr>
          <w:rStyle w:val="FootnoteReference"/>
          <w:szCs w:val="22"/>
        </w:rPr>
        <w:footnoteReference w:id="17"/>
      </w:r>
      <w:r w:rsidR="009D72F3">
        <w:rPr>
          <w:szCs w:val="22"/>
        </w:rPr>
        <w:t xml:space="preserve">  </w:t>
      </w:r>
      <w:r w:rsidR="006B1727">
        <w:rPr>
          <w:szCs w:val="22"/>
        </w:rPr>
        <w:t>Telplex</w:t>
      </w:r>
      <w:r w:rsidR="006B1727">
        <w:rPr>
          <w:szCs w:val="22"/>
        </w:rPr>
        <w:t xml:space="preserve"> also asserts that “the true crux of this complaint is billing” and that Complainant “grossly underestimated the amount of long distance calls made by his business when he </w:t>
      </w:r>
      <w:r w:rsidR="00D77547">
        <w:rPr>
          <w:szCs w:val="22"/>
        </w:rPr>
        <w:t>expressly switched from an unlimited plan to a metered plan.”</w:t>
      </w:r>
      <w:r>
        <w:rPr>
          <w:rStyle w:val="FootnoteReference"/>
          <w:szCs w:val="22"/>
        </w:rPr>
        <w:footnoteReference w:id="18"/>
      </w:r>
      <w:r w:rsidR="00D77547">
        <w:rPr>
          <w:szCs w:val="22"/>
        </w:rPr>
        <w:t xml:space="preserve">  </w:t>
      </w:r>
      <w:r w:rsidR="00D77547">
        <w:rPr>
          <w:szCs w:val="22"/>
        </w:rPr>
        <w:t>Telplex</w:t>
      </w:r>
      <w:r w:rsidR="00D77547">
        <w:rPr>
          <w:szCs w:val="22"/>
        </w:rPr>
        <w:t xml:space="preserve"> says that </w:t>
      </w:r>
      <w:r w:rsidR="00A87E8F">
        <w:rPr>
          <w:szCs w:val="24"/>
        </w:rPr>
        <w:t>Complainant</w:t>
      </w:r>
      <w:r w:rsidR="00894893">
        <w:rPr>
          <w:szCs w:val="24"/>
        </w:rPr>
        <w:t xml:space="preserve"> also </w:t>
      </w:r>
      <w:r w:rsidR="00D77547">
        <w:rPr>
          <w:szCs w:val="24"/>
        </w:rPr>
        <w:t xml:space="preserve">did not remember or understand that his </w:t>
      </w:r>
      <w:r w:rsidR="00C74A8A">
        <w:rPr>
          <w:szCs w:val="24"/>
        </w:rPr>
        <w:t xml:space="preserve">first </w:t>
      </w:r>
      <w:r w:rsidR="00D77547">
        <w:rPr>
          <w:szCs w:val="24"/>
        </w:rPr>
        <w:t>month’s bill was prorated to cover the remainder of the</w:t>
      </w:r>
      <w:r w:rsidR="00C74A8A">
        <w:rPr>
          <w:szCs w:val="24"/>
        </w:rPr>
        <w:t xml:space="preserve"> fir</w:t>
      </w:r>
      <w:r w:rsidR="00D77547">
        <w:rPr>
          <w:szCs w:val="24"/>
        </w:rPr>
        <w:t xml:space="preserve">st </w:t>
      </w:r>
      <w:r w:rsidR="00D77547">
        <w:rPr>
          <w:szCs w:val="24"/>
        </w:rPr>
        <w:t>month’s service and the next month’s service.</w:t>
      </w:r>
      <w:r>
        <w:rPr>
          <w:rStyle w:val="FootnoteReference"/>
          <w:szCs w:val="24"/>
        </w:rPr>
        <w:footnoteReference w:id="19"/>
      </w:r>
      <w:r w:rsidR="00D77547">
        <w:rPr>
          <w:szCs w:val="24"/>
        </w:rPr>
        <w:t xml:space="preserve">  </w:t>
      </w:r>
      <w:r w:rsidR="001D73F3">
        <w:rPr>
          <w:szCs w:val="24"/>
        </w:rPr>
        <w:t xml:space="preserve">In addition to the TPV, </w:t>
      </w:r>
      <w:r w:rsidR="001D73F3">
        <w:rPr>
          <w:szCs w:val="24"/>
        </w:rPr>
        <w:t>Telplex</w:t>
      </w:r>
      <w:r w:rsidR="001D73F3">
        <w:rPr>
          <w:szCs w:val="24"/>
        </w:rPr>
        <w:t xml:space="preserve"> </w:t>
      </w:r>
      <w:r w:rsidR="00BA7C1E">
        <w:rPr>
          <w:szCs w:val="24"/>
        </w:rPr>
        <w:t>provided</w:t>
      </w:r>
      <w:r w:rsidR="00DB3243">
        <w:rPr>
          <w:szCs w:val="24"/>
        </w:rPr>
        <w:t xml:space="preserve"> </w:t>
      </w:r>
      <w:r w:rsidR="001D73F3">
        <w:rPr>
          <w:szCs w:val="24"/>
        </w:rPr>
        <w:t>a</w:t>
      </w:r>
      <w:r w:rsidR="00BA7C1E">
        <w:rPr>
          <w:szCs w:val="24"/>
        </w:rPr>
        <w:t xml:space="preserve"> </w:t>
      </w:r>
      <w:r w:rsidR="001D73F3">
        <w:rPr>
          <w:szCs w:val="24"/>
        </w:rPr>
        <w:t xml:space="preserve">“quality control” </w:t>
      </w:r>
      <w:r w:rsidR="00BA7C1E">
        <w:rPr>
          <w:szCs w:val="24"/>
        </w:rPr>
        <w:t xml:space="preserve">checklist that </w:t>
      </w:r>
      <w:r w:rsidR="00BA7C1E">
        <w:rPr>
          <w:szCs w:val="24"/>
        </w:rPr>
        <w:t>Telplex</w:t>
      </w:r>
      <w:r w:rsidR="00BA7C1E">
        <w:rPr>
          <w:szCs w:val="24"/>
        </w:rPr>
        <w:t xml:space="preserve"> says its telemarketers follow</w:t>
      </w:r>
      <w:r w:rsidR="001D73F3">
        <w:rPr>
          <w:szCs w:val="24"/>
        </w:rPr>
        <w:t xml:space="preserve"> when marketing its services</w:t>
      </w:r>
      <w:r w:rsidR="00F16BEA">
        <w:rPr>
          <w:szCs w:val="24"/>
        </w:rPr>
        <w:t>,</w:t>
      </w:r>
      <w:r w:rsidR="00DB3243">
        <w:rPr>
          <w:szCs w:val="24"/>
        </w:rPr>
        <w:t xml:space="preserve"> </w:t>
      </w:r>
      <w:r w:rsidR="00F22472">
        <w:rPr>
          <w:szCs w:val="24"/>
        </w:rPr>
        <w:t>along with</w:t>
      </w:r>
      <w:r w:rsidR="00DB3243">
        <w:rPr>
          <w:szCs w:val="24"/>
        </w:rPr>
        <w:t xml:space="preserve"> the transcript</w:t>
      </w:r>
      <w:r w:rsidR="00894893">
        <w:rPr>
          <w:szCs w:val="24"/>
        </w:rPr>
        <w:t>s</w:t>
      </w:r>
      <w:r w:rsidR="00DB3243">
        <w:rPr>
          <w:szCs w:val="24"/>
        </w:rPr>
        <w:t xml:space="preserve"> of the TPV </w:t>
      </w:r>
      <w:r w:rsidR="002C36F1">
        <w:rPr>
          <w:szCs w:val="24"/>
        </w:rPr>
        <w:t xml:space="preserve">and quality control </w:t>
      </w:r>
      <w:r w:rsidR="00894893">
        <w:rPr>
          <w:szCs w:val="24"/>
        </w:rPr>
        <w:t xml:space="preserve">calls </w:t>
      </w:r>
      <w:r w:rsidR="00DB3243">
        <w:rPr>
          <w:szCs w:val="24"/>
        </w:rPr>
        <w:t>that followed the initial sales call.</w:t>
      </w:r>
      <w:r w:rsidR="001D73F3">
        <w:rPr>
          <w:szCs w:val="24"/>
        </w:rPr>
        <w:t xml:space="preserve"> </w:t>
      </w:r>
      <w:r>
        <w:rPr>
          <w:szCs w:val="22"/>
        </w:rPr>
        <w:t xml:space="preserve"> </w:t>
      </w:r>
      <w:r w:rsidRPr="000460DE" w:rsidR="00CA752A">
        <w:rPr>
          <w:szCs w:val="24"/>
        </w:rPr>
        <w:t>Telplex</w:t>
      </w:r>
      <w:r w:rsidRPr="000460DE" w:rsidR="00305DCB">
        <w:rPr>
          <w:szCs w:val="24"/>
        </w:rPr>
        <w:t xml:space="preserve"> </w:t>
      </w:r>
      <w:r w:rsidRPr="000460DE" w:rsidR="00CA752A">
        <w:rPr>
          <w:szCs w:val="24"/>
        </w:rPr>
        <w:t>d</w:t>
      </w:r>
      <w:r w:rsidRPr="000460DE" w:rsidR="008F5FAB">
        <w:rPr>
          <w:szCs w:val="24"/>
        </w:rPr>
        <w:t>id</w:t>
      </w:r>
      <w:r w:rsidRPr="000460DE" w:rsidR="00CA752A">
        <w:rPr>
          <w:szCs w:val="24"/>
        </w:rPr>
        <w:t xml:space="preserve"> not</w:t>
      </w:r>
      <w:r w:rsidRPr="000460DE" w:rsidR="00305DCB">
        <w:rPr>
          <w:szCs w:val="24"/>
        </w:rPr>
        <w:t>, however,</w:t>
      </w:r>
      <w:r w:rsidRPr="000460DE" w:rsidR="00CA752A">
        <w:rPr>
          <w:szCs w:val="24"/>
        </w:rPr>
        <w:t xml:space="preserve"> provide </w:t>
      </w:r>
      <w:r w:rsidR="0067532A">
        <w:rPr>
          <w:szCs w:val="24"/>
        </w:rPr>
        <w:t>a</w:t>
      </w:r>
      <w:r w:rsidRPr="000460DE" w:rsidR="00CA752A">
        <w:rPr>
          <w:szCs w:val="24"/>
        </w:rPr>
        <w:t xml:space="preserve"> sales call recording</w:t>
      </w:r>
      <w:r w:rsidRPr="000460DE" w:rsidR="00A87E8F">
        <w:rPr>
          <w:szCs w:val="24"/>
        </w:rPr>
        <w:t xml:space="preserve"> </w:t>
      </w:r>
      <w:r w:rsidRPr="000460DE" w:rsidR="00E342E6">
        <w:rPr>
          <w:szCs w:val="24"/>
        </w:rPr>
        <w:t>or other</w:t>
      </w:r>
      <w:r w:rsidRPr="000460DE" w:rsidR="001B1CAF">
        <w:rPr>
          <w:szCs w:val="24"/>
        </w:rPr>
        <w:t xml:space="preserve"> </w:t>
      </w:r>
      <w:r w:rsidRPr="000460DE" w:rsidR="00A87E8F">
        <w:rPr>
          <w:szCs w:val="24"/>
        </w:rPr>
        <w:t>evidence</w:t>
      </w:r>
      <w:r w:rsidRPr="000460DE" w:rsidR="004C7C92">
        <w:rPr>
          <w:szCs w:val="24"/>
        </w:rPr>
        <w:t xml:space="preserve"> rel</w:t>
      </w:r>
      <w:r w:rsidR="00B73B55">
        <w:rPr>
          <w:szCs w:val="24"/>
        </w:rPr>
        <w:t>ated</w:t>
      </w:r>
      <w:r w:rsidRPr="000460DE" w:rsidR="004C7C92">
        <w:rPr>
          <w:szCs w:val="24"/>
        </w:rPr>
        <w:t xml:space="preserve"> to the sales call</w:t>
      </w:r>
      <w:r w:rsidR="00324EF7">
        <w:rPr>
          <w:szCs w:val="24"/>
        </w:rPr>
        <w:t>, such as the script used by the telemarketer</w:t>
      </w:r>
      <w:r w:rsidR="00D77547">
        <w:rPr>
          <w:szCs w:val="24"/>
        </w:rPr>
        <w:t xml:space="preserve"> </w:t>
      </w:r>
      <w:r w:rsidR="00894893">
        <w:rPr>
          <w:szCs w:val="24"/>
        </w:rPr>
        <w:t>who spoke</w:t>
      </w:r>
      <w:r w:rsidR="00D77547">
        <w:rPr>
          <w:szCs w:val="24"/>
        </w:rPr>
        <w:t xml:space="preserve"> to Complainant</w:t>
      </w:r>
      <w:r w:rsidR="00324EF7">
        <w:rPr>
          <w:szCs w:val="24"/>
        </w:rPr>
        <w:t>,</w:t>
      </w:r>
      <w:r w:rsidRPr="000460DE" w:rsidR="004C7C92">
        <w:rPr>
          <w:szCs w:val="24"/>
        </w:rPr>
        <w:t xml:space="preserve"> </w:t>
      </w:r>
      <w:r w:rsidRPr="000460DE" w:rsidR="001B1CAF">
        <w:rPr>
          <w:szCs w:val="24"/>
        </w:rPr>
        <w:t>to rebut Complainant’s claim</w:t>
      </w:r>
      <w:r w:rsidRPr="000460DE" w:rsidR="008F7313">
        <w:rPr>
          <w:szCs w:val="24"/>
        </w:rPr>
        <w:t xml:space="preserve"> of misrepresentation.</w:t>
      </w:r>
      <w:r>
        <w:rPr>
          <w:rStyle w:val="FootnoteReference"/>
          <w:szCs w:val="24"/>
        </w:rPr>
        <w:footnoteReference w:id="20"/>
      </w:r>
      <w:r w:rsidRPr="000460DE" w:rsidR="00A87E8F">
        <w:rPr>
          <w:szCs w:val="24"/>
        </w:rPr>
        <w:t xml:space="preserve"> </w:t>
      </w:r>
      <w:r w:rsidRPr="000460DE" w:rsidR="004C7C92">
        <w:rPr>
          <w:szCs w:val="24"/>
        </w:rPr>
        <w:t xml:space="preserve"> </w:t>
      </w:r>
    </w:p>
    <w:p w:rsidR="00AB71F2" w:rsidP="000460DE">
      <w:pPr>
        <w:numPr>
          <w:ilvl w:val="0"/>
          <w:numId w:val="7"/>
        </w:numPr>
        <w:snapToGrid w:val="0"/>
        <w:spacing w:after="120"/>
        <w:ind w:left="0" w:firstLine="720"/>
        <w:rPr>
          <w:szCs w:val="22"/>
        </w:rPr>
      </w:pPr>
      <w:r w:rsidRPr="000460DE">
        <w:rPr>
          <w:szCs w:val="24"/>
        </w:rPr>
        <w:t xml:space="preserve">The Division carefully reviewed all </w:t>
      </w:r>
      <w:r w:rsidRPr="000460DE" w:rsidR="000B22F5">
        <w:rPr>
          <w:szCs w:val="24"/>
        </w:rPr>
        <w:t xml:space="preserve">the </w:t>
      </w:r>
      <w:r w:rsidRPr="000460DE">
        <w:rPr>
          <w:szCs w:val="24"/>
        </w:rPr>
        <w:t xml:space="preserve">evidence in the record provided by both the Complainant and </w:t>
      </w:r>
      <w:r w:rsidRPr="000460DE">
        <w:rPr>
          <w:szCs w:val="24"/>
        </w:rPr>
        <w:t>Telplex</w:t>
      </w:r>
      <w:r w:rsidRPr="000460DE">
        <w:rPr>
          <w:szCs w:val="24"/>
        </w:rPr>
        <w:t xml:space="preserve">. </w:t>
      </w:r>
      <w:r w:rsidR="000460DE">
        <w:rPr>
          <w:szCs w:val="22"/>
        </w:rPr>
        <w:t xml:space="preserve"> </w:t>
      </w:r>
      <w:r w:rsidRPr="000460DE" w:rsidR="00D33E46">
        <w:rPr>
          <w:szCs w:val="22"/>
        </w:rPr>
        <w:t>Based on the evidence in the record, w</w:t>
      </w:r>
      <w:r w:rsidRPr="000460DE" w:rsidR="005D20F0">
        <w:rPr>
          <w:szCs w:val="22"/>
        </w:rPr>
        <w:t xml:space="preserve">e </w:t>
      </w:r>
      <w:r w:rsidRPr="000460DE" w:rsidR="00305DCB">
        <w:rPr>
          <w:szCs w:val="22"/>
        </w:rPr>
        <w:t>find Complainant’s allegation of a sales call misrepresentation to be credible</w:t>
      </w:r>
      <w:r w:rsidRPr="000460DE" w:rsidR="00FE6960">
        <w:rPr>
          <w:szCs w:val="22"/>
        </w:rPr>
        <w:t xml:space="preserve"> due to its specificity and consistency with other complaints we have reviewed</w:t>
      </w:r>
      <w:r w:rsidRPr="000460DE" w:rsidR="00305DCB">
        <w:rPr>
          <w:szCs w:val="22"/>
        </w:rPr>
        <w:t xml:space="preserve">.  </w:t>
      </w:r>
      <w:r w:rsidR="002F09DF">
        <w:rPr>
          <w:szCs w:val="22"/>
        </w:rPr>
        <w:t xml:space="preserve">Complainant does not dispute that he agreed to the switch during the verification process, but that he did so as a result of the misrepresentations made by </w:t>
      </w:r>
      <w:r w:rsidR="002F09DF">
        <w:rPr>
          <w:szCs w:val="22"/>
        </w:rPr>
        <w:t>Telplex’s</w:t>
      </w:r>
      <w:r w:rsidR="002F09DF">
        <w:rPr>
          <w:szCs w:val="22"/>
        </w:rPr>
        <w:t xml:space="preserve"> telemarketer</w:t>
      </w:r>
      <w:r w:rsidR="008E3ACB">
        <w:rPr>
          <w:szCs w:val="22"/>
        </w:rPr>
        <w:t xml:space="preserve"> during the sales call</w:t>
      </w:r>
      <w:r w:rsidR="002F09DF">
        <w:rPr>
          <w:szCs w:val="22"/>
        </w:rPr>
        <w:t xml:space="preserve">.  As the Commission stated in the </w:t>
      </w:r>
      <w:r w:rsidRPr="002F09DF" w:rsidR="002F09DF">
        <w:rPr>
          <w:i/>
          <w:szCs w:val="22"/>
        </w:rPr>
        <w:t>2018 Slamming Order</w:t>
      </w:r>
      <w:r w:rsidR="002F09DF">
        <w:rPr>
          <w:szCs w:val="22"/>
        </w:rPr>
        <w:t>, “[w]hen a consumer’s decision to switch carriers is predicated on false information provided in a sales call, that consumer’s authorization to switch carriers can no longer be considered binding.”</w:t>
      </w:r>
      <w:r>
        <w:rPr>
          <w:rStyle w:val="FootnoteReference"/>
          <w:szCs w:val="22"/>
        </w:rPr>
        <w:footnoteReference w:id="21"/>
      </w:r>
      <w:r w:rsidR="002F09DF">
        <w:rPr>
          <w:szCs w:val="22"/>
        </w:rPr>
        <w:t xml:space="preserve">  </w:t>
      </w:r>
      <w:r w:rsidRPr="000460DE" w:rsidR="00305DCB">
        <w:rPr>
          <w:szCs w:val="22"/>
        </w:rPr>
        <w:t xml:space="preserve">We </w:t>
      </w:r>
      <w:r w:rsidRPr="000460DE" w:rsidR="001B1CAF">
        <w:rPr>
          <w:szCs w:val="22"/>
        </w:rPr>
        <w:t>further find</w:t>
      </w:r>
      <w:r w:rsidRPr="000460DE" w:rsidR="00305DCB">
        <w:rPr>
          <w:szCs w:val="22"/>
        </w:rPr>
        <w:t xml:space="preserve"> that </w:t>
      </w:r>
      <w:r w:rsidRPr="000460DE" w:rsidR="00305DCB">
        <w:rPr>
          <w:szCs w:val="22"/>
        </w:rPr>
        <w:t>Telplex</w:t>
      </w:r>
      <w:r w:rsidRPr="000460DE" w:rsidR="00305DCB">
        <w:rPr>
          <w:szCs w:val="22"/>
        </w:rPr>
        <w:t xml:space="preserve"> has failed to provide persuasive evidence to rebut Complainant’s claim</w:t>
      </w:r>
      <w:r w:rsidRPr="000460DE" w:rsidR="001B1CAF">
        <w:rPr>
          <w:szCs w:val="22"/>
        </w:rPr>
        <w:t xml:space="preserve"> and therefore that Complainant’s authorization to change carriers is invalid</w:t>
      </w:r>
      <w:r w:rsidRPr="000460DE" w:rsidR="00305DCB">
        <w:rPr>
          <w:szCs w:val="22"/>
        </w:rPr>
        <w:t xml:space="preserve">. </w:t>
      </w:r>
      <w:r w:rsidRPr="000460DE" w:rsidR="001B1CAF">
        <w:rPr>
          <w:szCs w:val="22"/>
        </w:rPr>
        <w:t xml:space="preserve"> </w:t>
      </w:r>
      <w:r w:rsidRPr="000460DE" w:rsidR="00D33E46">
        <w:rPr>
          <w:szCs w:val="22"/>
        </w:rPr>
        <w:t>W</w:t>
      </w:r>
      <w:r w:rsidRPr="000460DE" w:rsidR="005D20F0">
        <w:rPr>
          <w:szCs w:val="22"/>
        </w:rPr>
        <w:t>e</w:t>
      </w:r>
      <w:r w:rsidRPr="000460DE" w:rsidR="00D33E46">
        <w:rPr>
          <w:szCs w:val="22"/>
        </w:rPr>
        <w:t xml:space="preserve"> therefore</w:t>
      </w:r>
      <w:r w:rsidRPr="000460DE" w:rsidR="005D20F0">
        <w:rPr>
          <w:szCs w:val="22"/>
        </w:rPr>
        <w:t xml:space="preserve"> </w:t>
      </w:r>
      <w:r w:rsidRPr="000460DE" w:rsidR="00D33E46">
        <w:rPr>
          <w:szCs w:val="22"/>
        </w:rPr>
        <w:t>find</w:t>
      </w:r>
      <w:r w:rsidRPr="000460DE" w:rsidR="005D20F0">
        <w:rPr>
          <w:szCs w:val="22"/>
        </w:rPr>
        <w:t xml:space="preserve"> that </w:t>
      </w:r>
      <w:r w:rsidRPr="000460DE" w:rsidR="00B83BA2">
        <w:rPr>
          <w:szCs w:val="22"/>
        </w:rPr>
        <w:t>Telplex’s</w:t>
      </w:r>
      <w:r w:rsidRPr="000460DE" w:rsidR="00B83BA2">
        <w:rPr>
          <w:szCs w:val="22"/>
        </w:rPr>
        <w:t xml:space="preserve"> actions resulted in an unauthorized change in Complainant’s </w:t>
      </w:r>
      <w:r w:rsidRPr="000460DE">
        <w:rPr>
          <w:szCs w:val="22"/>
        </w:rPr>
        <w:t>telecommunications service provider, as defined by the rules</w:t>
      </w:r>
      <w:r w:rsidR="00D54E72">
        <w:rPr>
          <w:szCs w:val="22"/>
        </w:rPr>
        <w:t xml:space="preserve">, and we discuss </w:t>
      </w:r>
      <w:r w:rsidR="00D54E72">
        <w:rPr>
          <w:szCs w:val="22"/>
        </w:rPr>
        <w:t>Telplex’s</w:t>
      </w:r>
      <w:r w:rsidR="00D54E72">
        <w:rPr>
          <w:szCs w:val="22"/>
        </w:rPr>
        <w:t xml:space="preserve"> liability below.</w:t>
      </w:r>
      <w:r>
        <w:rPr>
          <w:rStyle w:val="FootnoteReference"/>
          <w:szCs w:val="22"/>
        </w:rPr>
        <w:footnoteReference w:id="22"/>
      </w:r>
      <w:r w:rsidRPr="000460DE">
        <w:rPr>
          <w:szCs w:val="22"/>
        </w:rPr>
        <w:t xml:space="preserve"> </w:t>
      </w:r>
    </w:p>
    <w:p w:rsidR="00D20DC8" w:rsidRPr="00D20DC8" w:rsidP="00D20DC8">
      <w:pPr>
        <w:numPr>
          <w:ilvl w:val="0"/>
          <w:numId w:val="7"/>
        </w:numPr>
        <w:snapToGrid w:val="0"/>
        <w:spacing w:after="120"/>
        <w:ind w:left="0" w:firstLine="720"/>
        <w:rPr>
          <w:szCs w:val="22"/>
        </w:rPr>
      </w:pPr>
      <w:r>
        <w:rPr>
          <w:szCs w:val="22"/>
        </w:rPr>
        <w:t>Telplex</w:t>
      </w:r>
      <w:r>
        <w:rPr>
          <w:szCs w:val="22"/>
        </w:rPr>
        <w:t xml:space="preserve"> must remove all charges incurred for service provided to Complainant for the first thirty days after the alleged unauthorized change in accordance with the Commission’s liability rules.</w:t>
      </w:r>
      <w:r>
        <w:rPr>
          <w:rStyle w:val="FootnoteReference"/>
          <w:szCs w:val="22"/>
        </w:rPr>
        <w:footnoteReference w:id="23"/>
      </w:r>
      <w:r>
        <w:rPr>
          <w:szCs w:val="22"/>
        </w:rPr>
        <w:t xml:space="preserve">  We have determined that Complainant is entitled to absolution for the charges incurred during the first thirty days after the unauthorized change occurred and that </w:t>
      </w:r>
      <w:r>
        <w:t xml:space="preserve">neither the Complainant’s authorized carrier nor </w:t>
      </w:r>
      <w:r>
        <w:rPr>
          <w:szCs w:val="22"/>
        </w:rPr>
        <w:t>Telplex</w:t>
      </w:r>
      <w:r>
        <w:rPr>
          <w:szCs w:val="22"/>
        </w:rPr>
        <w:t xml:space="preserve"> may pursue any collection against Complainant for those charges.</w:t>
      </w:r>
      <w:r>
        <w:rPr>
          <w:rStyle w:val="FootnoteReference"/>
          <w:szCs w:val="22"/>
        </w:rPr>
        <w:footnoteReference w:id="24"/>
      </w:r>
      <w:r>
        <w:rPr>
          <w:szCs w:val="22"/>
        </w:rPr>
        <w:t xml:space="preserve">  Any charges imposed by </w:t>
      </w:r>
      <w:r>
        <w:rPr>
          <w:szCs w:val="22"/>
        </w:rPr>
        <w:t>Telplex</w:t>
      </w:r>
      <w:r>
        <w:rPr>
          <w:szCs w:val="22"/>
        </w:rPr>
        <w:t xml:space="preserve"> on the subscriber for service provided after this 30-day period shall be paid by the subscriber at the rates the subscriber was paying to his/her authorized carrier at the time of the unauthorized change.</w:t>
      </w:r>
      <w:r>
        <w:rPr>
          <w:rStyle w:val="FootnoteReference"/>
          <w:szCs w:val="22"/>
        </w:rPr>
        <w:footnoteReference w:id="25"/>
      </w:r>
    </w:p>
    <w:p w:rsidR="00AB71F2" w:rsidP="00305DCB">
      <w:pPr>
        <w:numPr>
          <w:ilvl w:val="0"/>
          <w:numId w:val="7"/>
        </w:numPr>
        <w:tabs>
          <w:tab w:val="num" w:pos="0"/>
        </w:tabs>
        <w:snapToGrid w:val="0"/>
        <w:spacing w:after="120"/>
        <w:ind w:left="0" w:firstLine="720"/>
        <w:rPr>
          <w:szCs w:val="22"/>
        </w:rPr>
      </w:pPr>
      <w:r>
        <w:rPr>
          <w:szCs w:val="22"/>
        </w:rPr>
        <w:t xml:space="preserve">Accordingly, IT IS ORDERED that, pursuant to </w:t>
      </w:r>
      <w:r w:rsidR="00FE6960">
        <w:rPr>
          <w:szCs w:val="22"/>
        </w:rPr>
        <w:t>s</w:t>
      </w:r>
      <w:r>
        <w:rPr>
          <w:szCs w:val="22"/>
        </w:rPr>
        <w:t xml:space="preserve">ection 258 of the Communications Act of 1934, as amended, 47 U.S.C. § 258, and </w:t>
      </w:r>
      <w:r w:rsidR="00FE6960">
        <w:rPr>
          <w:szCs w:val="22"/>
        </w:rPr>
        <w:t>s</w:t>
      </w:r>
      <w:r>
        <w:rPr>
          <w:szCs w:val="22"/>
        </w:rPr>
        <w:t xml:space="preserve">ections 0.141, 0.361 and 1.719 of the Commission’s rules, 47 CFR §§ 0.141, 0.361, 1.719, the complaint filed against </w:t>
      </w:r>
      <w:r>
        <w:rPr>
          <w:szCs w:val="22"/>
        </w:rPr>
        <w:t>Telplex</w:t>
      </w:r>
      <w:r>
        <w:rPr>
          <w:szCs w:val="22"/>
        </w:rPr>
        <w:t xml:space="preserve"> Communications </w:t>
      </w:r>
      <w:r w:rsidR="00A87E8F">
        <w:rPr>
          <w:szCs w:val="22"/>
        </w:rPr>
        <w:t>IS</w:t>
      </w:r>
      <w:r>
        <w:rPr>
          <w:szCs w:val="22"/>
        </w:rPr>
        <w:t xml:space="preserve"> </w:t>
      </w:r>
      <w:r w:rsidR="00A87E8F">
        <w:rPr>
          <w:szCs w:val="22"/>
        </w:rPr>
        <w:t>GRANTED</w:t>
      </w:r>
      <w:r>
        <w:rPr>
          <w:szCs w:val="22"/>
        </w:rPr>
        <w:t>.</w:t>
      </w:r>
    </w:p>
    <w:p w:rsidR="00AB71F2" w:rsidRPr="002C36F1" w:rsidP="00847D23">
      <w:pPr>
        <w:widowControl/>
        <w:numPr>
          <w:ilvl w:val="0"/>
          <w:numId w:val="7"/>
        </w:numPr>
        <w:tabs>
          <w:tab w:val="num" w:pos="0"/>
        </w:tabs>
        <w:snapToGrid w:val="0"/>
        <w:spacing w:after="120"/>
        <w:ind w:left="0" w:firstLine="720"/>
        <w:rPr>
          <w:szCs w:val="22"/>
        </w:rPr>
      </w:pPr>
      <w:r w:rsidRPr="00FD2C3C">
        <w:rPr>
          <w:szCs w:val="22"/>
        </w:rPr>
        <w:t xml:space="preserve">IT IS FURTHER ORDERED that, pursuant to </w:t>
      </w:r>
      <w:r>
        <w:rPr>
          <w:szCs w:val="22"/>
        </w:rPr>
        <w:t>s</w:t>
      </w:r>
      <w:r w:rsidRPr="00FD2C3C">
        <w:rPr>
          <w:szCs w:val="22"/>
        </w:rPr>
        <w:t xml:space="preserve">ection 64.1170(d) of the Commission’s rules, 47 CFR § 64.1170(d), the Complainant </w:t>
      </w:r>
      <w:r>
        <w:rPr>
          <w:szCs w:val="22"/>
        </w:rPr>
        <w:t>is</w:t>
      </w:r>
      <w:r w:rsidRPr="00FD2C3C">
        <w:rPr>
          <w:szCs w:val="22"/>
        </w:rPr>
        <w:t xml:space="preserve"> entitled to absolution for the charges incurred during the </w:t>
      </w:r>
      <w:r w:rsidRPr="00FD2C3C">
        <w:rPr>
          <w:szCs w:val="22"/>
        </w:rPr>
        <w:t xml:space="preserve">first thirty days after the unauthorized change occurred and that </w:t>
      </w:r>
      <w:r>
        <w:rPr>
          <w:szCs w:val="22"/>
        </w:rPr>
        <w:t>Telplex</w:t>
      </w:r>
      <w:r>
        <w:rPr>
          <w:szCs w:val="22"/>
        </w:rPr>
        <w:t xml:space="preserve"> Communications</w:t>
      </w:r>
      <w:r w:rsidRPr="00FD2C3C">
        <w:rPr>
          <w:szCs w:val="22"/>
        </w:rPr>
        <w:t xml:space="preserve"> may not pursue any collection against Complainant for those charges.</w:t>
      </w:r>
    </w:p>
    <w:p w:rsidR="00AB71F2" w:rsidRPr="00305DCB" w:rsidP="00305DCB">
      <w:pPr>
        <w:numPr>
          <w:ilvl w:val="0"/>
          <w:numId w:val="7"/>
        </w:numPr>
        <w:tabs>
          <w:tab w:val="num" w:pos="0"/>
        </w:tabs>
        <w:snapToGrid w:val="0"/>
        <w:spacing w:after="120"/>
        <w:ind w:left="0" w:firstLine="720"/>
        <w:rPr>
          <w:szCs w:val="22"/>
        </w:rPr>
      </w:pPr>
      <w:r>
        <w:rPr>
          <w:szCs w:val="22"/>
        </w:rPr>
        <w:t>IT IS FURTHER ORDERED that this Order is effective upon release.</w:t>
      </w:r>
    </w:p>
    <w:p w:rsidR="00AB71F2" w:rsidP="00F053DA">
      <w:pPr>
        <w:spacing w:after="120"/>
        <w:ind w:left="3600" w:right="270"/>
        <w:rPr>
          <w:szCs w:val="22"/>
        </w:rPr>
      </w:pPr>
      <w:r>
        <w:rPr>
          <w:szCs w:val="22"/>
        </w:rPr>
        <w:t>FEDERAL COMMUNICATIONS COMMISSION</w:t>
      </w:r>
    </w:p>
    <w:p w:rsidR="00AB71F2" w:rsidP="005328A1">
      <w:pPr>
        <w:ind w:right="270"/>
        <w:rPr>
          <w:szCs w:val="22"/>
        </w:rPr>
      </w:pPr>
      <w:r>
        <w:rPr>
          <w:szCs w:val="22"/>
        </w:rPr>
        <w:tab/>
      </w:r>
      <w:r>
        <w:rPr>
          <w:szCs w:val="22"/>
        </w:rPr>
        <w:tab/>
      </w:r>
      <w:r>
        <w:rPr>
          <w:szCs w:val="22"/>
        </w:rPr>
        <w:tab/>
      </w:r>
      <w:r>
        <w:rPr>
          <w:szCs w:val="22"/>
        </w:rPr>
        <w:tab/>
      </w:r>
      <w:r>
        <w:rPr>
          <w:szCs w:val="22"/>
        </w:rPr>
        <w:tab/>
      </w:r>
      <w:r w:rsidR="0081119C">
        <w:rPr>
          <w:noProof/>
          <w:szCs w:val="22"/>
        </w:rPr>
        <w:drawing>
          <wp:inline distT="0" distB="0" distL="0" distR="0">
            <wp:extent cx="2705100" cy="1409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67743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705100" cy="1409700"/>
                    </a:xfrm>
                    <a:prstGeom prst="rect">
                      <a:avLst/>
                    </a:prstGeom>
                    <a:noFill/>
                    <a:ln>
                      <a:noFill/>
                    </a:ln>
                  </pic:spPr>
                </pic:pic>
              </a:graphicData>
            </a:graphic>
          </wp:inline>
        </w:drawing>
      </w:r>
    </w:p>
    <w:p w:rsidR="00EB19A2" w:rsidP="005328A1">
      <w:pPr>
        <w:ind w:right="270"/>
        <w:rPr>
          <w:szCs w:val="22"/>
        </w:rPr>
      </w:pPr>
    </w:p>
    <w:p w:rsidR="00AB71F2" w:rsidP="00AB71F2">
      <w:pPr>
        <w:ind w:left="540"/>
        <w:rPr>
          <w:szCs w:val="22"/>
        </w:rPr>
      </w:pPr>
    </w:p>
    <w:p w:rsidR="00AB71F2" w:rsidP="00AB71F2">
      <w:pPr>
        <w:ind w:right="270"/>
        <w:jc w:val="center"/>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6FF8">
      <w:r>
        <w:separator/>
      </w:r>
    </w:p>
  </w:footnote>
  <w:footnote w:type="continuationSeparator" w:id="1">
    <w:p w:rsidR="00F26FF8" w:rsidP="00C721AC">
      <w:pPr>
        <w:spacing w:before="120"/>
        <w:rPr>
          <w:sz w:val="20"/>
        </w:rPr>
      </w:pPr>
      <w:r>
        <w:rPr>
          <w:sz w:val="20"/>
        </w:rPr>
        <w:t xml:space="preserve">(Continued from previous page)  </w:t>
      </w:r>
      <w:r>
        <w:rPr>
          <w:sz w:val="20"/>
        </w:rPr>
        <w:separator/>
      </w:r>
    </w:p>
  </w:footnote>
  <w:footnote w:type="continuationNotice" w:id="2">
    <w:p w:rsidR="00F26FF8" w:rsidP="00C721AC">
      <w:pPr>
        <w:jc w:val="right"/>
        <w:rPr>
          <w:sz w:val="20"/>
        </w:rPr>
      </w:pPr>
      <w:r>
        <w:rPr>
          <w:sz w:val="20"/>
        </w:rPr>
        <w:t>(continued….)</w:t>
      </w:r>
    </w:p>
  </w:footnote>
  <w:footnote w:id="3">
    <w:p w:rsidR="00AB71F2" w:rsidP="00AB71F2">
      <w:pPr>
        <w:pStyle w:val="FootnoteText"/>
      </w:pPr>
      <w:r>
        <w:rPr>
          <w:rStyle w:val="FootnoteReference"/>
        </w:rPr>
        <w:footnoteRef/>
      </w:r>
      <w:r>
        <w:t xml:space="preserve"> </w:t>
      </w:r>
      <w:r w:rsidR="006533AA">
        <w:rPr>
          <w:i/>
        </w:rPr>
        <w:t>See</w:t>
      </w:r>
      <w:r w:rsidR="006533AA">
        <w:t xml:space="preserve"> Informal Complaint No. </w:t>
      </w:r>
      <w:r w:rsidR="00E015BA">
        <w:t>3457066</w:t>
      </w:r>
      <w:r w:rsidR="006533AA">
        <w:t xml:space="preserve"> (filed </w:t>
      </w:r>
      <w:r w:rsidR="002F09DF">
        <w:t>Aug. 11</w:t>
      </w:r>
      <w:r w:rsidR="006533AA">
        <w:t xml:space="preserve">, 2019); </w:t>
      </w:r>
      <w:r w:rsidR="006533AA">
        <w:rPr>
          <w:i/>
        </w:rPr>
        <w:t>s</w:t>
      </w:r>
      <w:r>
        <w:rPr>
          <w:i/>
        </w:rPr>
        <w:t>ee</w:t>
      </w:r>
      <w:r w:rsidR="006533AA">
        <w:rPr>
          <w:i/>
        </w:rPr>
        <w:t xml:space="preserve"> also</w:t>
      </w:r>
      <w:r>
        <w:t xml:space="preserve"> 47 CFR §§ 64.1100 – 64.1190.</w:t>
      </w:r>
    </w:p>
  </w:footnote>
  <w:footnote w:id="4">
    <w:p w:rsidR="00AB71F2" w:rsidP="00AB71F2">
      <w:pPr>
        <w:pStyle w:val="FootnoteText"/>
      </w:pPr>
      <w:r>
        <w:rPr>
          <w:rStyle w:val="FootnoteReference"/>
        </w:rPr>
        <w:footnoteRef/>
      </w:r>
      <w:r>
        <w:t xml:space="preserve"> 47 U.S.C. § 258(a).</w:t>
      </w:r>
    </w:p>
  </w:footnote>
  <w:footnote w:id="5">
    <w:p w:rsidR="00AB71F2" w:rsidP="00AB71F2">
      <w:pPr>
        <w:pStyle w:val="FootnoteText"/>
        <w:tabs>
          <w:tab w:val="left" w:pos="0"/>
        </w:tabs>
      </w:pPr>
      <w:r>
        <w:rPr>
          <w:rStyle w:val="FootnoteReference"/>
        </w:rPr>
        <w:footnoteRef/>
      </w:r>
      <w:r>
        <w:t xml:space="preserve"> </w:t>
      </w:r>
      <w:r>
        <w:rPr>
          <w:i/>
        </w:rPr>
        <w:t>See</w:t>
      </w:r>
      <w:r>
        <w:t xml:space="preserve"> 47 CFR § 64.1120.</w:t>
      </w:r>
    </w:p>
  </w:footnote>
  <w:footnote w:id="6">
    <w:p w:rsidR="00AB71F2" w:rsidP="00AB71F2">
      <w:pPr>
        <w:pStyle w:val="FootnoteText"/>
        <w:tabs>
          <w:tab w:val="left" w:pos="0"/>
        </w:tabs>
      </w:pPr>
      <w:r>
        <w:rPr>
          <w:rStyle w:val="FootnoteReference"/>
        </w:rPr>
        <w:footnoteRef/>
      </w:r>
      <w:r>
        <w:t xml:space="preserve"> </w:t>
      </w:r>
      <w:r>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AB71F2" w:rsidP="00AB71F2">
      <w:pPr>
        <w:pStyle w:val="FootnoteText"/>
      </w:pPr>
      <w:r>
        <w:rPr>
          <w:rStyle w:val="FootnoteReference"/>
        </w:rPr>
        <w:footnoteRef/>
      </w:r>
      <w:r>
        <w:t xml:space="preserve"> These rules require the </w:t>
      </w:r>
      <w:r w:rsidR="006533AA">
        <w:t xml:space="preserve">unauthorized </w:t>
      </w:r>
      <w:r>
        <w:t xml:space="preserve">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 id.</w:t>
      </w:r>
      <w:r>
        <w:t xml:space="preserve"> §§ 64.1140, 64.1170.  </w:t>
      </w:r>
    </w:p>
  </w:footnote>
  <w:footnote w:id="8">
    <w:p w:rsidR="00CF2AA9">
      <w:pPr>
        <w:pStyle w:val="FootnoteText"/>
      </w:pPr>
      <w:r>
        <w:rPr>
          <w:rStyle w:val="FootnoteReference"/>
        </w:rPr>
        <w:footnoteRef/>
      </w:r>
      <w:r>
        <w:t xml:space="preserve"> </w:t>
      </w:r>
      <w:r w:rsidRPr="009F6F0E" w:rsidR="009F6F0E">
        <w:rPr>
          <w:i/>
        </w:rPr>
        <w:t>Id</w:t>
      </w:r>
      <w:r w:rsidR="009F6F0E">
        <w:t>.</w:t>
      </w:r>
      <w:r>
        <w:t xml:space="preserve"> § 64.1120(a)(1)(</w:t>
      </w:r>
      <w:r>
        <w:t>i</w:t>
      </w:r>
      <w:r>
        <w:t xml:space="preserve">)(A).  </w:t>
      </w:r>
    </w:p>
  </w:footnote>
  <w:footnote w:id="9">
    <w:p w:rsidR="00CF2AA9" w:rsidP="00CF2AA9">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w:t>
      </w:r>
      <w:r w:rsidR="00305DCB">
        <w:t xml:space="preserve"> (</w:t>
      </w:r>
      <w:r w:rsidRPr="00305DCB" w:rsidR="00305DCB">
        <w:rPr>
          <w:i/>
        </w:rPr>
        <w:t>2018 Slamming Order</w:t>
      </w:r>
      <w:r w:rsidR="00305DCB">
        <w:t>)</w:t>
      </w:r>
      <w:r>
        <w:t>; 47 CFR § 64.1120(a)(1)(</w:t>
      </w:r>
      <w:r>
        <w:t>i</w:t>
      </w:r>
      <w:r>
        <w:t>)(A).  The</w:t>
      </w:r>
      <w:r w:rsidR="00305DCB">
        <w:t xml:space="preserve"> revised</w:t>
      </w:r>
      <w:r>
        <w:t xml:space="preserve"> rule became effective on August 16, 2018.  </w:t>
      </w:r>
      <w:r>
        <w:rPr>
          <w:i/>
        </w:rPr>
        <w:t>See Consumer and Governmental Affairs Bureau Announces August 16, 2018 Effective Date for Slamming and Cramming Rules</w:t>
      </w:r>
      <w:r>
        <w:t xml:space="preserve">, CG Docket No. 17-169, Public Notice, DA 18-747 (rel. July 19, 2018).  </w:t>
      </w:r>
    </w:p>
  </w:footnote>
  <w:footnote w:id="10">
    <w:p w:rsidR="00305DCB">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1D73F3" w:rsidP="001D73F3">
      <w:pPr>
        <w:pStyle w:val="FootnoteText"/>
      </w:pPr>
      <w:r>
        <w:rPr>
          <w:rStyle w:val="FootnoteReference"/>
        </w:rPr>
        <w:footnoteRef/>
      </w:r>
      <w:r>
        <w:t xml:space="preserve"> </w:t>
      </w:r>
      <w:r w:rsidRPr="00305DCB">
        <w:rPr>
          <w:i/>
        </w:rPr>
        <w:t>See</w:t>
      </w:r>
      <w:r>
        <w:t xml:space="preserve"> Informal Complaint No. 3</w:t>
      </w:r>
      <w:r w:rsidR="001C0B77">
        <w:t>457066</w:t>
      </w:r>
      <w:r>
        <w:t>.</w:t>
      </w:r>
    </w:p>
  </w:footnote>
  <w:footnote w:id="12">
    <w:p w:rsidR="001C0B77">
      <w:pPr>
        <w:pStyle w:val="FootnoteText"/>
      </w:pPr>
      <w:r>
        <w:rPr>
          <w:rStyle w:val="FootnoteReference"/>
        </w:rPr>
        <w:footnoteRef/>
      </w:r>
      <w:r>
        <w:t xml:space="preserve"> </w:t>
      </w:r>
      <w:r w:rsidRPr="001C0B77">
        <w:rPr>
          <w:i/>
        </w:rPr>
        <w:t>Id</w:t>
      </w:r>
      <w:r>
        <w:t>.</w:t>
      </w:r>
    </w:p>
  </w:footnote>
  <w:footnote w:id="13">
    <w:p w:rsidR="001C0B77">
      <w:pPr>
        <w:pStyle w:val="FootnoteText"/>
      </w:pPr>
      <w:r>
        <w:rPr>
          <w:rStyle w:val="FootnoteReference"/>
        </w:rPr>
        <w:footnoteRef/>
      </w:r>
      <w:r>
        <w:t xml:space="preserve"> </w:t>
      </w:r>
      <w:r w:rsidRPr="001C0B77">
        <w:rPr>
          <w:i/>
        </w:rPr>
        <w:t>Id</w:t>
      </w:r>
      <w:r>
        <w:t>.</w:t>
      </w:r>
    </w:p>
  </w:footnote>
  <w:footnote w:id="14">
    <w:p w:rsidR="001C0B77">
      <w:pPr>
        <w:pStyle w:val="FootnoteText"/>
      </w:pPr>
      <w:r>
        <w:rPr>
          <w:rStyle w:val="FootnoteReference"/>
        </w:rPr>
        <w:footnoteRef/>
      </w:r>
      <w:r>
        <w:t xml:space="preserve"> </w:t>
      </w:r>
      <w:r w:rsidRPr="001C0B77">
        <w:rPr>
          <w:i/>
        </w:rPr>
        <w:t>Id</w:t>
      </w:r>
      <w:r>
        <w:t>.</w:t>
      </w:r>
    </w:p>
  </w:footnote>
  <w:footnote w:id="15">
    <w:p w:rsidR="002B63B8" w:rsidP="002B63B8">
      <w:pPr>
        <w:pStyle w:val="FootnoteText"/>
        <w:tabs>
          <w:tab w:val="left" w:pos="0"/>
        </w:tabs>
      </w:pPr>
      <w:r>
        <w:rPr>
          <w:rStyle w:val="FootnoteReference"/>
        </w:rPr>
        <w:footnoteRef/>
      </w:r>
      <w:r>
        <w:t xml:space="preserve"> 47 CFR § 1.719 (Commission procedure for informal complaints filed pursuant to section 258 of the Act); </w:t>
      </w:r>
      <w:r>
        <w:rPr>
          <w:i/>
        </w:rPr>
        <w:t>id</w:t>
      </w:r>
      <w:r>
        <w:t>. § 64.1150 (procedures for resolution of unauthorized changes in preferred carrier).</w:t>
      </w:r>
    </w:p>
  </w:footnote>
  <w:footnote w:id="16">
    <w:p w:rsidR="002B63B8">
      <w:pPr>
        <w:pStyle w:val="FootnoteText"/>
      </w:pPr>
      <w:r>
        <w:rPr>
          <w:rStyle w:val="FootnoteReference"/>
        </w:rPr>
        <w:footnoteRef/>
      </w:r>
      <w:r>
        <w:t xml:space="preserve"> </w:t>
      </w:r>
      <w:r>
        <w:t>Telplex</w:t>
      </w:r>
      <w:r>
        <w:t xml:space="preserve"> Response to Informal Complaint No. 3457066 (filed Sept. 18, 2019) (</w:t>
      </w:r>
      <w:r>
        <w:t>Telplex</w:t>
      </w:r>
      <w:r>
        <w:t xml:space="preserve"> Response).</w:t>
      </w:r>
    </w:p>
  </w:footnote>
  <w:footnote w:id="17">
    <w:p w:rsidR="009D72F3">
      <w:pPr>
        <w:pStyle w:val="FootnoteText"/>
      </w:pPr>
      <w:r>
        <w:rPr>
          <w:rStyle w:val="FootnoteReference"/>
        </w:rPr>
        <w:footnoteRef/>
      </w:r>
      <w:r>
        <w:t xml:space="preserve"> </w:t>
      </w:r>
      <w:r>
        <w:t>Telplex</w:t>
      </w:r>
      <w:r>
        <w:t xml:space="preserve"> Response at 5.</w:t>
      </w:r>
    </w:p>
  </w:footnote>
  <w:footnote w:id="18">
    <w:p w:rsidR="00D77547">
      <w:pPr>
        <w:pStyle w:val="FootnoteText"/>
      </w:pPr>
      <w:r>
        <w:rPr>
          <w:rStyle w:val="FootnoteReference"/>
        </w:rPr>
        <w:footnoteRef/>
      </w:r>
      <w:r>
        <w:t xml:space="preserve"> </w:t>
      </w:r>
      <w:r w:rsidRPr="002B63B8" w:rsidR="002B63B8">
        <w:rPr>
          <w:i/>
        </w:rPr>
        <w:t>Id</w:t>
      </w:r>
      <w:r w:rsidR="002B63B8">
        <w:t>.</w:t>
      </w:r>
      <w:r>
        <w:t xml:space="preserve"> at 1.  </w:t>
      </w:r>
    </w:p>
  </w:footnote>
  <w:footnote w:id="19">
    <w:p w:rsidR="002B63B8">
      <w:pPr>
        <w:pStyle w:val="FootnoteText"/>
      </w:pPr>
      <w:r>
        <w:rPr>
          <w:rStyle w:val="FootnoteReference"/>
        </w:rPr>
        <w:footnoteRef/>
      </w:r>
      <w:r>
        <w:t xml:space="preserve"> </w:t>
      </w:r>
      <w:r w:rsidRPr="002B63B8">
        <w:rPr>
          <w:i/>
        </w:rPr>
        <w:t>Id</w:t>
      </w:r>
      <w:r>
        <w:t>. at 4.</w:t>
      </w:r>
    </w:p>
  </w:footnote>
  <w:footnote w:id="20">
    <w:p w:rsidR="00D77547">
      <w:pPr>
        <w:pStyle w:val="FootnoteText"/>
      </w:pPr>
      <w:r>
        <w:rPr>
          <w:rStyle w:val="FootnoteReference"/>
        </w:rPr>
        <w:footnoteRef/>
      </w:r>
      <w:r>
        <w:t xml:space="preserve"> The only information </w:t>
      </w:r>
      <w:r>
        <w:t>Telplex</w:t>
      </w:r>
      <w:r>
        <w:t xml:space="preserve"> provided </w:t>
      </w:r>
      <w:r w:rsidR="002B63B8">
        <w:t xml:space="preserve">that </w:t>
      </w:r>
      <w:r>
        <w:t xml:space="preserve">related directly to the sales call was the name of the call center that contacted Complainant on behalf of </w:t>
      </w:r>
      <w:r>
        <w:t>Telplex</w:t>
      </w:r>
      <w:r>
        <w:t xml:space="preserve"> and the individual telemarketer’s name, Mercedes.  The TPV</w:t>
      </w:r>
      <w:r w:rsidR="002B63B8">
        <w:t xml:space="preserve"> recording</w:t>
      </w:r>
      <w:r>
        <w:t xml:space="preserve"> showed that the telemarketer who contacted Complainant was “Mr. Reynolds.”  </w:t>
      </w:r>
      <w:r w:rsidRPr="002B63B8">
        <w:rPr>
          <w:i/>
        </w:rPr>
        <w:t xml:space="preserve">See </w:t>
      </w:r>
      <w:r>
        <w:t xml:space="preserve">TPV provided with </w:t>
      </w:r>
      <w:r>
        <w:t>Telplex</w:t>
      </w:r>
      <w:r>
        <w:t xml:space="preserve"> </w:t>
      </w:r>
      <w:r w:rsidR="00F61D10">
        <w:t>R</w:t>
      </w:r>
      <w:r>
        <w:t xml:space="preserve">esponse.  </w:t>
      </w:r>
    </w:p>
  </w:footnote>
  <w:footnote w:id="21">
    <w:p w:rsidR="002F09DF">
      <w:pPr>
        <w:pStyle w:val="FootnoteText"/>
      </w:pPr>
      <w:r>
        <w:rPr>
          <w:rStyle w:val="FootnoteReference"/>
        </w:rPr>
        <w:footnoteRef/>
      </w:r>
      <w:r>
        <w:t xml:space="preserve"> </w:t>
      </w:r>
      <w:r w:rsidRPr="002F09DF">
        <w:rPr>
          <w:i/>
        </w:rPr>
        <w:t>2018 Slamming Order</w:t>
      </w:r>
      <w:r>
        <w:t xml:space="preserve">, 33 FCC </w:t>
      </w:r>
      <w:r>
        <w:t>Rcd</w:t>
      </w:r>
      <w:r>
        <w:t xml:space="preserve"> at </w:t>
      </w:r>
      <w:r w:rsidR="003B3670">
        <w:t>5779</w:t>
      </w:r>
      <w:r>
        <w:t xml:space="preserve">, para. 18 (citing </w:t>
      </w:r>
      <w:r w:rsidRPr="002F09DF">
        <w:rPr>
          <w:i/>
        </w:rPr>
        <w:t>Advantage Forfeiture Order</w:t>
      </w:r>
      <w:r>
        <w:t xml:space="preserve">, 32 FCC </w:t>
      </w:r>
      <w:r>
        <w:t>Rcd</w:t>
      </w:r>
      <w:r>
        <w:t xml:space="preserve"> </w:t>
      </w:r>
      <w:r w:rsidR="00263A71">
        <w:t>3723,</w:t>
      </w:r>
      <w:r>
        <w:t xml:space="preserve"> 3725-30</w:t>
      </w:r>
      <w:r w:rsidR="002C36F1">
        <w:t>,</w:t>
      </w:r>
      <w:r>
        <w:t xml:space="preserve"> paras. 7-13</w:t>
      </w:r>
      <w:r w:rsidR="00263A71">
        <w:t xml:space="preserve"> (2017)</w:t>
      </w:r>
      <w:r>
        <w:t xml:space="preserve"> (</w:t>
      </w:r>
      <w:r w:rsidR="00263A71">
        <w:t>finding that the carrier’s TPV recordings did not disprove that unlawful misrepresentations were made during the telemarketing calls and further, that questions posed during the separate TPV calls did not cure those misrepresentations)).</w:t>
      </w:r>
      <w:r>
        <w:t xml:space="preserve">  </w:t>
      </w:r>
    </w:p>
  </w:footnote>
  <w:footnote w:id="22">
    <w:p w:rsidR="00D54E72" w:rsidP="00D54E72">
      <w:pPr>
        <w:pStyle w:val="FootnoteText"/>
      </w:pPr>
      <w:r>
        <w:rPr>
          <w:rStyle w:val="FootnoteReference"/>
        </w:rPr>
        <w:footnoteRef/>
      </w:r>
      <w:r>
        <w:t xml:space="preserve"> If Complainant is unsatisfied with the resolution of the complaint, the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23">
    <w:p w:rsidR="00D20DC8" w:rsidP="00D20DC8">
      <w:pPr>
        <w:pStyle w:val="FootnoteText"/>
      </w:pPr>
      <w:r>
        <w:rPr>
          <w:rStyle w:val="FootnoteReference"/>
        </w:rPr>
        <w:footnoteRef/>
      </w:r>
      <w:r>
        <w:t xml:space="preserve"> </w:t>
      </w:r>
      <w:r>
        <w:rPr>
          <w:i/>
        </w:rPr>
        <w:t xml:space="preserve">See id. </w:t>
      </w:r>
      <w:r>
        <w:t>§ 64.1160(b).</w:t>
      </w:r>
    </w:p>
  </w:footnote>
  <w:footnote w:id="24">
    <w:p w:rsidR="00D20DC8" w:rsidP="00D20DC8">
      <w:pPr>
        <w:pStyle w:val="FootnoteText"/>
      </w:pPr>
      <w:r>
        <w:rPr>
          <w:rStyle w:val="FootnoteReference"/>
        </w:rPr>
        <w:footnoteRef/>
      </w:r>
      <w:r>
        <w:t xml:space="preserve"> </w:t>
      </w:r>
      <w:r>
        <w:rPr>
          <w:i/>
        </w:rPr>
        <w:t xml:space="preserve">See id. </w:t>
      </w:r>
      <w:r>
        <w:t>§ 64.1160(d).</w:t>
      </w:r>
    </w:p>
  </w:footnote>
  <w:footnote w:id="25">
    <w:p w:rsidR="00D20DC8" w:rsidP="00D20DC8">
      <w:pPr>
        <w:pStyle w:val="FootnoteText"/>
      </w:pPr>
      <w:r>
        <w:rPr>
          <w:rStyle w:val="FootnoteReference"/>
        </w:rPr>
        <w:footnoteRef/>
      </w:r>
      <w:r>
        <w:t xml:space="preserve"> </w:t>
      </w:r>
      <w:r>
        <w:rPr>
          <w:i/>
        </w:rPr>
        <w:t>See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38E2">
      <w:t>DA 19-</w:t>
    </w:r>
    <w:r w:rsidR="005638D9">
      <w:t>1059</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138E2">
      <w:rPr>
        <w:spacing w:val="-2"/>
      </w:rPr>
      <w:t>DA 19-</w:t>
    </w:r>
    <w:r w:rsidR="005638D9">
      <w:rPr>
        <w:spacing w:val="-2"/>
      </w:rPr>
      <w:t>1059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F2"/>
    <w:rsid w:val="000237AB"/>
    <w:rsid w:val="00036039"/>
    <w:rsid w:val="00037F90"/>
    <w:rsid w:val="000460DE"/>
    <w:rsid w:val="00060FC4"/>
    <w:rsid w:val="000875BF"/>
    <w:rsid w:val="00096D8C"/>
    <w:rsid w:val="000B22F5"/>
    <w:rsid w:val="000B4543"/>
    <w:rsid w:val="000C0B65"/>
    <w:rsid w:val="000E05FE"/>
    <w:rsid w:val="000E3D42"/>
    <w:rsid w:val="00106F6E"/>
    <w:rsid w:val="00122BD5"/>
    <w:rsid w:val="00133F79"/>
    <w:rsid w:val="00194A66"/>
    <w:rsid w:val="001A53ED"/>
    <w:rsid w:val="001B1CAF"/>
    <w:rsid w:val="001B7EAB"/>
    <w:rsid w:val="001C0B77"/>
    <w:rsid w:val="001D02F5"/>
    <w:rsid w:val="001D6BCF"/>
    <w:rsid w:val="001D73F3"/>
    <w:rsid w:val="001E01CA"/>
    <w:rsid w:val="00237F60"/>
    <w:rsid w:val="00263A71"/>
    <w:rsid w:val="00275CF5"/>
    <w:rsid w:val="0028301F"/>
    <w:rsid w:val="00285017"/>
    <w:rsid w:val="002A2D2E"/>
    <w:rsid w:val="002A45AF"/>
    <w:rsid w:val="002B63B8"/>
    <w:rsid w:val="002B6E9B"/>
    <w:rsid w:val="002C00E8"/>
    <w:rsid w:val="002C36F1"/>
    <w:rsid w:val="002F09DF"/>
    <w:rsid w:val="00305DCB"/>
    <w:rsid w:val="00311848"/>
    <w:rsid w:val="00324EF7"/>
    <w:rsid w:val="00342416"/>
    <w:rsid w:val="00343749"/>
    <w:rsid w:val="003660ED"/>
    <w:rsid w:val="00380442"/>
    <w:rsid w:val="003B0550"/>
    <w:rsid w:val="003B3670"/>
    <w:rsid w:val="003B694F"/>
    <w:rsid w:val="003D6481"/>
    <w:rsid w:val="003F171C"/>
    <w:rsid w:val="003F6DFB"/>
    <w:rsid w:val="00412FC5"/>
    <w:rsid w:val="00422276"/>
    <w:rsid w:val="004242F1"/>
    <w:rsid w:val="00445A00"/>
    <w:rsid w:val="00451B0F"/>
    <w:rsid w:val="004C2EE3"/>
    <w:rsid w:val="004C7C92"/>
    <w:rsid w:val="004E4A22"/>
    <w:rsid w:val="004F7A19"/>
    <w:rsid w:val="00511968"/>
    <w:rsid w:val="005328A1"/>
    <w:rsid w:val="0055614C"/>
    <w:rsid w:val="005638D9"/>
    <w:rsid w:val="0056687D"/>
    <w:rsid w:val="00566D06"/>
    <w:rsid w:val="00595EB8"/>
    <w:rsid w:val="005D1258"/>
    <w:rsid w:val="005D20F0"/>
    <w:rsid w:val="005E14C2"/>
    <w:rsid w:val="00607BA5"/>
    <w:rsid w:val="0061180A"/>
    <w:rsid w:val="00626EB6"/>
    <w:rsid w:val="00641F04"/>
    <w:rsid w:val="006533AA"/>
    <w:rsid w:val="00655D03"/>
    <w:rsid w:val="0067532A"/>
    <w:rsid w:val="00683388"/>
    <w:rsid w:val="00683F84"/>
    <w:rsid w:val="006A6A81"/>
    <w:rsid w:val="006B1727"/>
    <w:rsid w:val="006D19EC"/>
    <w:rsid w:val="006D44BD"/>
    <w:rsid w:val="006D7353"/>
    <w:rsid w:val="006F7393"/>
    <w:rsid w:val="0070224F"/>
    <w:rsid w:val="007115F7"/>
    <w:rsid w:val="00747C81"/>
    <w:rsid w:val="00785689"/>
    <w:rsid w:val="0079754B"/>
    <w:rsid w:val="007A1E6D"/>
    <w:rsid w:val="007B0EB2"/>
    <w:rsid w:val="007D10ED"/>
    <w:rsid w:val="007D357A"/>
    <w:rsid w:val="00810B6F"/>
    <w:rsid w:val="0081119C"/>
    <w:rsid w:val="00822CE0"/>
    <w:rsid w:val="00841AB1"/>
    <w:rsid w:val="00847D23"/>
    <w:rsid w:val="00856C22"/>
    <w:rsid w:val="00894893"/>
    <w:rsid w:val="008C68F1"/>
    <w:rsid w:val="008E3ACB"/>
    <w:rsid w:val="008F5FAB"/>
    <w:rsid w:val="008F7313"/>
    <w:rsid w:val="00912AF3"/>
    <w:rsid w:val="00921803"/>
    <w:rsid w:val="00926503"/>
    <w:rsid w:val="0093379B"/>
    <w:rsid w:val="009726D8"/>
    <w:rsid w:val="009D72F3"/>
    <w:rsid w:val="009D7308"/>
    <w:rsid w:val="009E714E"/>
    <w:rsid w:val="009F6F0E"/>
    <w:rsid w:val="009F76DB"/>
    <w:rsid w:val="00A138E2"/>
    <w:rsid w:val="00A32C3B"/>
    <w:rsid w:val="00A447E0"/>
    <w:rsid w:val="00A45F4F"/>
    <w:rsid w:val="00A600A9"/>
    <w:rsid w:val="00A87E8F"/>
    <w:rsid w:val="00AA55B7"/>
    <w:rsid w:val="00AA5B9E"/>
    <w:rsid w:val="00AB2407"/>
    <w:rsid w:val="00AB53DF"/>
    <w:rsid w:val="00AB71F2"/>
    <w:rsid w:val="00AE3A7B"/>
    <w:rsid w:val="00B07E5C"/>
    <w:rsid w:val="00B32DB6"/>
    <w:rsid w:val="00B73B55"/>
    <w:rsid w:val="00B76BB9"/>
    <w:rsid w:val="00B811F7"/>
    <w:rsid w:val="00B83BA2"/>
    <w:rsid w:val="00BA5BB7"/>
    <w:rsid w:val="00BA5DC6"/>
    <w:rsid w:val="00BA6196"/>
    <w:rsid w:val="00BA7C1E"/>
    <w:rsid w:val="00BC6D8C"/>
    <w:rsid w:val="00BF1E19"/>
    <w:rsid w:val="00C34006"/>
    <w:rsid w:val="00C36B4C"/>
    <w:rsid w:val="00C426B1"/>
    <w:rsid w:val="00C66160"/>
    <w:rsid w:val="00C721AC"/>
    <w:rsid w:val="00C74A8A"/>
    <w:rsid w:val="00C80625"/>
    <w:rsid w:val="00C90D6A"/>
    <w:rsid w:val="00CA247E"/>
    <w:rsid w:val="00CA2F57"/>
    <w:rsid w:val="00CA6D21"/>
    <w:rsid w:val="00CA752A"/>
    <w:rsid w:val="00CC5A9C"/>
    <w:rsid w:val="00CC72B6"/>
    <w:rsid w:val="00CE5BF4"/>
    <w:rsid w:val="00CF2AA9"/>
    <w:rsid w:val="00D0218D"/>
    <w:rsid w:val="00D20DC8"/>
    <w:rsid w:val="00D25FB5"/>
    <w:rsid w:val="00D26A9E"/>
    <w:rsid w:val="00D33E46"/>
    <w:rsid w:val="00D44223"/>
    <w:rsid w:val="00D46AA1"/>
    <w:rsid w:val="00D54E72"/>
    <w:rsid w:val="00D77547"/>
    <w:rsid w:val="00DA2529"/>
    <w:rsid w:val="00DB130A"/>
    <w:rsid w:val="00DB138B"/>
    <w:rsid w:val="00DB2EBB"/>
    <w:rsid w:val="00DB3243"/>
    <w:rsid w:val="00DB4AEC"/>
    <w:rsid w:val="00DC10A1"/>
    <w:rsid w:val="00DC655F"/>
    <w:rsid w:val="00DD0B59"/>
    <w:rsid w:val="00DD7EBD"/>
    <w:rsid w:val="00DF62B6"/>
    <w:rsid w:val="00E015BA"/>
    <w:rsid w:val="00E07225"/>
    <w:rsid w:val="00E342E6"/>
    <w:rsid w:val="00E5409F"/>
    <w:rsid w:val="00EB19A2"/>
    <w:rsid w:val="00EE6488"/>
    <w:rsid w:val="00EF3395"/>
    <w:rsid w:val="00F021FA"/>
    <w:rsid w:val="00F053DA"/>
    <w:rsid w:val="00F16BEA"/>
    <w:rsid w:val="00F22472"/>
    <w:rsid w:val="00F26FF8"/>
    <w:rsid w:val="00F576B9"/>
    <w:rsid w:val="00F61D10"/>
    <w:rsid w:val="00F62E97"/>
    <w:rsid w:val="00F64209"/>
    <w:rsid w:val="00F93BF5"/>
    <w:rsid w:val="00FD2C3C"/>
    <w:rsid w:val="00FE69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link w:val="Subtitle"/>
    <w:rsid w:val="00AB71F2"/>
    <w:rPr>
      <w:b/>
      <w:kern w:val="28"/>
      <w:sz w:val="22"/>
    </w:rPr>
  </w:style>
  <w:style w:type="character" w:styleId="CommentReference">
    <w:name w:val="annotation reference"/>
    <w:rsid w:val="006D19EC"/>
    <w:rPr>
      <w:sz w:val="16"/>
      <w:szCs w:val="16"/>
    </w:rPr>
  </w:style>
  <w:style w:type="paragraph" w:styleId="CommentText">
    <w:name w:val="annotation text"/>
    <w:basedOn w:val="Normal"/>
    <w:link w:val="CommentTextChar"/>
    <w:rsid w:val="006D19EC"/>
    <w:rPr>
      <w:sz w:val="20"/>
    </w:rPr>
  </w:style>
  <w:style w:type="character" w:customStyle="1" w:styleId="CommentTextChar">
    <w:name w:val="Comment Text Char"/>
    <w:link w:val="CommentText"/>
    <w:rsid w:val="006D19EC"/>
    <w:rPr>
      <w:snapToGrid w:val="0"/>
      <w:kern w:val="28"/>
    </w:rPr>
  </w:style>
  <w:style w:type="paragraph" w:styleId="CommentSubject">
    <w:name w:val="annotation subject"/>
    <w:basedOn w:val="CommentText"/>
    <w:next w:val="CommentText"/>
    <w:link w:val="CommentSubjectChar"/>
    <w:rsid w:val="006D19EC"/>
    <w:rPr>
      <w:b/>
      <w:bCs/>
    </w:rPr>
  </w:style>
  <w:style w:type="character" w:customStyle="1" w:styleId="CommentSubjectChar">
    <w:name w:val="Comment Subject Char"/>
    <w:link w:val="CommentSubject"/>
    <w:rsid w:val="006D19EC"/>
    <w:rPr>
      <w:b/>
      <w:bCs/>
      <w:snapToGrid w:val="0"/>
      <w:kern w:val="28"/>
    </w:rPr>
  </w:style>
  <w:style w:type="paragraph" w:styleId="Revision">
    <w:name w:val="Revision"/>
    <w:hidden/>
    <w:uiPriority w:val="99"/>
    <w:semiHidden/>
    <w:rsid w:val="006D19EC"/>
    <w:rPr>
      <w:snapToGrid w:val="0"/>
      <w:kern w:val="28"/>
      <w:sz w:val="22"/>
    </w:rPr>
  </w:style>
  <w:style w:type="paragraph" w:styleId="BalloonText">
    <w:name w:val="Balloon Text"/>
    <w:basedOn w:val="Normal"/>
    <w:link w:val="BalloonTextChar"/>
    <w:rsid w:val="006D19EC"/>
    <w:rPr>
      <w:rFonts w:ascii="Segoe UI" w:hAnsi="Segoe UI" w:cs="Segoe UI"/>
      <w:sz w:val="18"/>
      <w:szCs w:val="18"/>
    </w:rPr>
  </w:style>
  <w:style w:type="character" w:customStyle="1" w:styleId="BalloonTextChar">
    <w:name w:val="Balloon Text Char"/>
    <w:link w:val="BalloonText"/>
    <w:rsid w:val="006D19EC"/>
    <w:rPr>
      <w:rFonts w:ascii="Segoe UI" w:hAnsi="Segoe UI" w:cs="Segoe UI"/>
      <w:snapToGrid w:val="0"/>
      <w:kern w:val="28"/>
      <w:sz w:val="18"/>
      <w:szCs w:val="18"/>
    </w:rPr>
  </w:style>
  <w:style w:type="paragraph" w:styleId="NormalWeb">
    <w:name w:val="Normal (Web)"/>
    <w:basedOn w:val="Normal"/>
    <w:uiPriority w:val="99"/>
    <w:unhideWhenUsed/>
    <w:rsid w:val="00BA7C1E"/>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