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7482E">
      <w:pPr>
        <w:pStyle w:val="Title"/>
        <w:rPr>
          <w:szCs w:val="22"/>
        </w:rPr>
      </w:pPr>
    </w:p>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DE1F08">
        <w:tblPrEx>
          <w:tblW w:w="0" w:type="auto"/>
          <w:tblLayout w:type="fixed"/>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Telplex</w:t>
            </w:r>
            <w:r>
              <w:rPr>
                <w:szCs w:val="22"/>
              </w:rPr>
              <w:t xml:space="preserve"> Communications</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329</w:t>
            </w:r>
            <w:r w:rsidR="00206248">
              <w:rPr>
                <w:szCs w:val="22"/>
              </w:rPr>
              <w:t>5023</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9C3ADD">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77536C">
        <w:rPr>
          <w:b/>
          <w:spacing w:val="-2"/>
          <w:szCs w:val="22"/>
        </w:rPr>
        <w:t>October</w:t>
      </w:r>
      <w:r w:rsidR="001E68F1">
        <w:rPr>
          <w:b/>
          <w:spacing w:val="-2"/>
          <w:szCs w:val="22"/>
        </w:rPr>
        <w:t xml:space="preserve"> </w:t>
      </w:r>
      <w:r w:rsidR="00CE67D5">
        <w:rPr>
          <w:b/>
          <w:spacing w:val="-2"/>
          <w:szCs w:val="22"/>
        </w:rPr>
        <w:t>22</w:t>
      </w:r>
      <w:r w:rsidR="001E68F1">
        <w:rPr>
          <w:b/>
          <w:spacing w:val="-2"/>
          <w:szCs w:val="22"/>
        </w:rPr>
        <w:t>,</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77536C">
        <w:rPr>
          <w:b/>
          <w:spacing w:val="-2"/>
          <w:szCs w:val="22"/>
        </w:rPr>
        <w:t>October</w:t>
      </w:r>
      <w:r w:rsidR="00B47339">
        <w:rPr>
          <w:b/>
          <w:spacing w:val="-2"/>
          <w:szCs w:val="22"/>
        </w:rPr>
        <w:t xml:space="preserve"> </w:t>
      </w:r>
      <w:r w:rsidR="00CE67D5">
        <w:rPr>
          <w:b/>
          <w:spacing w:val="-2"/>
          <w:szCs w:val="22"/>
        </w:rPr>
        <w:t>22</w:t>
      </w:r>
      <w:bookmarkStart w:id="0" w:name="_GoBack"/>
      <w:bookmarkEnd w:id="0"/>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Telplex</w:t>
      </w:r>
      <w:r w:rsidR="009C3ADD">
        <w:rPr>
          <w:szCs w:val="22"/>
        </w:rPr>
        <w:t xml:space="preserve"> Communications </w:t>
      </w:r>
      <w:r w:rsidRPr="006D5400" w:rsidR="001204B1">
        <w:rPr>
          <w:szCs w:val="22"/>
        </w:rPr>
        <w:t>(</w:t>
      </w:r>
      <w:r w:rsidR="009C3ADD">
        <w:rPr>
          <w:szCs w:val="22"/>
        </w:rPr>
        <w:t>Telplex</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9C3ADD">
        <w:rPr>
          <w:szCs w:val="22"/>
        </w:rPr>
        <w:t>Telplex</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6A7E1F"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also alleges that </w:t>
      </w:r>
      <w:r w:rsidR="00664DC0">
        <w:rPr>
          <w:szCs w:val="22"/>
        </w:rPr>
        <w:t>Telplex’s</w:t>
      </w:r>
      <w:r w:rsidR="00664DC0">
        <w:rPr>
          <w:szCs w:val="22"/>
        </w:rPr>
        <w:t xml:space="preserve"> telemarketer </w:t>
      </w:r>
      <w:r>
        <w:rPr>
          <w:szCs w:val="22"/>
        </w:rPr>
        <w:t xml:space="preserve">claimed they “were part of AT&amp;T” and that </w:t>
      </w:r>
      <w:r w:rsidR="003B1201">
        <w:rPr>
          <w:szCs w:val="22"/>
        </w:rPr>
        <w:t>Complainant</w:t>
      </w:r>
      <w:r>
        <w:rPr>
          <w:szCs w:val="22"/>
        </w:rPr>
        <w:t xml:space="preserve"> “was required to allow them to ‘upgrade’ [her] or else lose [her] AT&amp;T service.”</w:t>
      </w:r>
      <w:r>
        <w:rPr>
          <w:rStyle w:val="FootnoteReference"/>
          <w:szCs w:val="22"/>
        </w:rPr>
        <w:footnoteReference w:id="9"/>
      </w:r>
      <w:r>
        <w:rPr>
          <w:szCs w:val="22"/>
        </w:rPr>
        <w:t xml:space="preserve">  Complainant further state</w:t>
      </w:r>
      <w:r w:rsidR="003B18E7">
        <w:rPr>
          <w:szCs w:val="22"/>
        </w:rPr>
        <w:t>s</w:t>
      </w:r>
      <w:r>
        <w:rPr>
          <w:szCs w:val="22"/>
        </w:rPr>
        <w:t xml:space="preserve"> that she complied “because I wanted the calls to stop and my AT&amp;T service to remain un</w:t>
      </w:r>
      <w:r w:rsidR="00155E02">
        <w:rPr>
          <w:szCs w:val="22"/>
        </w:rPr>
        <w:t>in</w:t>
      </w:r>
      <w:r>
        <w:rPr>
          <w:szCs w:val="22"/>
        </w:rPr>
        <w:t>terrupted.”  She also state</w:t>
      </w:r>
      <w:r w:rsidR="00EA494C">
        <w:rPr>
          <w:szCs w:val="22"/>
        </w:rPr>
        <w:t>s</w:t>
      </w:r>
      <w:r>
        <w:rPr>
          <w:szCs w:val="22"/>
        </w:rPr>
        <w:t xml:space="preserve"> that she did not realize her lines had been s</w:t>
      </w:r>
      <w:r w:rsidR="004E5EFB">
        <w:rPr>
          <w:szCs w:val="22"/>
        </w:rPr>
        <w:t>witched</w:t>
      </w:r>
      <w:r>
        <w:rPr>
          <w:szCs w:val="22"/>
        </w:rPr>
        <w:t xml:space="preserve"> until she received a past-due bill from </w:t>
      </w:r>
      <w:r>
        <w:rPr>
          <w:szCs w:val="22"/>
        </w:rPr>
        <w:t>Telplex</w:t>
      </w:r>
      <w:r>
        <w:rPr>
          <w:szCs w:val="22"/>
        </w:rPr>
        <w:t>.</w:t>
      </w:r>
      <w:r>
        <w:rPr>
          <w:rStyle w:val="FootnoteReference"/>
          <w:szCs w:val="22"/>
        </w:rPr>
        <w:footnoteReference w:id="10"/>
      </w:r>
      <w:r>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9C3ADD">
        <w:t>Telplex</w:t>
      </w:r>
      <w:r>
        <w:t xml:space="preserve"> of the complaint</w:t>
      </w:r>
      <w:r w:rsidR="00753932">
        <w:t>.</w:t>
      </w:r>
      <w:r>
        <w:rPr>
          <w:rStyle w:val="FootnoteReference"/>
        </w:rPr>
        <w:footnoteReference w:id="11"/>
      </w:r>
      <w:r w:rsidR="00C61A5E">
        <w:t xml:space="preserve">  </w:t>
      </w:r>
      <w:r w:rsidR="00C61A5E">
        <w:t>Telplex</w:t>
      </w:r>
      <w:r w:rsidR="00C61A5E">
        <w:t xml:space="preserve"> responded to the complaint, stating that authorization was received and confirmed </w:t>
      </w:r>
      <w:r w:rsidR="00F072FA">
        <w:t>through</w:t>
      </w:r>
      <w:r w:rsidR="00C61A5E">
        <w:t xml:space="preserve"> a letter of a</w:t>
      </w:r>
      <w:r w:rsidR="00EA494C">
        <w:t>gency</w:t>
      </w:r>
      <w:r w:rsidR="00C61A5E">
        <w:t xml:space="preserve"> (LOA).</w:t>
      </w:r>
      <w:r>
        <w:rPr>
          <w:rStyle w:val="FootnoteReference"/>
        </w:rPr>
        <w:footnoteReference w:id="12"/>
      </w:r>
      <w:r w:rsidR="00C61A5E">
        <w:t xml:space="preserve">  </w:t>
      </w:r>
      <w:r w:rsidR="00C61A5E">
        <w:t>Telplex</w:t>
      </w:r>
      <w:r w:rsidR="00C61A5E">
        <w:t xml:space="preserve"> provided a copy of the LOA.</w:t>
      </w:r>
      <w:r w:rsidR="00753932">
        <w:t xml:space="preserve">  </w:t>
      </w:r>
      <w:r w:rsidR="00753932">
        <w:t>Telplex</w:t>
      </w:r>
      <w:r w:rsidR="00753932">
        <w:t xml:space="preserve"> also </w:t>
      </w:r>
      <w:r w:rsidR="004C104C">
        <w:t>asserted</w:t>
      </w:r>
      <w:r w:rsidR="00753932">
        <w:t xml:space="preserve"> that Complainant was switched to a Voice over Internet Protocol (VoIP) service, </w:t>
      </w:r>
      <w:r w:rsidR="003B1201">
        <w:t>“</w:t>
      </w:r>
      <w:r w:rsidR="00753932">
        <w:t>which is not subject to the Commission’s slamming rules.</w:t>
      </w:r>
      <w:r w:rsidR="003B1201">
        <w:t>”</w:t>
      </w:r>
      <w:r>
        <w:rPr>
          <w:rStyle w:val="FootnoteReference"/>
        </w:rPr>
        <w:footnoteReference w:id="13"/>
      </w:r>
      <w:r w:rsidR="00753932">
        <w:t xml:space="preserve">  The Division confirmed with Complainant’s local exchange carrier that </w:t>
      </w:r>
      <w:r w:rsidR="003B1201">
        <w:t xml:space="preserve">Complainant’s lines were ported to </w:t>
      </w:r>
      <w:r w:rsidR="003B1201">
        <w:t>Telplex</w:t>
      </w:r>
      <w:r w:rsidR="003B1201">
        <w:t xml:space="preserve"> and converted to a V</w:t>
      </w:r>
      <w:r w:rsidR="004E5EFB">
        <w:t>oIP service</w:t>
      </w:r>
      <w:r w:rsidR="00753932">
        <w:t xml:space="preserve">.  </w:t>
      </w:r>
      <w:r w:rsidRPr="00CB0D3D" w:rsidR="00CB0D3D">
        <w:rPr>
          <w:szCs w:val="22"/>
        </w:rPr>
        <w:t>T</w:t>
      </w:r>
      <w:r w:rsidR="005E456F">
        <w:rPr>
          <w:szCs w:val="22"/>
        </w:rPr>
        <w:t>o date, t</w:t>
      </w:r>
      <w:r w:rsidRPr="00CB0D3D" w:rsidR="00CB0D3D">
        <w:rPr>
          <w:szCs w:val="22"/>
        </w:rPr>
        <w:t>he Commission’s carrier change rules have not been extended to VoIP service.</w:t>
      </w:r>
      <w:r>
        <w:rPr>
          <w:rStyle w:val="FootnoteReference"/>
        </w:rPr>
        <w:footnoteReference w:id="14"/>
      </w:r>
      <w:r w:rsidR="00CB0D3D">
        <w:rPr>
          <w:sz w:val="24"/>
        </w:rPr>
        <w:t xml:space="preserve"> </w:t>
      </w:r>
      <w:r w:rsidR="00BA241C">
        <w:rPr>
          <w:sz w:val="24"/>
        </w:rPr>
        <w:t xml:space="preserve"> </w:t>
      </w:r>
      <w:r w:rsidR="00C12167">
        <w:t xml:space="preserve">Thus, based on the evidence in the record, we conclude that </w:t>
      </w:r>
      <w:r w:rsidR="009C3ADD">
        <w:t>Telplex</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5"/>
      </w:r>
      <w:r w:rsidRPr="006D5400" w:rsidR="00454DF3">
        <w:rPr>
          <w:szCs w:val="22"/>
        </w:rPr>
        <w:t xml:space="preserve">  </w:t>
      </w:r>
    </w:p>
    <w:p w:rsidR="003D14B8"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Pr="006D5400" w:rsidR="00E84E6A">
        <w:rPr>
          <w:szCs w:val="22"/>
        </w:rPr>
        <w:t xml:space="preserve"> </w:t>
      </w:r>
      <w:r w:rsidRPr="006D5400" w:rsidR="002137D1">
        <w:rPr>
          <w:szCs w:val="22"/>
        </w:rPr>
        <w:t>IS</w:t>
      </w:r>
      <w:r w:rsidRPr="006D5400">
        <w:rPr>
          <w:szCs w:val="22"/>
        </w:rPr>
        <w:t xml:space="preserve"> DENIED.</w:t>
      </w:r>
    </w:p>
    <w:p w:rsidR="00454DF3" w:rsidRPr="006D5400" w:rsidP="003D14B8">
      <w:pPr>
        <w:spacing w:after="120"/>
        <w:jc w:val="left"/>
        <w:rPr>
          <w:szCs w:val="22"/>
        </w:rPr>
      </w:pPr>
      <w:r>
        <w:rPr>
          <w:szCs w:val="22"/>
        </w:rPr>
        <w:br w:type="page"/>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RPr="006D5400" w:rsidP="003D14B8">
      <w:pPr>
        <w:spacing w:after="120"/>
        <w:ind w:left="3600" w:right="270"/>
        <w:rPr>
          <w:szCs w:val="22"/>
        </w:rPr>
      </w:pPr>
      <w:r w:rsidRPr="006D5400">
        <w:rPr>
          <w:szCs w:val="22"/>
        </w:rPr>
        <w:t>FEDERAL COMMUNICATIONS COMMISSION</w:t>
      </w:r>
    </w:p>
    <w:p w:rsidR="0063192B" w:rsidRPr="006D5400" w:rsidP="003D14B8">
      <w:pPr>
        <w:ind w:left="2880" w:right="270" w:firstLine="720"/>
        <w:rPr>
          <w:szCs w:val="22"/>
        </w:rPr>
      </w:pPr>
      <w:r>
        <w:rPr>
          <w:noProof/>
          <w:szCs w:val="22"/>
        </w:rPr>
        <w:drawing>
          <wp:inline distT="0" distB="0" distL="0" distR="0">
            <wp:extent cx="2628900" cy="1476375"/>
            <wp:effectExtent l="0" t="0" r="0" b="0"/>
            <wp:docPr id="2" name="Picture 1" descr="sig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19082" name="Picture 1" descr="sig 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8900" cy="1476375"/>
                    </a:xfrm>
                    <a:prstGeom prst="rect">
                      <a:avLst/>
                    </a:prstGeom>
                    <a:noFill/>
                    <a:ln>
                      <a:noFill/>
                    </a:ln>
                  </pic:spPr>
                </pic:pic>
              </a:graphicData>
            </a:graphic>
          </wp:inline>
        </w:drawing>
      </w:r>
      <w:r w:rsidRPr="006D5400" w:rsidR="002137D1">
        <w:rPr>
          <w:szCs w:val="22"/>
        </w:rPr>
        <w:t xml:space="preserve"> </w:t>
      </w:r>
    </w:p>
    <w:p w:rsidR="00313EF3" w:rsidRPr="006D5400" w:rsidP="00C5129C">
      <w:pPr>
        <w:rPr>
          <w:szCs w:val="22"/>
        </w:rPr>
      </w:pPr>
      <w:r w:rsidRPr="006D5400">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CE1">
      <w:r>
        <w:separator/>
      </w:r>
    </w:p>
  </w:footnote>
  <w:footnote w:type="continuationSeparator" w:id="1">
    <w:p w:rsidR="00D43CE1">
      <w:pPr>
        <w:rPr>
          <w:sz w:val="20"/>
        </w:rPr>
      </w:pPr>
      <w:r>
        <w:rPr>
          <w:sz w:val="20"/>
        </w:rPr>
        <w:t xml:space="preserve">(Continued from previous page)  </w:t>
      </w:r>
      <w:r>
        <w:rPr>
          <w:sz w:val="20"/>
        </w:rPr>
        <w:separator/>
      </w:r>
    </w:p>
  </w:footnote>
  <w:footnote w:type="continuationNotice" w:id="2">
    <w:p w:rsidR="00D43CE1" w:rsidP="006D5400">
      <w:pPr>
        <w:jc w:val="right"/>
        <w:rPr>
          <w:sz w:val="20"/>
        </w:rPr>
      </w:pPr>
      <w:r>
        <w:rPr>
          <w:sz w:val="20"/>
        </w:rPr>
        <w:t>(continued…)</w:t>
      </w:r>
    </w:p>
  </w:footnote>
  <w:footnote w:id="3">
    <w:p w:rsidR="00DE7276" w:rsidP="00DE7276">
      <w:pPr>
        <w:pStyle w:val="FootnoteText"/>
        <w:spacing w:after="120"/>
      </w:pPr>
      <w:r>
        <w:rPr>
          <w:rStyle w:val="FootnoteReference"/>
        </w:rPr>
        <w:footnoteRef/>
      </w:r>
      <w:r>
        <w:t xml:space="preserve"> </w:t>
      </w:r>
      <w:r w:rsidRPr="00140317">
        <w:rPr>
          <w:i/>
        </w:rPr>
        <w:t xml:space="preserve">See </w:t>
      </w:r>
      <w:r>
        <w:t xml:space="preserve">Informal Complaint No. 3295023 (filed May 28, 2019); </w:t>
      </w:r>
      <w:r w:rsidRPr="00DE7276">
        <w:rPr>
          <w:i/>
        </w:rPr>
        <w:t>see also</w:t>
      </w:r>
      <w:r>
        <w:t xml:space="preserve"> 47 CFR §§ 64.1100 – 64.1190.</w:t>
      </w:r>
    </w:p>
  </w:footnote>
  <w:footnote w:id="4">
    <w:p w:rsidR="00EC4494" w:rsidP="005D03A5">
      <w:pPr>
        <w:pStyle w:val="FootnoteText"/>
        <w:spacing w:after="120"/>
      </w:pPr>
      <w:r>
        <w:rPr>
          <w:rStyle w:val="FootnoteReference"/>
        </w:rPr>
        <w:footnoteRef/>
      </w:r>
      <w:r>
        <w:t xml:space="preserve"> 47 U.S.C. § 258(a).</w:t>
      </w:r>
    </w:p>
  </w:footnote>
  <w:footnote w:id="5">
    <w:p w:rsidR="00EC4494" w:rsidP="005D03A5">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6A7E1F">
      <w:pPr>
        <w:pStyle w:val="FootnoteText"/>
        <w:spacing w:after="120"/>
      </w:pPr>
      <w:r>
        <w:rPr>
          <w:rStyle w:val="FootnoteReference"/>
        </w:rPr>
        <w:footnoteRef/>
      </w:r>
      <w:r>
        <w:t xml:space="preserve"> </w:t>
      </w:r>
      <w:r w:rsidRPr="00664DC0">
        <w:rPr>
          <w:i/>
        </w:rPr>
        <w:t>See</w:t>
      </w:r>
      <w:r>
        <w:t xml:space="preserve"> Informal Complaint No. 3295023.</w:t>
      </w:r>
    </w:p>
  </w:footnote>
  <w:footnote w:id="9">
    <w:p w:rsidR="003B1201" w:rsidP="003B1201">
      <w:pPr>
        <w:pStyle w:val="FootnoteText"/>
        <w:spacing w:after="120"/>
      </w:pPr>
      <w:r>
        <w:rPr>
          <w:rStyle w:val="FootnoteReference"/>
        </w:rPr>
        <w:footnoteRef/>
      </w:r>
      <w:r>
        <w:t xml:space="preserve"> </w:t>
      </w:r>
      <w:r w:rsidRPr="003B1201">
        <w:rPr>
          <w:i/>
        </w:rPr>
        <w:t>Id</w:t>
      </w:r>
      <w:r>
        <w:t>.</w:t>
      </w:r>
    </w:p>
  </w:footnote>
  <w:footnote w:id="10">
    <w:p w:rsidR="006A7E1F" w:rsidP="003B1201">
      <w:pPr>
        <w:pStyle w:val="FootnoteText"/>
        <w:spacing w:after="120"/>
      </w:pPr>
      <w:r>
        <w:rPr>
          <w:rStyle w:val="FootnoteReference"/>
        </w:rPr>
        <w:footnoteRef/>
      </w:r>
      <w:r>
        <w:t xml:space="preserve"> </w:t>
      </w:r>
      <w:r w:rsidRPr="006A7E1F">
        <w:rPr>
          <w:i/>
        </w:rPr>
        <w:t>Id</w:t>
      </w:r>
      <w:r>
        <w:t>.</w:t>
      </w:r>
    </w:p>
  </w:footnote>
  <w:footnote w:id="11">
    <w:p w:rsidR="00C335BA" w:rsidP="006A7E1F">
      <w:pPr>
        <w:pStyle w:val="FootnoteText"/>
        <w:spacing w:after="120"/>
      </w:pPr>
      <w:r>
        <w:rPr>
          <w:rStyle w:val="FootnoteReference"/>
        </w:rPr>
        <w:footnoteRef/>
      </w:r>
      <w:r>
        <w:t xml:space="preserve"> </w:t>
      </w:r>
      <w:r w:rsidR="00225606">
        <w:t>47 CFR</w:t>
      </w:r>
      <w:r w:rsidRPr="005D03A5" w:rsidR="005D03A5">
        <w:rPr>
          <w:i/>
        </w:rPr>
        <w:t>.</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C61A5E">
      <w:pPr>
        <w:pStyle w:val="FootnoteText"/>
        <w:spacing w:after="120"/>
      </w:pPr>
      <w:r>
        <w:rPr>
          <w:rStyle w:val="FootnoteReference"/>
        </w:rPr>
        <w:footnoteRef/>
      </w:r>
      <w:r>
        <w:t xml:space="preserve"> </w:t>
      </w:r>
      <w:r w:rsidRPr="005D03A5">
        <w:rPr>
          <w:i/>
        </w:rPr>
        <w:t>See</w:t>
      </w:r>
      <w:r>
        <w:t xml:space="preserve"> </w:t>
      </w:r>
      <w:r>
        <w:t>Telplex</w:t>
      </w:r>
      <w:r>
        <w:t xml:space="preserve"> Response to Informal Complaint No. 3295023</w:t>
      </w:r>
      <w:r>
        <w:rPr>
          <w:szCs w:val="22"/>
        </w:rPr>
        <w:t xml:space="preserve"> (filed July 3</w:t>
      </w:r>
      <w:r>
        <w:t>, 2019).</w:t>
      </w:r>
    </w:p>
  </w:footnote>
  <w:footnote w:id="13">
    <w:p w:rsidR="00753932" w:rsidP="00753932">
      <w:pPr>
        <w:pStyle w:val="FootnoteText"/>
        <w:spacing w:after="120"/>
      </w:pPr>
      <w:r>
        <w:rPr>
          <w:rStyle w:val="FootnoteReference"/>
        </w:rPr>
        <w:footnoteRef/>
      </w:r>
      <w:r>
        <w:t xml:space="preserve"> </w:t>
      </w:r>
      <w:r w:rsidR="00C61A5E">
        <w:rPr>
          <w:i/>
        </w:rPr>
        <w:t>Id.</w:t>
      </w:r>
    </w:p>
  </w:footnote>
  <w:footnote w:id="14">
    <w:p w:rsidR="00CB0D3D" w:rsidP="006A7E1F">
      <w:pPr>
        <w:pStyle w:val="FootnoteText"/>
        <w:spacing w:after="120"/>
      </w:pPr>
      <w:r>
        <w:rPr>
          <w:rStyle w:val="FootnoteReference"/>
        </w:rPr>
        <w:footnoteRef/>
      </w:r>
      <w:r w:rsidR="006173F3">
        <w:t xml:space="preserve"> </w:t>
      </w:r>
      <w:r w:rsidR="00926833">
        <w:rPr>
          <w:snapToGrid w:val="0"/>
        </w:rPr>
        <w:t xml:space="preserve">Section 64.1120 of our rules requires that any “telecommunications carrier” must adhere to authorization and verification procedures prescribed by the Commission when submitting and executing carrier changes.  47 CFR § 64.1120.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 paras. 71-72 (2004).   </w:t>
      </w:r>
    </w:p>
  </w:footnote>
  <w:footnote w:id="15">
    <w:p w:rsidR="00EC4494" w:rsidP="006A7E1F">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CE67D5">
      <w:rPr>
        <w:b/>
        <w:spacing w:val="-2"/>
      </w:rPr>
      <w:t>1060</w:t>
    </w:r>
  </w:p>
  <w:p w:rsidR="00EC449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CE67D5">
      <w:t>1060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43B"/>
    <w:rsid w:val="000228F2"/>
    <w:rsid w:val="00023C8E"/>
    <w:rsid w:val="0002797A"/>
    <w:rsid w:val="00034B5F"/>
    <w:rsid w:val="000436C2"/>
    <w:rsid w:val="0005108E"/>
    <w:rsid w:val="000609D0"/>
    <w:rsid w:val="000715F6"/>
    <w:rsid w:val="000B7A45"/>
    <w:rsid w:val="000D6FF3"/>
    <w:rsid w:val="000E6D51"/>
    <w:rsid w:val="00113639"/>
    <w:rsid w:val="001204B1"/>
    <w:rsid w:val="00120529"/>
    <w:rsid w:val="00140317"/>
    <w:rsid w:val="001414E3"/>
    <w:rsid w:val="00142D97"/>
    <w:rsid w:val="00155E02"/>
    <w:rsid w:val="00162727"/>
    <w:rsid w:val="001717CE"/>
    <w:rsid w:val="00190163"/>
    <w:rsid w:val="00195161"/>
    <w:rsid w:val="001A0861"/>
    <w:rsid w:val="001A7A2C"/>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31FD"/>
    <w:rsid w:val="002439C1"/>
    <w:rsid w:val="002479AB"/>
    <w:rsid w:val="00265A91"/>
    <w:rsid w:val="00283DF4"/>
    <w:rsid w:val="002A3B0B"/>
    <w:rsid w:val="002C332E"/>
    <w:rsid w:val="002F290B"/>
    <w:rsid w:val="002F4B88"/>
    <w:rsid w:val="00310BAA"/>
    <w:rsid w:val="00313EF3"/>
    <w:rsid w:val="003427C1"/>
    <w:rsid w:val="00353700"/>
    <w:rsid w:val="00360D54"/>
    <w:rsid w:val="00385691"/>
    <w:rsid w:val="003A1EBA"/>
    <w:rsid w:val="003B1201"/>
    <w:rsid w:val="003B18E7"/>
    <w:rsid w:val="003C5092"/>
    <w:rsid w:val="003D14B8"/>
    <w:rsid w:val="003D32F8"/>
    <w:rsid w:val="003E5B69"/>
    <w:rsid w:val="003F7602"/>
    <w:rsid w:val="003F7D44"/>
    <w:rsid w:val="00422B9B"/>
    <w:rsid w:val="00454DF3"/>
    <w:rsid w:val="0047594E"/>
    <w:rsid w:val="004914A3"/>
    <w:rsid w:val="004A1686"/>
    <w:rsid w:val="004C104C"/>
    <w:rsid w:val="004C3D84"/>
    <w:rsid w:val="004C7040"/>
    <w:rsid w:val="004E5EFB"/>
    <w:rsid w:val="00510F6C"/>
    <w:rsid w:val="005265B9"/>
    <w:rsid w:val="005561FD"/>
    <w:rsid w:val="00563A90"/>
    <w:rsid w:val="00566D7F"/>
    <w:rsid w:val="005772B2"/>
    <w:rsid w:val="00586E06"/>
    <w:rsid w:val="005A6A46"/>
    <w:rsid w:val="005B2F11"/>
    <w:rsid w:val="005B796C"/>
    <w:rsid w:val="005C203E"/>
    <w:rsid w:val="005C4098"/>
    <w:rsid w:val="005D03A5"/>
    <w:rsid w:val="005D78D7"/>
    <w:rsid w:val="005E456F"/>
    <w:rsid w:val="005E78CA"/>
    <w:rsid w:val="006173F3"/>
    <w:rsid w:val="00622CD2"/>
    <w:rsid w:val="00623693"/>
    <w:rsid w:val="00623E7A"/>
    <w:rsid w:val="0062716E"/>
    <w:rsid w:val="0063192B"/>
    <w:rsid w:val="00664DC0"/>
    <w:rsid w:val="00676CB9"/>
    <w:rsid w:val="00685FD6"/>
    <w:rsid w:val="00697A80"/>
    <w:rsid w:val="006A7E1F"/>
    <w:rsid w:val="006B0F44"/>
    <w:rsid w:val="006D5400"/>
    <w:rsid w:val="006E4C47"/>
    <w:rsid w:val="00727230"/>
    <w:rsid w:val="007368C0"/>
    <w:rsid w:val="0074254C"/>
    <w:rsid w:val="00750DAE"/>
    <w:rsid w:val="00753932"/>
    <w:rsid w:val="007546EE"/>
    <w:rsid w:val="00774600"/>
    <w:rsid w:val="0077536C"/>
    <w:rsid w:val="00775878"/>
    <w:rsid w:val="00780927"/>
    <w:rsid w:val="007831C1"/>
    <w:rsid w:val="00795CE2"/>
    <w:rsid w:val="007A0472"/>
    <w:rsid w:val="007B65C8"/>
    <w:rsid w:val="007B67D3"/>
    <w:rsid w:val="007D2B0E"/>
    <w:rsid w:val="007D7FBB"/>
    <w:rsid w:val="007E0B90"/>
    <w:rsid w:val="007E5AF2"/>
    <w:rsid w:val="008101C7"/>
    <w:rsid w:val="00816066"/>
    <w:rsid w:val="0083033B"/>
    <w:rsid w:val="00831E67"/>
    <w:rsid w:val="00870845"/>
    <w:rsid w:val="00876880"/>
    <w:rsid w:val="008E6C8C"/>
    <w:rsid w:val="008F1B97"/>
    <w:rsid w:val="008F47DB"/>
    <w:rsid w:val="008F4E04"/>
    <w:rsid w:val="00901A56"/>
    <w:rsid w:val="00916312"/>
    <w:rsid w:val="00926833"/>
    <w:rsid w:val="00927544"/>
    <w:rsid w:val="00941EA5"/>
    <w:rsid w:val="0097045E"/>
    <w:rsid w:val="0097482E"/>
    <w:rsid w:val="00983C4E"/>
    <w:rsid w:val="009848B2"/>
    <w:rsid w:val="009A1060"/>
    <w:rsid w:val="009C3ADD"/>
    <w:rsid w:val="009C46EC"/>
    <w:rsid w:val="009C6B1F"/>
    <w:rsid w:val="009D3461"/>
    <w:rsid w:val="009E4E88"/>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47339"/>
    <w:rsid w:val="00BA0244"/>
    <w:rsid w:val="00BA241C"/>
    <w:rsid w:val="00BC643E"/>
    <w:rsid w:val="00BD2451"/>
    <w:rsid w:val="00BE1976"/>
    <w:rsid w:val="00C04D95"/>
    <w:rsid w:val="00C12167"/>
    <w:rsid w:val="00C335BA"/>
    <w:rsid w:val="00C3654F"/>
    <w:rsid w:val="00C403BC"/>
    <w:rsid w:val="00C447BD"/>
    <w:rsid w:val="00C47746"/>
    <w:rsid w:val="00C5129C"/>
    <w:rsid w:val="00C53380"/>
    <w:rsid w:val="00C61A5E"/>
    <w:rsid w:val="00C81A17"/>
    <w:rsid w:val="00CA575D"/>
    <w:rsid w:val="00CB0D3D"/>
    <w:rsid w:val="00CB11F0"/>
    <w:rsid w:val="00CB1F6D"/>
    <w:rsid w:val="00CD65A9"/>
    <w:rsid w:val="00CD6BB8"/>
    <w:rsid w:val="00CE67D5"/>
    <w:rsid w:val="00CF10D8"/>
    <w:rsid w:val="00D042D4"/>
    <w:rsid w:val="00D07B67"/>
    <w:rsid w:val="00D12F96"/>
    <w:rsid w:val="00D20C3C"/>
    <w:rsid w:val="00D31805"/>
    <w:rsid w:val="00D32700"/>
    <w:rsid w:val="00D43CE1"/>
    <w:rsid w:val="00D612CA"/>
    <w:rsid w:val="00D67F06"/>
    <w:rsid w:val="00D74200"/>
    <w:rsid w:val="00D7613F"/>
    <w:rsid w:val="00D814A4"/>
    <w:rsid w:val="00D820D6"/>
    <w:rsid w:val="00D8360E"/>
    <w:rsid w:val="00D85AC6"/>
    <w:rsid w:val="00DB373D"/>
    <w:rsid w:val="00DB40D9"/>
    <w:rsid w:val="00DB4EAF"/>
    <w:rsid w:val="00DC450D"/>
    <w:rsid w:val="00DD26EF"/>
    <w:rsid w:val="00DD5275"/>
    <w:rsid w:val="00DE04F2"/>
    <w:rsid w:val="00DE1F08"/>
    <w:rsid w:val="00DE60CD"/>
    <w:rsid w:val="00DE7276"/>
    <w:rsid w:val="00E0746D"/>
    <w:rsid w:val="00E12641"/>
    <w:rsid w:val="00E12DF2"/>
    <w:rsid w:val="00E35C29"/>
    <w:rsid w:val="00E430A7"/>
    <w:rsid w:val="00E53AD1"/>
    <w:rsid w:val="00E54D57"/>
    <w:rsid w:val="00E62B5D"/>
    <w:rsid w:val="00E67930"/>
    <w:rsid w:val="00E84E6A"/>
    <w:rsid w:val="00E961F6"/>
    <w:rsid w:val="00EA494C"/>
    <w:rsid w:val="00EA795E"/>
    <w:rsid w:val="00EB38E9"/>
    <w:rsid w:val="00EC408A"/>
    <w:rsid w:val="00EC4494"/>
    <w:rsid w:val="00EC75FC"/>
    <w:rsid w:val="00ED65C0"/>
    <w:rsid w:val="00EF15C3"/>
    <w:rsid w:val="00F072FA"/>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