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38D5" w:rsidRPr="007E1912">
      <w:pPr>
        <w:pStyle w:val="Header"/>
        <w:tabs>
          <w:tab w:val="clear" w:pos="4320"/>
          <w:tab w:val="clear" w:pos="8640"/>
        </w:tabs>
        <w:rPr>
          <w:sz w:val="24"/>
          <w:szCs w:val="24"/>
        </w:rPr>
        <w:sectPr>
          <w:headerReference w:type="first" r:id="rId5"/>
          <w:footerReference w:type="first" r:id="rId6"/>
          <w:pgSz w:w="12240" w:h="15840" w:code="1"/>
          <w:pgMar w:top="720" w:right="720" w:bottom="1440" w:left="720" w:header="720" w:footer="1440" w:gutter="0"/>
          <w:cols w:space="720"/>
          <w:titlePg/>
        </w:sectPr>
      </w:pPr>
      <w:bookmarkStart w:id="1" w:name="_GoBack"/>
      <w:bookmarkEnd w:id="1"/>
    </w:p>
    <w:p w:rsidR="00E44E11" w:rsidP="00E44E11">
      <w:pPr>
        <w:ind w:left="6480"/>
        <w:jc w:val="right"/>
        <w:rPr>
          <w:b/>
          <w:szCs w:val="22"/>
        </w:rPr>
      </w:pPr>
      <w:r>
        <w:rPr>
          <w:b/>
          <w:szCs w:val="22"/>
        </w:rPr>
        <w:t>DA Number: 19-</w:t>
      </w:r>
      <w:r w:rsidR="009C6384">
        <w:rPr>
          <w:b/>
          <w:szCs w:val="22"/>
        </w:rPr>
        <w:t>1067</w:t>
      </w:r>
    </w:p>
    <w:p w:rsidR="00E44E11" w:rsidP="00E44E11">
      <w:pPr>
        <w:ind w:left="6480"/>
        <w:rPr>
          <w:b/>
          <w:szCs w:val="22"/>
        </w:rPr>
      </w:pPr>
    </w:p>
    <w:p w:rsidR="00647D26" w:rsidP="00E44E11">
      <w:pPr>
        <w:jc w:val="right"/>
        <w:rPr>
          <w:b/>
          <w:sz w:val="28"/>
          <w:szCs w:val="28"/>
        </w:rPr>
      </w:pPr>
      <w:r>
        <w:rPr>
          <w:b/>
          <w:szCs w:val="22"/>
        </w:rPr>
        <w:t>R</w:t>
      </w:r>
      <w:r w:rsidRPr="004B4885">
        <w:rPr>
          <w:b/>
          <w:szCs w:val="22"/>
        </w:rPr>
        <w:t xml:space="preserve">eleased </w:t>
      </w:r>
      <w:r>
        <w:rPr>
          <w:b/>
          <w:szCs w:val="22"/>
        </w:rPr>
        <w:t>October 23</w:t>
      </w:r>
      <w:r w:rsidRPr="004B4885">
        <w:rPr>
          <w:b/>
          <w:szCs w:val="22"/>
        </w:rPr>
        <w:t>, 201</w:t>
      </w:r>
      <w:r>
        <w:rPr>
          <w:b/>
          <w:szCs w:val="22"/>
        </w:rPr>
        <w:t>9</w:t>
      </w:r>
      <w:r w:rsidRPr="00F90614">
        <w:rPr>
          <w:b/>
          <w:sz w:val="28"/>
          <w:szCs w:val="28"/>
        </w:rPr>
        <w:t xml:space="preserve"> </w:t>
      </w:r>
    </w:p>
    <w:p w:rsidR="00E44E11" w:rsidRPr="00F90614" w:rsidP="00E44E11">
      <w:pPr>
        <w:rPr>
          <w:b/>
          <w:sz w:val="28"/>
          <w:szCs w:val="28"/>
        </w:rPr>
      </w:pPr>
    </w:p>
    <w:p w:rsidR="0025455D" w:rsidP="00647D26">
      <w:pPr>
        <w:jc w:val="center"/>
        <w:rPr>
          <w:b/>
          <w:sz w:val="24"/>
          <w:szCs w:val="24"/>
        </w:rPr>
      </w:pPr>
    </w:p>
    <w:p w:rsidR="0005039C" w:rsidP="00647D26">
      <w:pPr>
        <w:jc w:val="center"/>
        <w:rPr>
          <w:b/>
          <w:sz w:val="28"/>
          <w:szCs w:val="28"/>
        </w:rPr>
      </w:pPr>
      <w:r>
        <w:rPr>
          <w:b/>
          <w:sz w:val="28"/>
          <w:szCs w:val="28"/>
        </w:rPr>
        <w:t>PUBLICATION OF</w:t>
      </w:r>
      <w:r>
        <w:rPr>
          <w:b/>
          <w:sz w:val="28"/>
          <w:szCs w:val="28"/>
        </w:rPr>
        <w:t xml:space="preserve"> </w:t>
      </w:r>
      <w:r w:rsidR="007545FE">
        <w:rPr>
          <w:b/>
          <w:sz w:val="28"/>
          <w:szCs w:val="28"/>
        </w:rPr>
        <w:t xml:space="preserve">REGULATORY FEE </w:t>
      </w:r>
      <w:r>
        <w:rPr>
          <w:b/>
          <w:sz w:val="28"/>
          <w:szCs w:val="28"/>
        </w:rPr>
        <w:t>FURTHER NOTICE OF PROPOSED RULEMAKING IN THE FEDERAL REGISTER</w:t>
      </w:r>
    </w:p>
    <w:p w:rsidR="00F6582A" w:rsidP="00647D26">
      <w:pPr>
        <w:jc w:val="center"/>
        <w:rPr>
          <w:b/>
          <w:sz w:val="28"/>
          <w:szCs w:val="28"/>
        </w:rPr>
      </w:pPr>
    </w:p>
    <w:p w:rsidR="00647D26" w:rsidP="00F6582A">
      <w:pPr>
        <w:rPr>
          <w:b/>
          <w:sz w:val="40"/>
          <w:szCs w:val="40"/>
        </w:rPr>
      </w:pPr>
    </w:p>
    <w:p w:rsidR="00647D26" w:rsidP="00336A60">
      <w:pPr>
        <w:shd w:val="clear" w:color="auto" w:fill="FFFFFF"/>
        <w:rPr>
          <w:sz w:val="24"/>
          <w:szCs w:val="24"/>
        </w:rPr>
      </w:pPr>
      <w:r>
        <w:rPr>
          <w:sz w:val="24"/>
          <w:szCs w:val="24"/>
        </w:rPr>
        <w:t xml:space="preserve">On </w:t>
      </w:r>
      <w:r w:rsidR="008865D5">
        <w:rPr>
          <w:sz w:val="24"/>
          <w:szCs w:val="24"/>
        </w:rPr>
        <w:t>August</w:t>
      </w:r>
      <w:r w:rsidR="004B51FD">
        <w:rPr>
          <w:sz w:val="24"/>
          <w:szCs w:val="24"/>
        </w:rPr>
        <w:t xml:space="preserve"> </w:t>
      </w:r>
      <w:r w:rsidR="00A544B3">
        <w:rPr>
          <w:sz w:val="24"/>
          <w:szCs w:val="24"/>
        </w:rPr>
        <w:t>27</w:t>
      </w:r>
      <w:r>
        <w:rPr>
          <w:sz w:val="24"/>
          <w:szCs w:val="24"/>
        </w:rPr>
        <w:t>, 201</w:t>
      </w:r>
      <w:r w:rsidR="00713B20">
        <w:rPr>
          <w:sz w:val="24"/>
          <w:szCs w:val="24"/>
        </w:rPr>
        <w:t>9</w:t>
      </w:r>
      <w:r>
        <w:rPr>
          <w:sz w:val="24"/>
          <w:szCs w:val="24"/>
        </w:rPr>
        <w:t>, the Commission released</w:t>
      </w:r>
      <w:r w:rsidR="002C5256">
        <w:rPr>
          <w:sz w:val="24"/>
          <w:szCs w:val="24"/>
        </w:rPr>
        <w:t xml:space="preserve"> </w:t>
      </w:r>
      <w:r w:rsidRPr="002C5256">
        <w:rPr>
          <w:i/>
          <w:sz w:val="24"/>
          <w:szCs w:val="24"/>
        </w:rPr>
        <w:t xml:space="preserve">Assessment of Regulatory Fees for Fiscal Year </w:t>
      </w:r>
      <w:r w:rsidR="00324C9F">
        <w:rPr>
          <w:i/>
          <w:sz w:val="24"/>
          <w:szCs w:val="24"/>
        </w:rPr>
        <w:t xml:space="preserve">(FY) </w:t>
      </w:r>
      <w:r w:rsidRPr="002C5256">
        <w:rPr>
          <w:i/>
          <w:sz w:val="24"/>
          <w:szCs w:val="24"/>
        </w:rPr>
        <w:t>201</w:t>
      </w:r>
      <w:r w:rsidR="00713B20">
        <w:rPr>
          <w:i/>
          <w:sz w:val="24"/>
          <w:szCs w:val="24"/>
        </w:rPr>
        <w:t>9</w:t>
      </w:r>
      <w:r>
        <w:rPr>
          <w:sz w:val="24"/>
          <w:szCs w:val="24"/>
        </w:rPr>
        <w:t>, Report and Order</w:t>
      </w:r>
      <w:r w:rsidR="00713B20">
        <w:rPr>
          <w:sz w:val="24"/>
          <w:szCs w:val="24"/>
        </w:rPr>
        <w:t xml:space="preserve"> and Further Notice of Proposed Rulemaking</w:t>
      </w:r>
      <w:r w:rsidR="00A62BFF">
        <w:rPr>
          <w:sz w:val="24"/>
          <w:szCs w:val="24"/>
        </w:rPr>
        <w:t xml:space="preserve"> (</w:t>
      </w:r>
      <w:r w:rsidRPr="0025455D" w:rsidR="00A62BFF">
        <w:rPr>
          <w:i/>
          <w:sz w:val="24"/>
          <w:szCs w:val="24"/>
        </w:rPr>
        <w:t>FY 201</w:t>
      </w:r>
      <w:r w:rsidR="00713B20">
        <w:rPr>
          <w:i/>
          <w:sz w:val="24"/>
          <w:szCs w:val="24"/>
        </w:rPr>
        <w:t>9</w:t>
      </w:r>
      <w:r w:rsidRPr="0025455D" w:rsidR="00A62BFF">
        <w:rPr>
          <w:i/>
          <w:sz w:val="24"/>
          <w:szCs w:val="24"/>
        </w:rPr>
        <w:t xml:space="preserve"> Regulatory Fees Report and Order</w:t>
      </w:r>
      <w:r w:rsidR="00A62BFF">
        <w:rPr>
          <w:sz w:val="24"/>
          <w:szCs w:val="24"/>
        </w:rPr>
        <w:t>)</w:t>
      </w:r>
      <w:r>
        <w:rPr>
          <w:rStyle w:val="FootnoteReference"/>
          <w:sz w:val="24"/>
          <w:szCs w:val="24"/>
        </w:rPr>
        <w:footnoteReference w:id="2"/>
      </w:r>
      <w:r w:rsidR="00607AB7">
        <w:rPr>
          <w:sz w:val="24"/>
          <w:szCs w:val="24"/>
        </w:rPr>
        <w:t xml:space="preserve">.  </w:t>
      </w:r>
      <w:r w:rsidR="00336A60">
        <w:rPr>
          <w:sz w:val="24"/>
          <w:szCs w:val="24"/>
        </w:rPr>
        <w:t xml:space="preserve">The </w:t>
      </w:r>
      <w:r w:rsidR="00336A60">
        <w:rPr>
          <w:i/>
          <w:sz w:val="24"/>
          <w:szCs w:val="24"/>
        </w:rPr>
        <w:t xml:space="preserve">Report and Order </w:t>
      </w:r>
      <w:r w:rsidR="00336A60">
        <w:rPr>
          <w:sz w:val="24"/>
          <w:szCs w:val="24"/>
        </w:rPr>
        <w:t xml:space="preserve">portion of the rulemaking was published in the </w:t>
      </w:r>
      <w:r w:rsidRPr="00336A60" w:rsidR="00336A60">
        <w:rPr>
          <w:i/>
          <w:sz w:val="24"/>
          <w:szCs w:val="24"/>
        </w:rPr>
        <w:t>Federal Register</w:t>
      </w:r>
      <w:r w:rsidR="00336A60">
        <w:rPr>
          <w:sz w:val="24"/>
          <w:szCs w:val="24"/>
        </w:rPr>
        <w:t xml:space="preserve"> on September 26, 2019.  The </w:t>
      </w:r>
      <w:r w:rsidR="00336A60">
        <w:rPr>
          <w:i/>
          <w:sz w:val="24"/>
          <w:szCs w:val="24"/>
        </w:rPr>
        <w:t xml:space="preserve">Further Notice of Proposed Rulemaking </w:t>
      </w:r>
      <w:r w:rsidR="00336A60">
        <w:rPr>
          <w:sz w:val="24"/>
          <w:szCs w:val="24"/>
        </w:rPr>
        <w:t xml:space="preserve">portion of the rulemaking </w:t>
      </w:r>
      <w:r w:rsidR="00E44E11">
        <w:rPr>
          <w:sz w:val="24"/>
          <w:szCs w:val="24"/>
        </w:rPr>
        <w:t>was</w:t>
      </w:r>
      <w:r w:rsidR="00336A60">
        <w:rPr>
          <w:sz w:val="24"/>
          <w:szCs w:val="24"/>
        </w:rPr>
        <w:t xml:space="preserve"> published on October 23, 2019.  Comments are due on November 22, 2019</w:t>
      </w:r>
      <w:r w:rsidR="00A046C2">
        <w:rPr>
          <w:sz w:val="24"/>
          <w:szCs w:val="24"/>
        </w:rPr>
        <w:t>,</w:t>
      </w:r>
      <w:r w:rsidR="00336A60">
        <w:rPr>
          <w:sz w:val="24"/>
          <w:szCs w:val="24"/>
        </w:rPr>
        <w:t xml:space="preserve"> and reply comments are due on December 23, 2019.</w:t>
      </w:r>
    </w:p>
    <w:p w:rsidR="00336A60" w:rsidP="00336A60">
      <w:pPr>
        <w:shd w:val="clear" w:color="auto" w:fill="FFFFFF"/>
        <w:rPr>
          <w:sz w:val="28"/>
          <w:szCs w:val="28"/>
        </w:rPr>
      </w:pPr>
    </w:p>
    <w:p w:rsidR="00647D26" w:rsidP="00647D26">
      <w:pPr>
        <w:pStyle w:val="NormalWeb"/>
        <w:shd w:val="clear" w:color="auto" w:fill="FFFFFF"/>
        <w:spacing w:before="0" w:beforeAutospacing="0" w:after="0" w:afterAutospacing="0"/>
      </w:pPr>
    </w:p>
    <w:p w:rsidR="00647D26" w:rsidP="00647D26">
      <w:pPr>
        <w:rPr>
          <w:sz w:val="24"/>
          <w:szCs w:val="24"/>
        </w:rPr>
      </w:pPr>
    </w:p>
    <w:p w:rsidR="00647D26" w:rsidP="00647D26">
      <w:pPr>
        <w:pStyle w:val="NormalWeb"/>
        <w:shd w:val="clear" w:color="auto" w:fill="FFFFFF"/>
        <w:spacing w:line="236" w:lineRule="atLeast"/>
        <w:jc w:val="center"/>
      </w:pPr>
    </w:p>
    <w:p w:rsidR="00647D26" w:rsidP="00647D26">
      <w:pPr>
        <w:pStyle w:val="NormalWeb"/>
        <w:shd w:val="clear" w:color="auto" w:fill="FFFFFF"/>
        <w:spacing w:line="236" w:lineRule="atLeast"/>
        <w:jc w:val="center"/>
      </w:pPr>
      <w:r>
        <w:t>- FCC -</w:t>
      </w:r>
    </w:p>
    <w:p w:rsidR="00D12A41" w:rsidRPr="00467B94" w:rsidP="00647D26">
      <w:pPr>
        <w:spacing w:before="120"/>
        <w:jc w:val="center"/>
        <w:rPr>
          <w:sz w:val="24"/>
          <w:szCs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F35" w:rsidRPr="009C0F35">
    <w:pPr>
      <w:pStyle w:val="Footer"/>
      <w:rPr>
        <w:b/>
        <w:i/>
      </w:rPr>
    </w:pPr>
  </w:p>
  <w:p w:rsidR="009C0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025B">
      <w:r>
        <w:separator/>
      </w:r>
    </w:p>
  </w:footnote>
  <w:footnote w:type="continuationSeparator" w:id="1">
    <w:p w:rsidR="0009025B">
      <w:r>
        <w:continuationSeparator/>
      </w:r>
    </w:p>
  </w:footnote>
  <w:footnote w:id="2">
    <w:p w:rsidR="004A0640" w:rsidP="004A0640">
      <w:pPr>
        <w:pStyle w:val="FootnoteText"/>
        <w:ind w:left="630"/>
      </w:pPr>
      <w:r>
        <w:rPr>
          <w:rStyle w:val="FootnoteReference"/>
        </w:rPr>
        <w:footnoteRef/>
      </w:r>
      <w:r>
        <w:t xml:space="preserve"> </w:t>
      </w:r>
      <w:r w:rsidR="00607AB7">
        <w:t xml:space="preserve">The </w:t>
      </w:r>
      <w:r w:rsidR="00607AB7">
        <w:rPr>
          <w:i/>
        </w:rPr>
        <w:t xml:space="preserve">Report and Order </w:t>
      </w:r>
      <w:r w:rsidR="00607AB7">
        <w:t xml:space="preserve">portion was published in the Federal Register on September 26, 2019, </w:t>
      </w:r>
      <w:r>
        <w:t>8</w:t>
      </w:r>
      <w:r w:rsidR="005764C8">
        <w:t>4</w:t>
      </w:r>
      <w:r>
        <w:t xml:space="preserve"> FR </w:t>
      </w:r>
      <w:r w:rsidR="005764C8">
        <w:t>50890</w:t>
      </w:r>
      <w:r w:rsidR="000764C5">
        <w:t xml:space="preserve"> (September </w:t>
      </w:r>
      <w:r w:rsidR="005764C8">
        <w:t>26</w:t>
      </w:r>
      <w:r w:rsidR="000764C5">
        <w: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8D5">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220980</wp:posOffset>
          </wp:positionH>
          <wp:positionV relativeFrom="paragraph">
            <wp:posOffset>-311150</wp:posOffset>
          </wp:positionV>
          <wp:extent cx="530225" cy="530225"/>
          <wp:effectExtent l="0" t="0" r="3175" b="3175"/>
          <wp:wrapTopAndBottom/>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79827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4C38D5">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13335</wp:posOffset>
              </wp:positionV>
              <wp:extent cx="3108960" cy="6858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858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38D5">
                          <w:pPr>
                            <w:rPr>
                              <w:rFonts w:ascii="Arial" w:hAnsi="Arial"/>
                              <w:b/>
                            </w:rPr>
                          </w:pPr>
                          <w:r>
                            <w:rPr>
                              <w:rFonts w:ascii="Arial" w:hAnsi="Arial"/>
                              <w:b/>
                            </w:rPr>
                            <w:t>Federal Communications Commission</w:t>
                          </w:r>
                        </w:p>
                        <w:p w:rsidR="004C38D5">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4C38D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4pt;margin-top:1.05pt;margin-left:42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4C38D5">
                    <w:pPr>
                      <w:rPr>
                        <w:rFonts w:ascii="Arial" w:hAnsi="Arial"/>
                        <w:b/>
                      </w:rPr>
                    </w:pPr>
                    <w:r>
                      <w:rPr>
                        <w:rFonts w:ascii="Arial" w:hAnsi="Arial"/>
                        <w:b/>
                      </w:rPr>
                      <w:t>Federal Communications Commission</w:t>
                    </w:r>
                  </w:p>
                  <w:p w:rsidR="004C38D5">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4C38D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6A5902">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sidR="006A5902">
      <w:rPr>
        <w:noProof/>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38D5">
                          <w:pPr>
                            <w:spacing w:before="40"/>
                            <w:jc w:val="right"/>
                            <w:rPr>
                              <w:rFonts w:ascii="Arial" w:hAnsi="Arial"/>
                              <w:b/>
                              <w:sz w:val="16"/>
                            </w:rPr>
                          </w:pPr>
                          <w:r>
                            <w:rPr>
                              <w:rFonts w:ascii="Arial" w:hAnsi="Arial"/>
                              <w:b/>
                              <w:sz w:val="16"/>
                            </w:rPr>
                            <w:t>News Media Information 202 / 418-0500</w:t>
                          </w:r>
                        </w:p>
                        <w:p w:rsidR="004C38D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38D5">
                          <w:pPr>
                            <w:jc w:val="right"/>
                            <w:rPr>
                              <w:rFonts w:ascii="Arial" w:hAnsi="Arial"/>
                              <w:b/>
                              <w:sz w:val="16"/>
                            </w:rPr>
                          </w:pPr>
                          <w:r>
                            <w:rPr>
                              <w:rFonts w:ascii="Arial" w:hAnsi="Arial"/>
                              <w:b/>
                              <w:sz w:val="16"/>
                            </w:rPr>
                            <w:t>TTY: 1-888-835-5322</w:t>
                          </w:r>
                        </w:p>
                        <w:p w:rsidR="004C38D5">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C38D5">
                    <w:pPr>
                      <w:spacing w:before="40"/>
                      <w:jc w:val="right"/>
                      <w:rPr>
                        <w:rFonts w:ascii="Arial" w:hAnsi="Arial"/>
                        <w:b/>
                        <w:sz w:val="16"/>
                      </w:rPr>
                    </w:pPr>
                    <w:r>
                      <w:rPr>
                        <w:rFonts w:ascii="Arial" w:hAnsi="Arial"/>
                        <w:b/>
                        <w:sz w:val="16"/>
                      </w:rPr>
                      <w:t>News Media Information 202 / 418-0500</w:t>
                    </w:r>
                  </w:p>
                  <w:p w:rsidR="004C38D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38D5">
                    <w:pPr>
                      <w:jc w:val="right"/>
                      <w:rPr>
                        <w:rFonts w:ascii="Arial" w:hAnsi="Arial"/>
                        <w:b/>
                        <w:sz w:val="16"/>
                      </w:rPr>
                    </w:pPr>
                    <w:r>
                      <w:rPr>
                        <w:rFonts w:ascii="Arial" w:hAnsi="Arial"/>
                        <w:b/>
                        <w:sz w:val="16"/>
                      </w:rPr>
                      <w:t>TTY: 1-888-835-5322</w:t>
                    </w:r>
                  </w:p>
                  <w:p w:rsidR="004C38D5">
                    <w:pPr>
                      <w:jc w:val="right"/>
                    </w:pPr>
                  </w:p>
                </w:txbxContent>
              </v:textbox>
            </v:shape>
          </w:pict>
        </mc:Fallback>
      </mc:AlternateContent>
    </w:r>
  </w:p>
  <w:p w:rsidR="004C38D5">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A2768"/>
    <w:multiLevelType w:val="hybridMultilevel"/>
    <w:tmpl w:val="31CE0F14"/>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87F2B0A"/>
    <w:multiLevelType w:val="hybridMultilevel"/>
    <w:tmpl w:val="C8DAD9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95E0400"/>
    <w:multiLevelType w:val="hybridMultilevel"/>
    <w:tmpl w:val="FBE05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41"/>
    <w:rsid w:val="00024724"/>
    <w:rsid w:val="00025053"/>
    <w:rsid w:val="00035C04"/>
    <w:rsid w:val="0005039C"/>
    <w:rsid w:val="00067544"/>
    <w:rsid w:val="000764C5"/>
    <w:rsid w:val="0009025B"/>
    <w:rsid w:val="000E0565"/>
    <w:rsid w:val="000E769F"/>
    <w:rsid w:val="000F15FC"/>
    <w:rsid w:val="000F1804"/>
    <w:rsid w:val="00117EA4"/>
    <w:rsid w:val="001309CE"/>
    <w:rsid w:val="00142E29"/>
    <w:rsid w:val="001C65E3"/>
    <w:rsid w:val="001C688D"/>
    <w:rsid w:val="001D3D20"/>
    <w:rsid w:val="001D67D8"/>
    <w:rsid w:val="00201B3C"/>
    <w:rsid w:val="00205BCC"/>
    <w:rsid w:val="002169B0"/>
    <w:rsid w:val="00225799"/>
    <w:rsid w:val="0025455D"/>
    <w:rsid w:val="00261E7F"/>
    <w:rsid w:val="00264B86"/>
    <w:rsid w:val="002654F8"/>
    <w:rsid w:val="002955C3"/>
    <w:rsid w:val="002B33D7"/>
    <w:rsid w:val="002B7A54"/>
    <w:rsid w:val="002C5256"/>
    <w:rsid w:val="00303622"/>
    <w:rsid w:val="00324C9F"/>
    <w:rsid w:val="00336A60"/>
    <w:rsid w:val="0036532D"/>
    <w:rsid w:val="003729F7"/>
    <w:rsid w:val="003A04C2"/>
    <w:rsid w:val="003B070B"/>
    <w:rsid w:val="003C1058"/>
    <w:rsid w:val="003D36DC"/>
    <w:rsid w:val="003E6AFE"/>
    <w:rsid w:val="003F3979"/>
    <w:rsid w:val="00467B94"/>
    <w:rsid w:val="004A0640"/>
    <w:rsid w:val="004A6118"/>
    <w:rsid w:val="004A66FB"/>
    <w:rsid w:val="004B4885"/>
    <w:rsid w:val="004B51FD"/>
    <w:rsid w:val="004C33EF"/>
    <w:rsid w:val="004C38D5"/>
    <w:rsid w:val="004C419B"/>
    <w:rsid w:val="004C5BE0"/>
    <w:rsid w:val="005051A4"/>
    <w:rsid w:val="005122E8"/>
    <w:rsid w:val="00534612"/>
    <w:rsid w:val="00546B6E"/>
    <w:rsid w:val="00555F24"/>
    <w:rsid w:val="005631EB"/>
    <w:rsid w:val="005764C8"/>
    <w:rsid w:val="005828E7"/>
    <w:rsid w:val="00584ED3"/>
    <w:rsid w:val="005C28AC"/>
    <w:rsid w:val="005E1A59"/>
    <w:rsid w:val="005E2F52"/>
    <w:rsid w:val="005E7C26"/>
    <w:rsid w:val="00607AB7"/>
    <w:rsid w:val="006276E4"/>
    <w:rsid w:val="00647651"/>
    <w:rsid w:val="00647D26"/>
    <w:rsid w:val="00650AA1"/>
    <w:rsid w:val="00667E87"/>
    <w:rsid w:val="00671D2D"/>
    <w:rsid w:val="006751BA"/>
    <w:rsid w:val="00692A21"/>
    <w:rsid w:val="006A5902"/>
    <w:rsid w:val="006A60D9"/>
    <w:rsid w:val="006B007D"/>
    <w:rsid w:val="00701FED"/>
    <w:rsid w:val="00713B20"/>
    <w:rsid w:val="007243BE"/>
    <w:rsid w:val="007545FE"/>
    <w:rsid w:val="00761536"/>
    <w:rsid w:val="00771D67"/>
    <w:rsid w:val="007A4C99"/>
    <w:rsid w:val="007E1912"/>
    <w:rsid w:val="007F14D2"/>
    <w:rsid w:val="00800C22"/>
    <w:rsid w:val="00804FBE"/>
    <w:rsid w:val="00823DCE"/>
    <w:rsid w:val="00834FAA"/>
    <w:rsid w:val="008513F6"/>
    <w:rsid w:val="00877C78"/>
    <w:rsid w:val="008865D5"/>
    <w:rsid w:val="008A6FDC"/>
    <w:rsid w:val="008C03B2"/>
    <w:rsid w:val="008F66D0"/>
    <w:rsid w:val="00901D18"/>
    <w:rsid w:val="00936F6A"/>
    <w:rsid w:val="009504BD"/>
    <w:rsid w:val="00957F06"/>
    <w:rsid w:val="00981EDF"/>
    <w:rsid w:val="00995AE7"/>
    <w:rsid w:val="009A47C6"/>
    <w:rsid w:val="009B73A4"/>
    <w:rsid w:val="009C0F35"/>
    <w:rsid w:val="009C228B"/>
    <w:rsid w:val="009C3B93"/>
    <w:rsid w:val="009C6384"/>
    <w:rsid w:val="009D0636"/>
    <w:rsid w:val="009F6C19"/>
    <w:rsid w:val="00A046C2"/>
    <w:rsid w:val="00A22D99"/>
    <w:rsid w:val="00A2498E"/>
    <w:rsid w:val="00A27620"/>
    <w:rsid w:val="00A276AD"/>
    <w:rsid w:val="00A3594E"/>
    <w:rsid w:val="00A4042A"/>
    <w:rsid w:val="00A544B3"/>
    <w:rsid w:val="00A6137C"/>
    <w:rsid w:val="00A62BFF"/>
    <w:rsid w:val="00A6515F"/>
    <w:rsid w:val="00A77A1B"/>
    <w:rsid w:val="00AA0C82"/>
    <w:rsid w:val="00AA5499"/>
    <w:rsid w:val="00AB1B06"/>
    <w:rsid w:val="00AD695E"/>
    <w:rsid w:val="00AE2C1F"/>
    <w:rsid w:val="00B23DAE"/>
    <w:rsid w:val="00B24EA3"/>
    <w:rsid w:val="00B443E5"/>
    <w:rsid w:val="00B5783F"/>
    <w:rsid w:val="00B70766"/>
    <w:rsid w:val="00BA3CB2"/>
    <w:rsid w:val="00BB425E"/>
    <w:rsid w:val="00BD1879"/>
    <w:rsid w:val="00BD5B38"/>
    <w:rsid w:val="00BE0571"/>
    <w:rsid w:val="00BF1DEE"/>
    <w:rsid w:val="00BF6C39"/>
    <w:rsid w:val="00C03E98"/>
    <w:rsid w:val="00C12D06"/>
    <w:rsid w:val="00C208BA"/>
    <w:rsid w:val="00C31569"/>
    <w:rsid w:val="00C47DC8"/>
    <w:rsid w:val="00C574DB"/>
    <w:rsid w:val="00C65C73"/>
    <w:rsid w:val="00C94ACC"/>
    <w:rsid w:val="00CB2CAD"/>
    <w:rsid w:val="00D12A41"/>
    <w:rsid w:val="00D327B8"/>
    <w:rsid w:val="00D361DB"/>
    <w:rsid w:val="00D419EC"/>
    <w:rsid w:val="00D51D45"/>
    <w:rsid w:val="00D54627"/>
    <w:rsid w:val="00DB09A9"/>
    <w:rsid w:val="00DF3600"/>
    <w:rsid w:val="00E02806"/>
    <w:rsid w:val="00E441F2"/>
    <w:rsid w:val="00E44E11"/>
    <w:rsid w:val="00E54956"/>
    <w:rsid w:val="00E6484F"/>
    <w:rsid w:val="00E7314D"/>
    <w:rsid w:val="00E758B1"/>
    <w:rsid w:val="00E83342"/>
    <w:rsid w:val="00EA64CA"/>
    <w:rsid w:val="00F40B31"/>
    <w:rsid w:val="00F6582A"/>
    <w:rsid w:val="00F67C3F"/>
    <w:rsid w:val="00F90614"/>
    <w:rsid w:val="00FB1BED"/>
    <w:rsid w:val="00FE13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043D31C-A000-4FAF-A79D-7034C4D3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7E1912"/>
    <w:rPr>
      <w:rFonts w:ascii="Tahoma" w:hAnsi="Tahoma" w:cs="Tahoma"/>
      <w:sz w:val="16"/>
      <w:szCs w:val="16"/>
    </w:rPr>
  </w:style>
  <w:style w:type="character" w:customStyle="1" w:styleId="FooterChar">
    <w:name w:val="Footer Char"/>
    <w:link w:val="Footer"/>
    <w:uiPriority w:val="99"/>
    <w:rsid w:val="009C0F35"/>
    <w:rPr>
      <w:sz w:val="22"/>
    </w:rPr>
  </w:style>
  <w:style w:type="paragraph" w:styleId="NormalWeb">
    <w:name w:val="Normal (Web)"/>
    <w:basedOn w:val="Normal"/>
    <w:rsid w:val="00647D26"/>
    <w:pPr>
      <w:spacing w:before="100" w:beforeAutospacing="1" w:after="100" w:afterAutospacing="1"/>
    </w:pPr>
    <w:rPr>
      <w:color w:val="000000"/>
      <w:sz w:val="24"/>
      <w:szCs w:val="24"/>
    </w:rPr>
  </w:style>
  <w:style w:type="paragraph" w:customStyle="1" w:styleId="header2">
    <w:name w:val="header2"/>
    <w:rsid w:val="00647D26"/>
    <w:pPr>
      <w:widowControl w:val="0"/>
      <w:tabs>
        <w:tab w:val="left" w:pos="1440"/>
        <w:tab w:val="center" w:pos="4320"/>
        <w:tab w:val="right" w:pos="8640"/>
      </w:tabs>
      <w:suppressAutoHyphens/>
      <w:jc w:val="center"/>
    </w:pPr>
    <w:rPr>
      <w:b/>
      <w:sz w:val="24"/>
    </w:rPr>
  </w:style>
  <w:style w:type="paragraph" w:customStyle="1" w:styleId="ParaNum0">
    <w:name w:val="ParaNum"/>
    <w:basedOn w:val="Normal"/>
    <w:link w:val="ParaNumChar"/>
    <w:rsid w:val="00647D26"/>
    <w:pPr>
      <w:widowControl w:val="0"/>
      <w:tabs>
        <w:tab w:val="left" w:pos="1440"/>
      </w:tabs>
      <w:spacing w:after="220"/>
      <w:ind w:firstLine="720"/>
    </w:pPr>
  </w:style>
  <w:style w:type="character" w:styleId="Strong">
    <w:name w:val="Strong"/>
    <w:qFormat/>
    <w:rsid w:val="00647D26"/>
    <w:rPr>
      <w:b/>
      <w:bCs/>
    </w:rPr>
  </w:style>
  <w:style w:type="character" w:customStyle="1" w:styleId="ParaNumChar">
    <w:name w:val="ParaNum Char"/>
    <w:link w:val="ParaNum0"/>
    <w:locked/>
    <w:rsid w:val="00647D26"/>
    <w:rPr>
      <w:sz w:val="22"/>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647D26"/>
    <w:rPr>
      <w:sz w:val="22"/>
    </w:rPr>
  </w:style>
  <w:style w:type="character" w:styleId="CommentReference">
    <w:name w:val="annotation reference"/>
    <w:rsid w:val="0025455D"/>
    <w:rPr>
      <w:sz w:val="16"/>
      <w:szCs w:val="16"/>
    </w:rPr>
  </w:style>
  <w:style w:type="paragraph" w:styleId="CommentText">
    <w:name w:val="annotation text"/>
    <w:basedOn w:val="Normal"/>
    <w:link w:val="CommentTextChar"/>
    <w:rsid w:val="0025455D"/>
    <w:rPr>
      <w:sz w:val="20"/>
    </w:rPr>
  </w:style>
  <w:style w:type="character" w:customStyle="1" w:styleId="CommentTextChar">
    <w:name w:val="Comment Text Char"/>
    <w:basedOn w:val="DefaultParagraphFont"/>
    <w:link w:val="CommentText"/>
    <w:rsid w:val="0025455D"/>
  </w:style>
  <w:style w:type="paragraph" w:styleId="CommentSubject">
    <w:name w:val="annotation subject"/>
    <w:basedOn w:val="CommentText"/>
    <w:next w:val="CommentText"/>
    <w:link w:val="CommentSubjectChar"/>
    <w:rsid w:val="0025455D"/>
    <w:rPr>
      <w:b/>
      <w:bCs/>
    </w:rPr>
  </w:style>
  <w:style w:type="character" w:customStyle="1" w:styleId="CommentSubjectChar">
    <w:name w:val="Comment Subject Char"/>
    <w:link w:val="CommentSubject"/>
    <w:rsid w:val="00254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