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D5787" w:rsidRPr="00E84CB4" w:rsidP="00CD5787">
      <w:pPr>
        <w:jc w:val="center"/>
        <w:rPr>
          <w:b/>
        </w:rPr>
      </w:pPr>
      <w:r w:rsidRPr="00E84CB4">
        <w:rPr>
          <w:b/>
          <w:kern w:val="0"/>
          <w:szCs w:val="22"/>
        </w:rPr>
        <w:t>Before</w:t>
      </w:r>
      <w:r w:rsidRPr="00E84CB4">
        <w:rPr>
          <w:b/>
        </w:rPr>
        <w:t xml:space="preserve"> the</w:t>
      </w:r>
    </w:p>
    <w:p w:rsidR="00CD5787" w:rsidRPr="00E84CB4" w:rsidP="00CD5787">
      <w:pPr>
        <w:pStyle w:val="StyleBoldCentered"/>
        <w:rPr>
          <w:rFonts w:ascii="Times New Roman" w:hAnsi="Times New Roman"/>
        </w:rPr>
      </w:pPr>
      <w:r w:rsidRPr="00E84CB4">
        <w:rPr>
          <w:rFonts w:ascii="Times New Roman" w:hAnsi="Times New Roman"/>
        </w:rPr>
        <w:t>F</w:t>
      </w:r>
      <w:r w:rsidRPr="00E84CB4">
        <w:rPr>
          <w:rFonts w:ascii="Times New Roman" w:hAnsi="Times New Roman"/>
          <w:caps w:val="0"/>
        </w:rPr>
        <w:t>ederal Communications Commission</w:t>
      </w:r>
    </w:p>
    <w:p w:rsidR="00CD5787" w:rsidRPr="00E84CB4" w:rsidP="00CD5787">
      <w:pPr>
        <w:pStyle w:val="StyleBoldCentered"/>
        <w:rPr>
          <w:rFonts w:ascii="Times New Roman" w:hAnsi="Times New Roman"/>
        </w:rPr>
      </w:pPr>
      <w:r w:rsidRPr="00E84CB4">
        <w:rPr>
          <w:rFonts w:ascii="Times New Roman" w:hAnsi="Times New Roman"/>
          <w:caps w:val="0"/>
        </w:rPr>
        <w:t>Washington, D.C. 20554</w:t>
      </w:r>
    </w:p>
    <w:p w:rsidR="00CD5787" w:rsidRPr="00E84CB4" w:rsidP="00CD5787"/>
    <w:p w:rsidR="00CD5787" w:rsidRPr="00E84CB4" w:rsidP="00CD5787"/>
    <w:tbl>
      <w:tblPr>
        <w:tblW w:w="0" w:type="auto"/>
        <w:tblLayout w:type="fixed"/>
        <w:tblLook w:val="0000"/>
      </w:tblPr>
      <w:tblGrid>
        <w:gridCol w:w="4698"/>
        <w:gridCol w:w="630"/>
        <w:gridCol w:w="4248"/>
      </w:tblGrid>
      <w:tr w:rsidTr="00DF5B27">
        <w:tblPrEx>
          <w:tblW w:w="0" w:type="auto"/>
          <w:tblLayout w:type="fixed"/>
          <w:tblLook w:val="0000"/>
        </w:tblPrEx>
        <w:tc>
          <w:tcPr>
            <w:tcW w:w="4698" w:type="dxa"/>
          </w:tcPr>
          <w:p w:rsidR="00CD5787" w:rsidRPr="00E84CB4" w:rsidP="00DF5B27">
            <w:pPr>
              <w:tabs>
                <w:tab w:val="center" w:pos="4680"/>
              </w:tabs>
              <w:suppressAutoHyphens/>
              <w:rPr>
                <w:spacing w:val="-2"/>
              </w:rPr>
            </w:pPr>
            <w:r w:rsidRPr="00E84CB4">
              <w:rPr>
                <w:spacing w:val="-2"/>
              </w:rPr>
              <w:t>In the Matter of</w:t>
            </w:r>
          </w:p>
          <w:p w:rsidR="00CD5787" w:rsidRPr="00E84CB4" w:rsidP="00DF5B27">
            <w:pPr>
              <w:tabs>
                <w:tab w:val="center" w:pos="4680"/>
              </w:tabs>
              <w:suppressAutoHyphens/>
              <w:rPr>
                <w:spacing w:val="-2"/>
              </w:rPr>
            </w:pPr>
          </w:p>
          <w:p w:rsidR="00CD5787" w:rsidRPr="00E84CB4" w:rsidP="00DF5B27">
            <w:pPr>
              <w:tabs>
                <w:tab w:val="center" w:pos="4680"/>
              </w:tabs>
              <w:suppressAutoHyphens/>
            </w:pPr>
            <w:r w:rsidRPr="00E84CB4">
              <w:t xml:space="preserve">Standing Rock Telecommunications, Inc., </w:t>
            </w:r>
          </w:p>
          <w:p w:rsidR="00CD5787" w:rsidRPr="00E84CB4" w:rsidP="00DF5B27">
            <w:pPr>
              <w:tabs>
                <w:tab w:val="center" w:pos="4680"/>
              </w:tabs>
              <w:suppressAutoHyphens/>
            </w:pPr>
          </w:p>
          <w:p w:rsidR="00CD5787" w:rsidRPr="00E84CB4" w:rsidP="00DF5B27">
            <w:pPr>
              <w:tabs>
                <w:tab w:val="center" w:pos="4680"/>
              </w:tabs>
              <w:suppressAutoHyphens/>
              <w:rPr>
                <w:spacing w:val="-2"/>
              </w:rPr>
            </w:pPr>
            <w:r>
              <w:t xml:space="preserve">Amended </w:t>
            </w:r>
            <w:r w:rsidRPr="00E84CB4">
              <w:t>Request for Limited Waiver and Extension of Mobility Fund Phase I Public Interest Obligations</w:t>
            </w:r>
          </w:p>
        </w:tc>
        <w:tc>
          <w:tcPr>
            <w:tcW w:w="630" w:type="dxa"/>
          </w:tcPr>
          <w:p w:rsidR="00CD5787" w:rsidRPr="00E84CB4" w:rsidP="00DF5B27">
            <w:pPr>
              <w:tabs>
                <w:tab w:val="center" w:pos="4680"/>
              </w:tabs>
              <w:suppressAutoHyphens/>
              <w:rPr>
                <w:b/>
                <w:spacing w:val="-2"/>
              </w:rPr>
            </w:pPr>
            <w:r w:rsidRPr="00E84CB4">
              <w:rPr>
                <w:b/>
                <w:spacing w:val="-2"/>
              </w:rPr>
              <w:t>)</w:t>
            </w:r>
          </w:p>
          <w:p w:rsidR="00CD5787" w:rsidRPr="00E84CB4" w:rsidP="00DF5B27">
            <w:pPr>
              <w:tabs>
                <w:tab w:val="center" w:pos="4680"/>
              </w:tabs>
              <w:suppressAutoHyphens/>
              <w:rPr>
                <w:b/>
                <w:spacing w:val="-2"/>
              </w:rPr>
            </w:pPr>
            <w:r w:rsidRPr="00E84CB4">
              <w:rPr>
                <w:b/>
                <w:spacing w:val="-2"/>
              </w:rPr>
              <w:t>)</w:t>
            </w:r>
          </w:p>
          <w:p w:rsidR="00CD5787" w:rsidRPr="00E84CB4" w:rsidP="00DF5B27">
            <w:pPr>
              <w:tabs>
                <w:tab w:val="center" w:pos="4680"/>
              </w:tabs>
              <w:suppressAutoHyphens/>
              <w:rPr>
                <w:b/>
                <w:spacing w:val="-2"/>
              </w:rPr>
            </w:pPr>
            <w:r w:rsidRPr="00E84CB4">
              <w:rPr>
                <w:b/>
                <w:spacing w:val="-2"/>
              </w:rPr>
              <w:t>)</w:t>
            </w:r>
          </w:p>
          <w:p w:rsidR="00CD5787" w:rsidRPr="00E84CB4" w:rsidP="00DF5B27">
            <w:pPr>
              <w:tabs>
                <w:tab w:val="center" w:pos="4680"/>
              </w:tabs>
              <w:suppressAutoHyphens/>
              <w:rPr>
                <w:b/>
                <w:spacing w:val="-2"/>
              </w:rPr>
            </w:pPr>
            <w:r w:rsidRPr="00E84CB4">
              <w:rPr>
                <w:b/>
                <w:spacing w:val="-2"/>
              </w:rPr>
              <w:t>)</w:t>
            </w:r>
          </w:p>
          <w:p w:rsidR="00CD5787" w:rsidRPr="00E84CB4" w:rsidP="00DF5B27">
            <w:pPr>
              <w:tabs>
                <w:tab w:val="center" w:pos="4680"/>
              </w:tabs>
              <w:suppressAutoHyphens/>
              <w:rPr>
                <w:b/>
                <w:spacing w:val="-2"/>
              </w:rPr>
            </w:pPr>
            <w:r w:rsidRPr="00E84CB4">
              <w:rPr>
                <w:b/>
                <w:spacing w:val="-2"/>
              </w:rPr>
              <w:t>)</w:t>
            </w:r>
          </w:p>
          <w:p w:rsidR="00CD5787" w:rsidRPr="00E84CB4" w:rsidP="00DF5B27">
            <w:pPr>
              <w:tabs>
                <w:tab w:val="center" w:pos="4680"/>
              </w:tabs>
              <w:suppressAutoHyphens/>
              <w:rPr>
                <w:b/>
                <w:spacing w:val="-2"/>
              </w:rPr>
            </w:pPr>
            <w:r w:rsidRPr="00E84CB4">
              <w:rPr>
                <w:b/>
                <w:spacing w:val="-2"/>
              </w:rPr>
              <w:t>)</w:t>
            </w:r>
          </w:p>
          <w:p w:rsidR="00CD5787" w:rsidRPr="00FE1A87" w:rsidP="00DF5B27">
            <w:pPr>
              <w:tabs>
                <w:tab w:val="center" w:pos="4680"/>
              </w:tabs>
              <w:suppressAutoHyphens/>
              <w:rPr>
                <w:b/>
                <w:spacing w:val="-2"/>
              </w:rPr>
            </w:pPr>
            <w:r w:rsidRPr="00E84CB4">
              <w:rPr>
                <w:b/>
                <w:spacing w:val="-2"/>
              </w:rPr>
              <w:t>)</w:t>
            </w:r>
          </w:p>
        </w:tc>
        <w:tc>
          <w:tcPr>
            <w:tcW w:w="4248" w:type="dxa"/>
          </w:tcPr>
          <w:p w:rsidR="00CD5787" w:rsidRPr="00E84CB4" w:rsidP="00DF5B27">
            <w:pPr>
              <w:tabs>
                <w:tab w:val="center" w:pos="4680"/>
              </w:tabs>
              <w:suppressAutoHyphens/>
              <w:rPr>
                <w:spacing w:val="-2"/>
              </w:rPr>
            </w:pPr>
          </w:p>
          <w:p w:rsidR="00CD5787" w:rsidRPr="00E84CB4" w:rsidP="00DF5B27">
            <w:pPr>
              <w:pStyle w:val="TOAHeading"/>
              <w:tabs>
                <w:tab w:val="center" w:pos="4680"/>
                <w:tab w:val="clear" w:pos="9360"/>
              </w:tabs>
              <w:rPr>
                <w:spacing w:val="-2"/>
              </w:rPr>
            </w:pPr>
          </w:p>
          <w:p w:rsidR="00CD5787" w:rsidRPr="00E84CB4" w:rsidP="00DF5B27">
            <w:pPr>
              <w:tabs>
                <w:tab w:val="center" w:pos="4680"/>
              </w:tabs>
              <w:suppressAutoHyphens/>
              <w:rPr>
                <w:spacing w:val="-2"/>
              </w:rPr>
            </w:pPr>
            <w:r w:rsidRPr="00E84CB4">
              <w:rPr>
                <w:spacing w:val="-2"/>
              </w:rPr>
              <w:t>WT Docket No. 10-208</w:t>
            </w:r>
          </w:p>
        </w:tc>
      </w:tr>
    </w:tbl>
    <w:p w:rsidR="00CD5787" w:rsidRPr="00E84CB4" w:rsidP="00CD5787"/>
    <w:p w:rsidR="00CD5787" w:rsidRPr="00E84CB4" w:rsidP="00CD5787">
      <w:pPr>
        <w:pStyle w:val="StyleBoldCentered"/>
        <w:rPr>
          <w:rFonts w:ascii="Times New Roman" w:hAnsi="Times New Roman"/>
        </w:rPr>
      </w:pPr>
      <w:r w:rsidRPr="00E84CB4">
        <w:rPr>
          <w:rFonts w:ascii="Times New Roman" w:hAnsi="Times New Roman"/>
        </w:rPr>
        <w:fldChar w:fldCharType="begin"/>
      </w:r>
      <w:r w:rsidRPr="00E84CB4">
        <w:rPr>
          <w:rFonts w:ascii="Times New Roman" w:hAnsi="Times New Roman"/>
        </w:rPr>
        <w:instrText xml:space="preserve"> MACROBUTTON  Overtype Order </w:instrText>
      </w:r>
      <w:r w:rsidRPr="00E84CB4">
        <w:rPr>
          <w:rFonts w:ascii="Times New Roman" w:hAnsi="Times New Roman"/>
        </w:rPr>
        <w:fldChar w:fldCharType="end"/>
      </w:r>
    </w:p>
    <w:p w:rsidR="00CD5787" w:rsidRPr="00E84CB4" w:rsidP="00CD5787">
      <w:pPr>
        <w:tabs>
          <w:tab w:val="left" w:pos="-720"/>
        </w:tabs>
        <w:suppressAutoHyphens/>
        <w:spacing w:line="227" w:lineRule="auto"/>
        <w:rPr>
          <w:spacing w:val="-2"/>
        </w:rPr>
      </w:pPr>
    </w:p>
    <w:p w:rsidR="00CD5787" w:rsidRPr="00E84CB4" w:rsidP="00CD5787">
      <w:pPr>
        <w:tabs>
          <w:tab w:val="left" w:pos="720"/>
          <w:tab w:val="right" w:pos="9360"/>
        </w:tabs>
        <w:suppressAutoHyphens/>
        <w:spacing w:line="227" w:lineRule="auto"/>
        <w:rPr>
          <w:spacing w:val="-2"/>
        </w:rPr>
      </w:pPr>
      <w:r w:rsidRPr="00E84CB4">
        <w:rPr>
          <w:b/>
          <w:spacing w:val="-2"/>
        </w:rPr>
        <w:t xml:space="preserve">Adopted:  </w:t>
      </w:r>
      <w:r>
        <w:rPr>
          <w:b/>
          <w:spacing w:val="-2"/>
        </w:rPr>
        <w:t>October 25, 2019</w:t>
      </w:r>
      <w:r w:rsidRPr="00E84CB4">
        <w:rPr>
          <w:b/>
          <w:spacing w:val="-2"/>
        </w:rPr>
        <w:tab/>
        <w:t xml:space="preserve">Released:  </w:t>
      </w:r>
      <w:r>
        <w:rPr>
          <w:b/>
          <w:spacing w:val="-2"/>
        </w:rPr>
        <w:t>October 25, 2019</w:t>
      </w:r>
    </w:p>
    <w:p w:rsidR="00CD5787" w:rsidRPr="00E84CB4" w:rsidP="00CD5787"/>
    <w:p w:rsidR="00CD5787" w:rsidRPr="00E84CB4" w:rsidP="00CD5787">
      <w:pPr>
        <w:rPr>
          <w:spacing w:val="-2"/>
        </w:rPr>
      </w:pPr>
      <w:r w:rsidRPr="00E84CB4">
        <w:t>By the</w:t>
      </w:r>
      <w:r>
        <w:t xml:space="preserve"> Wireline Competition Bureau, the Wireless Telecommunications Bureau, and the Auctions Division of the Office of Economics and Analytics</w:t>
      </w:r>
      <w:r w:rsidRPr="00E84CB4">
        <w:rPr>
          <w:spacing w:val="-2"/>
        </w:rPr>
        <w:t>:</w:t>
      </w:r>
    </w:p>
    <w:p w:rsidR="00CD5787" w:rsidRPr="00E84CB4" w:rsidP="00CD5787"/>
    <w:p w:rsidR="00CD5787" w:rsidRPr="00E84CB4" w:rsidP="00CD5787">
      <w:pPr>
        <w:pStyle w:val="Heading1"/>
        <w:rPr>
          <w:rFonts w:ascii="Times New Roman" w:hAnsi="Times New Roman"/>
        </w:rPr>
      </w:pPr>
      <w:r w:rsidRPr="00E84CB4">
        <w:rPr>
          <w:rFonts w:ascii="Times New Roman" w:hAnsi="Times New Roman"/>
        </w:rPr>
        <w:t>INTRODUCTION</w:t>
      </w:r>
    </w:p>
    <w:p w:rsidR="00CD5787" w:rsidRPr="00E84CB4" w:rsidP="00CD5787">
      <w:pPr>
        <w:pStyle w:val="ParaNum"/>
      </w:pPr>
      <w:r w:rsidRPr="00E84CB4">
        <w:t xml:space="preserve">In this Order, </w:t>
      </w:r>
      <w:bookmarkStart w:id="0" w:name="_Hlk22906592"/>
      <w:r w:rsidRPr="009B0A51">
        <w:t>the</w:t>
      </w:r>
      <w:r>
        <w:t xml:space="preserve"> </w:t>
      </w:r>
      <w:r w:rsidRPr="009B0A51">
        <w:t>Wireline Competition Bureau</w:t>
      </w:r>
      <w:r>
        <w:t xml:space="preserve"> and the Wireless Telecommunications Bureau, in conjunction with the Auctions Division of the </w:t>
      </w:r>
      <w:r w:rsidRPr="009B0A51">
        <w:t>Office of Economics and Analytics</w:t>
      </w:r>
      <w:r>
        <w:t>,</w:t>
      </w:r>
      <w:r>
        <w:rPr>
          <w:rStyle w:val="FootnoteReference"/>
        </w:rPr>
        <w:footnoteReference w:id="3"/>
      </w:r>
      <w:r w:rsidRPr="00E84CB4">
        <w:t xml:space="preserve"> </w:t>
      </w:r>
      <w:r>
        <w:t xml:space="preserve">grant a petition filed by </w:t>
      </w:r>
      <w:r w:rsidRPr="00E84CB4">
        <w:t>Standing Rock Telecommunications</w:t>
      </w:r>
      <w:r>
        <w:t>, Inc.</w:t>
      </w:r>
      <w:r w:rsidRPr="00E84CB4">
        <w:t xml:space="preserve"> (</w:t>
      </w:r>
      <w:r>
        <w:t>Standing Rock</w:t>
      </w:r>
      <w:r w:rsidRPr="00E84CB4">
        <w:t>)</w:t>
      </w:r>
      <w:r>
        <w:t xml:space="preserve"> seeking a limited </w:t>
      </w:r>
      <w:r w:rsidRPr="00E84CB4">
        <w:t>waive</w:t>
      </w:r>
      <w:r>
        <w:t>r of the</w:t>
      </w:r>
      <w:r w:rsidRPr="00E84CB4">
        <w:t xml:space="preserve"> construction</w:t>
      </w:r>
      <w:r>
        <w:t>, drive testing, and reporting</w:t>
      </w:r>
      <w:r w:rsidRPr="00E84CB4">
        <w:t xml:space="preserve"> deadline</w:t>
      </w:r>
      <w:r>
        <w:t>s</w:t>
      </w:r>
      <w:r w:rsidRPr="00E84CB4">
        <w:t xml:space="preserve"> associated with </w:t>
      </w:r>
      <w:r>
        <w:t xml:space="preserve">the receipt of its final disbursement of </w:t>
      </w:r>
      <w:r w:rsidRPr="00E84CB4">
        <w:t>Mobility Fund Phase I (</w:t>
      </w:r>
      <w:r>
        <w:t>MF-I</w:t>
      </w:r>
      <w:r w:rsidRPr="00E84CB4">
        <w:t>) support</w:t>
      </w:r>
      <w:r>
        <w:t>.</w:t>
      </w:r>
      <w:bookmarkEnd w:id="0"/>
      <w:r>
        <w:rPr>
          <w:rStyle w:val="FootnoteReference"/>
        </w:rPr>
        <w:footnoteReference w:id="4"/>
      </w:r>
      <w:r>
        <w:t xml:space="preserve">  W</w:t>
      </w:r>
      <w:r w:rsidRPr="00E84CB4">
        <w:t xml:space="preserve">e </w:t>
      </w:r>
      <w:r>
        <w:t>find that: (1) Standing Rock has demonstrated both that its request for waiver presents special circumstances that warrant a deviation from the requirement that an MF-I support recipient complete its buildout and testing of a supported 4G network within three years of being authorized for support, and (2) the grant of its request for a brief extension of time serves the public interest.</w:t>
      </w:r>
      <w:r>
        <w:rPr>
          <w:rStyle w:val="FootnoteReference"/>
        </w:rPr>
        <w:footnoteReference w:id="5"/>
      </w:r>
      <w:r>
        <w:t xml:space="preserve">  </w:t>
      </w:r>
    </w:p>
    <w:p w:rsidR="00CD5787" w:rsidRPr="00E84CB4" w:rsidP="00CD5787">
      <w:pPr>
        <w:pStyle w:val="Heading1"/>
        <w:rPr>
          <w:rFonts w:ascii="Times New Roman" w:hAnsi="Times New Roman"/>
        </w:rPr>
      </w:pPr>
      <w:r w:rsidRPr="00E84CB4">
        <w:rPr>
          <w:rFonts w:ascii="Times New Roman" w:hAnsi="Times New Roman"/>
        </w:rPr>
        <w:t>BACKground</w:t>
      </w:r>
    </w:p>
    <w:p w:rsidR="00CD5787" w:rsidRPr="00E84CB4" w:rsidP="00CD5787">
      <w:pPr>
        <w:pStyle w:val="Heading2"/>
      </w:pPr>
      <w:r w:rsidRPr="00E84CB4">
        <w:t>Mobility Fund Phase I</w:t>
      </w:r>
    </w:p>
    <w:p w:rsidR="00CD5787" w:rsidRPr="00E84CB4" w:rsidP="00CD5787">
      <w:pPr>
        <w:pStyle w:val="ParaNum"/>
        <w:widowControl/>
        <w:rPr>
          <w:szCs w:val="22"/>
        </w:rPr>
      </w:pPr>
      <w:r w:rsidRPr="00E84CB4">
        <w:t xml:space="preserve">In the </w:t>
      </w:r>
      <w:r w:rsidRPr="00E84CB4">
        <w:rPr>
          <w:i/>
        </w:rPr>
        <w:t>USF/ICC Transformation Order</w:t>
      </w:r>
      <w:r w:rsidRPr="00E84CB4">
        <w:t>, the Commission comprehensively reformed and modernized the high-cost component of the Universal Service Fund (USF).</w:t>
      </w:r>
      <w:r>
        <w:rPr>
          <w:rStyle w:val="FootnoteReference"/>
        </w:rPr>
        <w:footnoteReference w:id="6"/>
      </w:r>
      <w:r w:rsidRPr="00E84CB4">
        <w:t xml:space="preserve">  It adopted, among other things, a universal service support mechanism dedicated expressly to mobile services</w:t>
      </w:r>
      <w:r>
        <w:t xml:space="preserve"> – </w:t>
      </w:r>
      <w:r w:rsidRPr="00E84CB4">
        <w:t>the Mobility Fund.</w:t>
      </w:r>
      <w:r>
        <w:rPr>
          <w:rStyle w:val="FootnoteReference"/>
        </w:rPr>
        <w:footnoteReference w:id="7"/>
      </w:r>
      <w:r w:rsidRPr="00E84CB4">
        <w:t xml:space="preserve">  </w:t>
      </w:r>
      <w:r>
        <w:t xml:space="preserve">Phase I of the Mobility Fund used competitive bidding – </w:t>
      </w:r>
      <w:r w:rsidRPr="00E84CB4">
        <w:t>a reverse</w:t>
      </w:r>
      <w:r>
        <w:t xml:space="preserve"> </w:t>
      </w:r>
      <w:r w:rsidRPr="00E84CB4">
        <w:t>auction</w:t>
      </w:r>
      <w:r>
        <w:t xml:space="preserve"> (Auction 901)  </w:t>
      </w:r>
      <w:r w:rsidRPr="00E84CB4">
        <w:t>to allocate among winning bidders up to $300 million in one-time universal service support to deploy mobile voice and broadband services.</w:t>
      </w:r>
      <w:r>
        <w:rPr>
          <w:rStyle w:val="FootnoteReference"/>
        </w:rPr>
        <w:footnoteReference w:id="8"/>
      </w:r>
      <w:r w:rsidRPr="00E84CB4">
        <w:t xml:space="preserve">  Winning bidders committed to extending the availability of mobile voice and broadband services on </w:t>
      </w:r>
      <w:r w:rsidRPr="00E84CB4">
        <w:rPr>
          <w:szCs w:val="22"/>
        </w:rPr>
        <w:t>networks that provide third generation</w:t>
      </w:r>
      <w:r>
        <w:rPr>
          <w:szCs w:val="22"/>
        </w:rPr>
        <w:t xml:space="preserve"> </w:t>
      </w:r>
      <w:r w:rsidRPr="00E84CB4">
        <w:rPr>
          <w:szCs w:val="22"/>
        </w:rPr>
        <w:t>(3G) or better performance, or to accelerate the deployment of fourth-generation (4G) wireless networks in areas that lack</w:t>
      </w:r>
      <w:r>
        <w:rPr>
          <w:szCs w:val="22"/>
        </w:rPr>
        <w:t>ed</w:t>
      </w:r>
      <w:r w:rsidRPr="00E84CB4">
        <w:rPr>
          <w:szCs w:val="22"/>
        </w:rPr>
        <w:t xml:space="preserve"> such services.</w:t>
      </w:r>
      <w:r>
        <w:rPr>
          <w:rStyle w:val="FootnoteReference"/>
        </w:rPr>
        <w:footnoteReference w:id="9"/>
      </w:r>
      <w:r w:rsidRPr="00E84CB4">
        <w:t xml:space="preserve">  </w:t>
      </w:r>
    </w:p>
    <w:p w:rsidR="00CD5787" w:rsidRPr="00E84CB4" w:rsidP="00CD5787">
      <w:pPr>
        <w:pStyle w:val="ParaNum"/>
        <w:widowControl/>
        <w:rPr>
          <w:szCs w:val="22"/>
        </w:rPr>
      </w:pPr>
      <w:r w:rsidRPr="00E84CB4">
        <w:t>Prior to the start of the auction, bidders were cautioned that they were responsible “</w:t>
      </w:r>
      <w:r w:rsidRPr="00E84CB4">
        <w:rPr>
          <w:szCs w:val="22"/>
        </w:rPr>
        <w:t>for investigating and evaluating all technical and marketplace factors that may have a bearing on . . . bid[s] in Auction 901.”</w:t>
      </w:r>
      <w:r>
        <w:rPr>
          <w:rStyle w:val="FootnoteReference"/>
          <w:szCs w:val="22"/>
        </w:rPr>
        <w:footnoteReference w:id="10"/>
      </w:r>
      <w:r w:rsidRPr="00E84CB4">
        <w:rPr>
          <w:szCs w:val="22"/>
        </w:rPr>
        <w:t xml:space="preserve">  Bidders were further advised that “[e]ach bidder is responsible for assuring that, if it wins the support, it will be able to build and operate facilities in accordance with the Mobility Fund obligations and the Commission’s rules generally.”</w:t>
      </w:r>
      <w:r>
        <w:rPr>
          <w:rStyle w:val="FootnoteReference"/>
          <w:szCs w:val="22"/>
        </w:rPr>
        <w:footnoteReference w:id="11"/>
      </w:r>
      <w:r w:rsidRPr="00E84CB4">
        <w:rPr>
          <w:szCs w:val="22"/>
        </w:rPr>
        <w:t xml:space="preserve">  </w:t>
      </w:r>
      <w:r>
        <w:rPr>
          <w:szCs w:val="22"/>
        </w:rPr>
        <w:t>MF-</w:t>
      </w:r>
      <w:r w:rsidRPr="00E84CB4">
        <w:rPr>
          <w:szCs w:val="22"/>
        </w:rPr>
        <w:t xml:space="preserve">I rules require </w:t>
      </w:r>
      <w:r w:rsidRPr="00E84CB4">
        <w:t>winning bidders to provide service to at least 75 percent of the designated eligible road miles within the relevant area covered by their winning bids.</w:t>
      </w:r>
      <w:r>
        <w:rPr>
          <w:rStyle w:val="FootnoteReference"/>
        </w:rPr>
        <w:footnoteReference w:id="12"/>
      </w:r>
      <w:r w:rsidRPr="00E84CB4">
        <w:t xml:space="preserve">  Winning bidders </w:t>
      </w:r>
      <w:r>
        <w:t>that</w:t>
      </w:r>
      <w:r w:rsidRPr="00E84CB4">
        <w:t xml:space="preserve"> committed to provide service over a 3G network are required to do so within two years of being authorized to receive support.</w:t>
      </w:r>
      <w:r>
        <w:rPr>
          <w:rStyle w:val="FootnoteReference"/>
        </w:rPr>
        <w:footnoteReference w:id="13"/>
      </w:r>
      <w:r w:rsidRPr="00E84CB4">
        <w:t xml:space="preserve">  Winning bidders </w:t>
      </w:r>
      <w:r>
        <w:t>that</w:t>
      </w:r>
      <w:r w:rsidRPr="00E84CB4">
        <w:t xml:space="preserve"> committed to provide service over a 4G network are required to do so within three years of being authorized to receive support.</w:t>
      </w:r>
      <w:r>
        <w:rPr>
          <w:rStyle w:val="FootnoteReference"/>
        </w:rPr>
        <w:footnoteReference w:id="14"/>
      </w:r>
      <w:r w:rsidRPr="00E84CB4">
        <w:t xml:space="preserve">  </w:t>
      </w:r>
    </w:p>
    <w:p w:rsidR="00CD5787" w:rsidRPr="00E84CB4" w:rsidP="00CD5787">
      <w:pPr>
        <w:pStyle w:val="ParaNum"/>
        <w:widowControl/>
      </w:pPr>
      <w:r>
        <w:t>MF-</w:t>
      </w:r>
      <w:r w:rsidRPr="00E84CB4">
        <w:t xml:space="preserve">I rules further provide that support is </w:t>
      </w:r>
      <w:r>
        <w:t xml:space="preserve">to be </w:t>
      </w:r>
      <w:r w:rsidRPr="00E84CB4">
        <w:t>disbursed to authorized winning bidders in up to three stages</w:t>
      </w:r>
      <w:r>
        <w:t>.</w:t>
      </w:r>
      <w:r>
        <w:rPr>
          <w:rStyle w:val="FootnoteReference"/>
        </w:rPr>
        <w:footnoteReference w:id="15"/>
      </w:r>
      <w:r>
        <w:t xml:space="preserve">  T</w:t>
      </w:r>
      <w:r w:rsidRPr="00E84CB4">
        <w:t>he first disbursement of one-third of the total winning bid amount is made when the winning bidder is authorized to receive support.</w:t>
      </w:r>
      <w:r>
        <w:rPr>
          <w:rStyle w:val="FootnoteReference"/>
        </w:rPr>
        <w:footnoteReference w:id="16"/>
      </w:r>
      <w:r w:rsidRPr="00E84CB4">
        <w:t xml:space="preserve">  </w:t>
      </w:r>
      <w:bookmarkStart w:id="1" w:name="_Hlk2597190"/>
      <w:r w:rsidRPr="00E84CB4">
        <w:t>A recipient becomes eligible to receive a second disbursement when it submits a report demonstrating coverage of 50 percent of the coverage requirements of section 54.1006 of the Commission’s rules.</w:t>
      </w:r>
      <w:bookmarkEnd w:id="1"/>
      <w:r>
        <w:rPr>
          <w:rStyle w:val="FootnoteReference"/>
        </w:rPr>
        <w:footnoteReference w:id="17"/>
      </w:r>
      <w:r w:rsidRPr="00E84CB4">
        <w:t xml:space="preserve">  A recipient becomes eligible to receive the final disbursement when it meets the final coverage requirements by the deadline specified in section 54.1006 of the Commission’s rules.</w:t>
      </w:r>
      <w:r>
        <w:rPr>
          <w:rStyle w:val="FootnoteReference"/>
        </w:rPr>
        <w:footnoteReference w:id="18"/>
      </w:r>
      <w:r w:rsidRPr="00E84CB4">
        <w:t xml:space="preserve">  </w:t>
      </w:r>
    </w:p>
    <w:p w:rsidR="00CD5787" w:rsidRPr="00E84CB4" w:rsidP="00CD5787">
      <w:pPr>
        <w:pStyle w:val="Heading2"/>
      </w:pPr>
      <w:r w:rsidRPr="00E84CB4">
        <w:t>Standing Rock Telecommunications</w:t>
      </w:r>
    </w:p>
    <w:p w:rsidR="00CD5787" w:rsidRPr="00E84CB4" w:rsidP="00CD5787">
      <w:pPr>
        <w:pStyle w:val="ParaNum"/>
        <w:rPr>
          <w:i/>
        </w:rPr>
      </w:pPr>
      <w:r>
        <w:t>Standing Rock</w:t>
      </w:r>
      <w:r w:rsidRPr="00E84CB4">
        <w:t xml:space="preserve"> is a tribally</w:t>
      </w:r>
      <w:r>
        <w:t>-</w:t>
      </w:r>
      <w:r w:rsidRPr="00E84CB4">
        <w:t>owned telecommunications provider serving the Standing Rock Sioux Reservation</w:t>
      </w:r>
      <w:r>
        <w:t xml:space="preserve"> (the Reservation)</w:t>
      </w:r>
      <w:r w:rsidRPr="00E84CB4">
        <w:t>.</w:t>
      </w:r>
      <w:r>
        <w:rPr>
          <w:rStyle w:val="FootnoteReference"/>
        </w:rPr>
        <w:footnoteReference w:id="19"/>
      </w:r>
      <w:r w:rsidRPr="00E84CB4">
        <w:t xml:space="preserve">  On December 23, 2013, the Wireless Telecommunications and Wireline Competition Bureaus authorized </w:t>
      </w:r>
      <w:r>
        <w:t>Standing Rock</w:t>
      </w:r>
      <w:r w:rsidRPr="00E84CB4">
        <w:t xml:space="preserve"> to receive </w:t>
      </w:r>
      <w:r>
        <w:t xml:space="preserve">up to $3,320,527.21 in MF-I </w:t>
      </w:r>
      <w:r w:rsidRPr="00E84CB4">
        <w:t xml:space="preserve">support for its four winning bids in Auction 901 </w:t>
      </w:r>
      <w:r>
        <w:t>to cover over 1,290 unserved road miles</w:t>
      </w:r>
      <w:r w:rsidRPr="00E84CB4">
        <w:t>.</w:t>
      </w:r>
      <w:r>
        <w:rPr>
          <w:rStyle w:val="FootnoteReference"/>
        </w:rPr>
        <w:footnoteReference w:id="20"/>
      </w:r>
      <w:r w:rsidRPr="00E84CB4">
        <w:t xml:space="preserve">  </w:t>
      </w:r>
      <w:r>
        <w:t>Standing Rock received its first and second support disbursements, with each payment totaling $1,106,842.40.</w:t>
      </w:r>
      <w:r>
        <w:rPr>
          <w:rStyle w:val="FootnoteReference"/>
        </w:rPr>
        <w:footnoteReference w:id="21"/>
      </w:r>
      <w:r>
        <w:t xml:space="preserve">  Standing Rock</w:t>
      </w:r>
      <w:r w:rsidRPr="00E84CB4">
        <w:t xml:space="preserve"> had a deadline of December 24, 2015, to complete construction of a 3G network, drive testing, and submission of reports demonstrating coverage.</w:t>
      </w:r>
      <w:r>
        <w:rPr>
          <w:rStyle w:val="FootnoteReference"/>
        </w:rPr>
        <w:footnoteReference w:id="22"/>
      </w:r>
      <w:r w:rsidRPr="00E84CB4">
        <w:t xml:space="preserve">  On December 24, 2015, </w:t>
      </w:r>
      <w:r>
        <w:t xml:space="preserve">Standing Rock </w:t>
      </w:r>
      <w:r w:rsidRPr="00E84CB4">
        <w:t>requested an extension of the 3G construction deadline until June 30, 2016.</w:t>
      </w:r>
      <w:r>
        <w:rPr>
          <w:rStyle w:val="FootnoteReference"/>
        </w:rPr>
        <w:footnoteReference w:id="23"/>
      </w:r>
      <w:r w:rsidRPr="00E84CB4">
        <w:t xml:space="preserve">  On June 20, 2016, </w:t>
      </w:r>
      <w:r>
        <w:t>Standing Rock</w:t>
      </w:r>
      <w:r w:rsidRPr="00E84CB4">
        <w:t xml:space="preserve"> requested </w:t>
      </w:r>
      <w:r w:rsidRPr="00E10A8E">
        <w:t xml:space="preserve">to change its </w:t>
      </w:r>
      <w:r>
        <w:t>MF-</w:t>
      </w:r>
      <w:r w:rsidRPr="00E10A8E">
        <w:t xml:space="preserve">I commitment to deploy a 4G </w:t>
      </w:r>
      <w:r>
        <w:t>network</w:t>
      </w:r>
      <w:r w:rsidRPr="00E84CB4">
        <w:t>.</w:t>
      </w:r>
      <w:r>
        <w:rPr>
          <w:rStyle w:val="FootnoteReference"/>
        </w:rPr>
        <w:footnoteReference w:id="24"/>
      </w:r>
      <w:r w:rsidRPr="00E84CB4">
        <w:t xml:space="preserve">  Commission </w:t>
      </w:r>
      <w:r>
        <w:t xml:space="preserve">staff </w:t>
      </w:r>
      <w:r w:rsidRPr="00E84CB4">
        <w:t xml:space="preserve">granted </w:t>
      </w:r>
      <w:r>
        <w:t>Standing Rock</w:t>
      </w:r>
      <w:r w:rsidRPr="00E84CB4">
        <w:t>’s request in August of 2016</w:t>
      </w:r>
      <w:r>
        <w:t>,</w:t>
      </w:r>
      <w:r w:rsidRPr="00E84CB4">
        <w:t xml:space="preserve"> setting a new deadline </w:t>
      </w:r>
      <w:r>
        <w:t>of</w:t>
      </w:r>
      <w:r w:rsidRPr="00E84CB4">
        <w:t xml:space="preserve"> December 24, 2016</w:t>
      </w:r>
      <w:r>
        <w:t>, for Standing Rock to complete its construction, drive testing, and submission of drive testing data for the areas covered by its winning bids</w:t>
      </w:r>
      <w:r w:rsidRPr="00E84CB4">
        <w:t>.</w:t>
      </w:r>
      <w:r>
        <w:rPr>
          <w:rStyle w:val="FootnoteReference"/>
        </w:rPr>
        <w:footnoteReference w:id="25"/>
      </w:r>
      <w:r w:rsidRPr="00E84CB4">
        <w:t xml:space="preserve"> </w:t>
      </w:r>
    </w:p>
    <w:p w:rsidR="00CD5787" w:rsidRPr="00C820D9" w:rsidP="00CD5787">
      <w:pPr>
        <w:pStyle w:val="ParaNum"/>
        <w:rPr>
          <w:i/>
          <w:szCs w:val="22"/>
        </w:rPr>
      </w:pPr>
      <w:r w:rsidRPr="0031218D">
        <w:t xml:space="preserve">On December 23, 2016, </w:t>
      </w:r>
      <w:r>
        <w:t>Standing Rock</w:t>
      </w:r>
      <w:r w:rsidRPr="0031218D">
        <w:t xml:space="preserve"> requested an extension of this deadline for approximately six months.</w:t>
      </w:r>
      <w:r>
        <w:rPr>
          <w:rStyle w:val="FootnoteReference"/>
        </w:rPr>
        <w:footnoteReference w:id="26"/>
      </w:r>
      <w:r w:rsidRPr="0031218D">
        <w:t xml:space="preserve">  In particular, </w:t>
      </w:r>
      <w:r>
        <w:t>Standing Rock</w:t>
      </w:r>
      <w:r w:rsidRPr="0031218D">
        <w:t xml:space="preserve"> </w:t>
      </w:r>
      <w:r>
        <w:t xml:space="preserve">requested </w:t>
      </w:r>
      <w:r w:rsidRPr="0031218D">
        <w:t xml:space="preserve">a limited waiver, under Section 1.3, of Sections 54.1006(b) and (c) of </w:t>
      </w:r>
      <w:r>
        <w:t>the Commission’s</w:t>
      </w:r>
      <w:r w:rsidRPr="0031218D">
        <w:t xml:space="preserve"> rules and </w:t>
      </w:r>
      <w:r>
        <w:t xml:space="preserve">extension of </w:t>
      </w:r>
      <w:r w:rsidRPr="0031218D">
        <w:t>the construction, drive testing, and reporting deadlines associated with the receipt of its final disbursement of MF-I support until June 30, 2017.</w:t>
      </w:r>
      <w:r>
        <w:rPr>
          <w:rStyle w:val="FootnoteReference"/>
          <w:snapToGrid/>
          <w:kern w:val="0"/>
          <w:szCs w:val="22"/>
        </w:rPr>
        <w:footnoteReference w:id="27"/>
      </w:r>
      <w:r w:rsidRPr="000C54C8">
        <w:t xml:space="preserve">  </w:t>
      </w:r>
      <w:r>
        <w:t>Standing Rock</w:t>
      </w:r>
      <w:r w:rsidRPr="000C54C8">
        <w:t xml:space="preserve"> subsequently</w:t>
      </w:r>
      <w:r>
        <w:t xml:space="preserve"> informed</w:t>
      </w:r>
      <w:r w:rsidRPr="00E84CB4">
        <w:rPr>
          <w:snapToGrid/>
          <w:kern w:val="0"/>
          <w:szCs w:val="22"/>
        </w:rPr>
        <w:t xml:space="preserve"> Commission </w:t>
      </w:r>
      <w:r>
        <w:rPr>
          <w:snapToGrid/>
          <w:kern w:val="0"/>
          <w:szCs w:val="22"/>
        </w:rPr>
        <w:t xml:space="preserve">staff </w:t>
      </w:r>
      <w:r w:rsidRPr="00E84CB4">
        <w:rPr>
          <w:snapToGrid/>
          <w:kern w:val="0"/>
          <w:szCs w:val="22"/>
        </w:rPr>
        <w:t xml:space="preserve">that it had completed its required </w:t>
      </w:r>
      <w:r>
        <w:rPr>
          <w:snapToGrid/>
          <w:kern w:val="0"/>
          <w:szCs w:val="22"/>
        </w:rPr>
        <w:t xml:space="preserve">4G </w:t>
      </w:r>
      <w:r w:rsidRPr="00E84CB4">
        <w:rPr>
          <w:snapToGrid/>
          <w:kern w:val="0"/>
          <w:szCs w:val="22"/>
        </w:rPr>
        <w:t xml:space="preserve">network build and drive testing </w:t>
      </w:r>
      <w:r>
        <w:rPr>
          <w:snapToGrid/>
          <w:kern w:val="0"/>
          <w:szCs w:val="22"/>
        </w:rPr>
        <w:t>by</w:t>
      </w:r>
      <w:r w:rsidRPr="00E84CB4">
        <w:rPr>
          <w:snapToGrid/>
          <w:kern w:val="0"/>
          <w:szCs w:val="22"/>
        </w:rPr>
        <w:t xml:space="preserve"> June 30, 2017</w:t>
      </w:r>
      <w:r>
        <w:rPr>
          <w:snapToGrid/>
          <w:kern w:val="0"/>
          <w:szCs w:val="22"/>
        </w:rPr>
        <w:t>,</w:t>
      </w:r>
      <w:r w:rsidRPr="00E84CB4">
        <w:rPr>
          <w:snapToGrid/>
          <w:kern w:val="0"/>
          <w:szCs w:val="22"/>
        </w:rPr>
        <w:t xml:space="preserve"> and that the </w:t>
      </w:r>
      <w:r w:rsidRPr="00E84CB4">
        <w:t xml:space="preserve">Universal Service Administrative Company </w:t>
      </w:r>
      <w:r>
        <w:rPr>
          <w:snapToGrid/>
          <w:kern w:val="0"/>
          <w:szCs w:val="22"/>
        </w:rPr>
        <w:t xml:space="preserve">had </w:t>
      </w:r>
      <w:r w:rsidRPr="002A70CC">
        <w:rPr>
          <w:snapToGrid/>
          <w:kern w:val="0"/>
          <w:szCs w:val="22"/>
        </w:rPr>
        <w:t xml:space="preserve">verified </w:t>
      </w:r>
      <w:r>
        <w:rPr>
          <w:snapToGrid/>
          <w:kern w:val="0"/>
          <w:szCs w:val="22"/>
        </w:rPr>
        <w:t xml:space="preserve">that </w:t>
      </w:r>
      <w:r>
        <w:t>Standing Rock</w:t>
      </w:r>
      <w:r w:rsidRPr="002A70CC">
        <w:rPr>
          <w:snapToGrid/>
          <w:kern w:val="0"/>
          <w:szCs w:val="22"/>
        </w:rPr>
        <w:t>’s coverage me</w:t>
      </w:r>
      <w:r>
        <w:rPr>
          <w:snapToGrid/>
          <w:kern w:val="0"/>
          <w:szCs w:val="22"/>
        </w:rPr>
        <w:t>t</w:t>
      </w:r>
      <w:r w:rsidRPr="002A70CC">
        <w:rPr>
          <w:snapToGrid/>
          <w:kern w:val="0"/>
          <w:szCs w:val="22"/>
        </w:rPr>
        <w:t xml:space="preserve"> the coverage requirements associated with its MF-I support.</w:t>
      </w:r>
      <w:r>
        <w:rPr>
          <w:rStyle w:val="FootnoteReference"/>
          <w:snapToGrid/>
          <w:kern w:val="0"/>
          <w:szCs w:val="22"/>
        </w:rPr>
        <w:footnoteReference w:id="28"/>
      </w:r>
      <w:r w:rsidRPr="00C820D9">
        <w:rPr>
          <w:snapToGrid/>
          <w:kern w:val="0"/>
          <w:szCs w:val="22"/>
        </w:rPr>
        <w:t xml:space="preserve">   </w:t>
      </w:r>
    </w:p>
    <w:p w:rsidR="00CD5787" w:rsidRPr="00420481" w:rsidP="00CD5787">
      <w:pPr>
        <w:pStyle w:val="ParaNum"/>
        <w:widowControl/>
        <w:rPr>
          <w:i/>
        </w:rPr>
      </w:pPr>
      <w:r>
        <w:t xml:space="preserve">As support for its request for a limited waiver, Standing Rock asserts that it experienced consecutive, unexpected equipment, construction, and drive-testing delays that were outside of its control that warrant a waiver of the Commission’s MF-I performance </w:t>
      </w:r>
      <w:r w:rsidRPr="00E84CB4">
        <w:t>deadline</w:t>
      </w:r>
      <w:r>
        <w:t>s.  In particular, Standing Rock</w:t>
      </w:r>
      <w:r w:rsidRPr="00E84CB4">
        <w:t xml:space="preserve"> </w:t>
      </w:r>
      <w:r>
        <w:t>maintains that</w:t>
      </w:r>
      <w:r w:rsidRPr="00E84CB4">
        <w:t xml:space="preserve"> </w:t>
      </w:r>
      <w:r>
        <w:t xml:space="preserve">the contentious nature of the </w:t>
      </w:r>
      <w:r w:rsidRPr="00E84CB4">
        <w:t xml:space="preserve">protests related to the Dakota Access Pipeline </w:t>
      </w:r>
      <w:r>
        <w:t>presented</w:t>
      </w:r>
      <w:r w:rsidRPr="00E84CB4">
        <w:t xml:space="preserve"> </w:t>
      </w:r>
      <w:r>
        <w:t xml:space="preserve">significant challenges that </w:t>
      </w:r>
      <w:r w:rsidRPr="00E84CB4">
        <w:t>cause</w:t>
      </w:r>
      <w:r>
        <w:t>d</w:t>
      </w:r>
      <w:r w:rsidRPr="00E84CB4">
        <w:t xml:space="preserve"> </w:t>
      </w:r>
      <w:r>
        <w:t>a</w:t>
      </w:r>
      <w:r w:rsidRPr="00E84CB4">
        <w:t xml:space="preserve"> </w:t>
      </w:r>
      <w:r>
        <w:t xml:space="preserve">delay in its </w:t>
      </w:r>
      <w:r w:rsidRPr="00E84CB4">
        <w:t>4G construction</w:t>
      </w:r>
      <w:r>
        <w:t xml:space="preserve"> and drive testing</w:t>
      </w:r>
      <w:r w:rsidRPr="00E84CB4">
        <w:t>.</w:t>
      </w:r>
      <w:r>
        <w:rPr>
          <w:rStyle w:val="FootnoteReference"/>
        </w:rPr>
        <w:footnoteReference w:id="29"/>
      </w:r>
      <w:r w:rsidRPr="00E84CB4">
        <w:t xml:space="preserve">  </w:t>
      </w:r>
      <w:r>
        <w:t>Standing Rock explains that, in the spring of 2016, protestors began public demonstrations against the federal government’s planned route for the oil pipeline just north of the North Dakota portion of the Standing Rock Sioux Reservation.</w:t>
      </w:r>
      <w:r>
        <w:rPr>
          <w:rStyle w:val="FootnoteReference"/>
        </w:rPr>
        <w:footnoteReference w:id="30"/>
      </w:r>
      <w:r>
        <w:t xml:space="preserve">  Standing Rock</w:t>
      </w:r>
      <w:r w:rsidRPr="00E84CB4">
        <w:t xml:space="preserve"> represents that</w:t>
      </w:r>
      <w:r>
        <w:t xml:space="preserve"> in</w:t>
      </w:r>
      <w:r w:rsidRPr="00E84CB4">
        <w:t xml:space="preserve"> </w:t>
      </w:r>
      <w:r>
        <w:t xml:space="preserve">September, October, and November </w:t>
      </w:r>
      <w:r w:rsidRPr="00E84CB4">
        <w:t>of 2016</w:t>
      </w:r>
      <w:r>
        <w:t>,</w:t>
      </w:r>
      <w:r w:rsidRPr="00545D0C">
        <w:t xml:space="preserve"> </w:t>
      </w:r>
      <w:r w:rsidRPr="00E84CB4">
        <w:t xml:space="preserve">the volume of protestors, pipeline company security </w:t>
      </w:r>
      <w:r>
        <w:t>employees</w:t>
      </w:r>
      <w:r w:rsidRPr="00E84CB4">
        <w:t xml:space="preserve">, and law enforcement personnel </w:t>
      </w:r>
      <w:r>
        <w:t xml:space="preserve">at these demonstrations increased, which </w:t>
      </w:r>
      <w:r w:rsidRPr="00545D0C">
        <w:t>caus</w:t>
      </w:r>
      <w:r>
        <w:t>ed numerous problems that impeded</w:t>
      </w:r>
      <w:r w:rsidRPr="00E84CB4">
        <w:t xml:space="preserve"> </w:t>
      </w:r>
      <w:r>
        <w:t>Standing Rock</w:t>
      </w:r>
      <w:r w:rsidRPr="00E84CB4">
        <w:t>’s construction timeline.</w:t>
      </w:r>
      <w:r>
        <w:rPr>
          <w:rStyle w:val="FootnoteReference"/>
        </w:rPr>
        <w:footnoteReference w:id="31"/>
      </w:r>
      <w:r w:rsidRPr="00E84CB4">
        <w:t xml:space="preserve">  For example, </w:t>
      </w:r>
      <w:r>
        <w:t>Standing Rock</w:t>
      </w:r>
      <w:r w:rsidRPr="00E84CB4">
        <w:t xml:space="preserve"> asserts that the </w:t>
      </w:r>
      <w:r>
        <w:t xml:space="preserve">sheer </w:t>
      </w:r>
      <w:r w:rsidRPr="00E84CB4">
        <w:t xml:space="preserve">number of people </w:t>
      </w:r>
      <w:r>
        <w:t xml:space="preserve">in the area, reported to be as high as 10,000 at the peak of the protests, </w:t>
      </w:r>
      <w:r w:rsidRPr="00E84CB4">
        <w:t xml:space="preserve">so strained </w:t>
      </w:r>
      <w:r>
        <w:t>Standing Rock</w:t>
      </w:r>
      <w:r w:rsidRPr="00E84CB4">
        <w:t xml:space="preserve">’s wireless communications systems </w:t>
      </w:r>
      <w:r>
        <w:t>that it had to install</w:t>
      </w:r>
      <w:r w:rsidRPr="00E84CB4">
        <w:t xml:space="preserve"> additional point-to-point facilities to meet the increased communications demands</w:t>
      </w:r>
      <w:r>
        <w:t>, and that this diverted its limited staffing resources from its network construction</w:t>
      </w:r>
      <w:r w:rsidRPr="00E84CB4">
        <w:t>.</w:t>
      </w:r>
      <w:r>
        <w:rPr>
          <w:rStyle w:val="FootnoteReference"/>
        </w:rPr>
        <w:footnoteReference w:id="32"/>
      </w:r>
      <w:r w:rsidRPr="00E84CB4">
        <w:t xml:space="preserve">  </w:t>
      </w:r>
      <w:r>
        <w:t>Standing Rock</w:t>
      </w:r>
      <w:r w:rsidRPr="00E84CB4">
        <w:t xml:space="preserve"> also </w:t>
      </w:r>
      <w:r>
        <w:t>contends</w:t>
      </w:r>
      <w:r w:rsidRPr="00E84CB4">
        <w:t xml:space="preserve"> that vendors and contractor</w:t>
      </w:r>
      <w:r>
        <w:t>s that were needed</w:t>
      </w:r>
      <w:r w:rsidRPr="00E84CB4">
        <w:t xml:space="preserve"> </w:t>
      </w:r>
      <w:r>
        <w:t xml:space="preserve">to work on Standing Rock’s towers and networks </w:t>
      </w:r>
      <w:r w:rsidRPr="00E84CB4">
        <w:t xml:space="preserve">were unable to find </w:t>
      </w:r>
      <w:r>
        <w:t xml:space="preserve">necessary </w:t>
      </w:r>
      <w:r w:rsidRPr="00E84CB4">
        <w:t xml:space="preserve">lodging near the Standing Rock </w:t>
      </w:r>
      <w:r>
        <w:t>R</w:t>
      </w:r>
      <w:r w:rsidRPr="00E84CB4">
        <w:t xml:space="preserve">eservation, </w:t>
      </w:r>
      <w:r>
        <w:t>because</w:t>
      </w:r>
      <w:r w:rsidRPr="00E84CB4">
        <w:t xml:space="preserve"> protestors</w:t>
      </w:r>
      <w:r>
        <w:t>, security personnel, and law enforcement</w:t>
      </w:r>
      <w:r w:rsidRPr="00E84CB4">
        <w:t xml:space="preserve"> booked </w:t>
      </w:r>
      <w:r>
        <w:t xml:space="preserve">such lodging </w:t>
      </w:r>
      <w:r w:rsidRPr="00E84CB4">
        <w:t>continuously for months.</w:t>
      </w:r>
      <w:r>
        <w:rPr>
          <w:rStyle w:val="FootnoteReference"/>
        </w:rPr>
        <w:footnoteReference w:id="33"/>
      </w:r>
      <w:r w:rsidRPr="00E84CB4">
        <w:t xml:space="preserve">  </w:t>
      </w:r>
      <w:r>
        <w:t>Standing Rock</w:t>
      </w:r>
      <w:r w:rsidRPr="00E84CB4">
        <w:t xml:space="preserve"> </w:t>
      </w:r>
      <w:r>
        <w:t xml:space="preserve">further states </w:t>
      </w:r>
      <w:r w:rsidRPr="00E84CB4">
        <w:t xml:space="preserve">that tensions between protestors and security and law enforcement personnel ultimately led the latter to </w:t>
      </w:r>
      <w:r>
        <w:t xml:space="preserve">erect </w:t>
      </w:r>
      <w:r w:rsidRPr="00E84CB4">
        <w:t>road block</w:t>
      </w:r>
      <w:r>
        <w:t>s</w:t>
      </w:r>
      <w:r w:rsidRPr="00E84CB4">
        <w:t xml:space="preserve"> on the main road into the </w:t>
      </w:r>
      <w:r>
        <w:t>North Dakota side of the R</w:t>
      </w:r>
      <w:r w:rsidRPr="00E84CB4">
        <w:t xml:space="preserve">eservation, which limited access for the vendors and contractors </w:t>
      </w:r>
      <w:r>
        <w:t>that Standing Rock</w:t>
      </w:r>
      <w:r w:rsidRPr="00E84CB4">
        <w:t xml:space="preserve"> </w:t>
      </w:r>
      <w:r>
        <w:t>needed to complete its</w:t>
      </w:r>
      <w:r w:rsidRPr="00E84CB4">
        <w:t xml:space="preserve"> network build out.</w:t>
      </w:r>
      <w:r>
        <w:rPr>
          <w:rStyle w:val="FootnoteReference"/>
        </w:rPr>
        <w:footnoteReference w:id="34"/>
      </w:r>
      <w:r w:rsidRPr="00E84CB4">
        <w:t xml:space="preserve">  </w:t>
      </w:r>
      <w:r>
        <w:t>Standing Rock</w:t>
      </w:r>
      <w:r w:rsidRPr="00E84CB4">
        <w:t xml:space="preserve"> represents that some vendors</w:t>
      </w:r>
      <w:r>
        <w:t xml:space="preserve"> and contractors</w:t>
      </w:r>
      <w:r w:rsidRPr="00E84CB4">
        <w:t xml:space="preserve"> </w:t>
      </w:r>
      <w:r>
        <w:t xml:space="preserve">expressed </w:t>
      </w:r>
      <w:r w:rsidRPr="00E84CB4">
        <w:t>concerns for their personal safety</w:t>
      </w:r>
      <w:r>
        <w:t>, and that these concerns deterred them from working on the Reservation.</w:t>
      </w:r>
      <w:r>
        <w:rPr>
          <w:rStyle w:val="FootnoteReference"/>
        </w:rPr>
        <w:footnoteReference w:id="35"/>
      </w:r>
      <w:r>
        <w:t xml:space="preserve">  </w:t>
      </w:r>
      <w:r w:rsidRPr="00D7788D">
        <w:t xml:space="preserve">According to </w:t>
      </w:r>
      <w:r>
        <w:t>Standing Rock</w:t>
      </w:r>
      <w:r w:rsidRPr="00D7788D">
        <w:t xml:space="preserve">, </w:t>
      </w:r>
      <w:r w:rsidRPr="00304CD5">
        <w:t xml:space="preserve">these logistical burdens, </w:t>
      </w:r>
      <w:r>
        <w:t>lodging challenges, and safety concerns delayed equipment delivery and network construction</w:t>
      </w:r>
      <w:r w:rsidRPr="00E84CB4">
        <w:t>.</w:t>
      </w:r>
      <w:r>
        <w:rPr>
          <w:rStyle w:val="FootnoteReference"/>
        </w:rPr>
        <w:footnoteReference w:id="36"/>
      </w:r>
      <w:r>
        <w:t xml:space="preserve">  As support for its request for a limited waiver of approximately six months, Standing Rock notes that the pipeline protests peaked in the fall of 2016 and did not dissipate until six months later in February of 2017.</w:t>
      </w:r>
      <w:r>
        <w:rPr>
          <w:rStyle w:val="FootnoteReference"/>
        </w:rPr>
        <w:footnoteReference w:id="37"/>
      </w:r>
      <w:r>
        <w:t xml:space="preserve">  </w:t>
      </w:r>
    </w:p>
    <w:p w:rsidR="00CD5787" w:rsidRPr="00E84CB4" w:rsidP="00CD5787">
      <w:pPr>
        <w:pStyle w:val="ParaNum"/>
        <w:rPr>
          <w:i/>
        </w:rPr>
      </w:pPr>
      <w:r>
        <w:t>Beyond the complications associated with the pipeline protest, Standing Rock</w:t>
      </w:r>
      <w:r w:rsidRPr="00E84CB4">
        <w:t xml:space="preserve"> </w:t>
      </w:r>
      <w:r>
        <w:t>claims</w:t>
      </w:r>
      <w:r w:rsidRPr="00E84CB4">
        <w:t xml:space="preserve"> that </w:t>
      </w:r>
      <w:r>
        <w:t xml:space="preserve">it experienced </w:t>
      </w:r>
      <w:r w:rsidRPr="00E84CB4">
        <w:t>difficult</w:t>
      </w:r>
      <w:r>
        <w:t>ies in</w:t>
      </w:r>
      <w:r w:rsidRPr="00E84CB4">
        <w:t xml:space="preserve"> obtaining necessary 4G equipment</w:t>
      </w:r>
      <w:r>
        <w:t xml:space="preserve">, which also </w:t>
      </w:r>
      <w:r w:rsidRPr="00E84CB4">
        <w:t>delayed buildout of its 4G network.</w:t>
      </w:r>
      <w:r>
        <w:rPr>
          <w:rStyle w:val="FootnoteReference"/>
        </w:rPr>
        <w:footnoteReference w:id="38"/>
      </w:r>
      <w:r w:rsidRPr="00E84CB4">
        <w:t xml:space="preserve">  For example, </w:t>
      </w:r>
      <w:r>
        <w:t>Standing Rock</w:t>
      </w:r>
      <w:r w:rsidRPr="00E84CB4">
        <w:t xml:space="preserve"> asserts that in September 2016 it discovered that production of the antennas it needed for buildout would be delayed.</w:t>
      </w:r>
      <w:r>
        <w:rPr>
          <w:rStyle w:val="FootnoteReference"/>
        </w:rPr>
        <w:footnoteReference w:id="39"/>
      </w:r>
      <w:r w:rsidRPr="00E84CB4">
        <w:t xml:space="preserve">  </w:t>
      </w:r>
      <w:r>
        <w:t>Standing Rock</w:t>
      </w:r>
      <w:r w:rsidRPr="00E84CB4">
        <w:t xml:space="preserve"> asserts that replacement antennas were ordered and installed in early November 2016.</w:t>
      </w:r>
      <w:r>
        <w:rPr>
          <w:rStyle w:val="FootnoteReference"/>
        </w:rPr>
        <w:footnoteReference w:id="40"/>
      </w:r>
      <w:r w:rsidRPr="00E84CB4">
        <w:t xml:space="preserve">  </w:t>
      </w:r>
      <w:r>
        <w:t>Standing Rock</w:t>
      </w:r>
      <w:r w:rsidRPr="00E84CB4">
        <w:t xml:space="preserve"> also </w:t>
      </w:r>
      <w:r>
        <w:t>contends</w:t>
      </w:r>
      <w:r w:rsidRPr="00E84CB4">
        <w:t xml:space="preserve"> that delivery of LTE equipment</w:t>
      </w:r>
      <w:r>
        <w:t>, which was</w:t>
      </w:r>
      <w:r w:rsidRPr="00E84CB4">
        <w:t xml:space="preserve"> ordered in December 2016</w:t>
      </w:r>
      <w:r>
        <w:t>,</w:t>
      </w:r>
      <w:r w:rsidRPr="00E84CB4">
        <w:t xml:space="preserve"> was delayed until February 2017 because the vendor had to implement a software patch to address critical missing software before the equipment could be delivered and installed.</w:t>
      </w:r>
      <w:r>
        <w:rPr>
          <w:rStyle w:val="FootnoteReference"/>
        </w:rPr>
        <w:footnoteReference w:id="41"/>
      </w:r>
      <w:r w:rsidRPr="00E84CB4">
        <w:t xml:space="preserve"> </w:t>
      </w:r>
    </w:p>
    <w:p w:rsidR="00CD5787" w:rsidRPr="00420481" w:rsidP="00CD5787">
      <w:pPr>
        <w:pStyle w:val="ParaNum"/>
        <w:rPr>
          <w:i/>
        </w:rPr>
      </w:pPr>
      <w:r>
        <w:t>To compound its problems, Standing Rock</w:t>
      </w:r>
      <w:r w:rsidRPr="00E84CB4">
        <w:t xml:space="preserve"> </w:t>
      </w:r>
      <w:r>
        <w:t>maintains that</w:t>
      </w:r>
      <w:r w:rsidRPr="00E84CB4">
        <w:t xml:space="preserve"> </w:t>
      </w:r>
      <w:r>
        <w:t>it encountered further delays in obtaining and installing equipment and conducting drive tests.</w:t>
      </w:r>
      <w:r>
        <w:rPr>
          <w:rStyle w:val="FootnoteReference"/>
        </w:rPr>
        <w:footnoteReference w:id="42"/>
      </w:r>
      <w:r>
        <w:t xml:space="preserve">  Specifically, Standing Rock</w:t>
      </w:r>
      <w:r w:rsidRPr="00E84CB4">
        <w:t xml:space="preserve"> </w:t>
      </w:r>
      <w:r>
        <w:t>claims</w:t>
      </w:r>
      <w:r w:rsidRPr="00E84CB4">
        <w:t xml:space="preserve"> that higher than average sno</w:t>
      </w:r>
      <w:bookmarkStart w:id="4" w:name="_GoBack"/>
      <w:bookmarkEnd w:id="4"/>
      <w:r w:rsidRPr="00E84CB4">
        <w:t xml:space="preserve">wfall during the 2016-17 winter season hindered </w:t>
      </w:r>
      <w:r>
        <w:t xml:space="preserve">the delivery and </w:t>
      </w:r>
      <w:r w:rsidRPr="00E84CB4">
        <w:t xml:space="preserve">installation of necessary 4G equipment, which </w:t>
      </w:r>
      <w:r>
        <w:t xml:space="preserve">in turn </w:t>
      </w:r>
      <w:r w:rsidRPr="00E84CB4">
        <w:t xml:space="preserve">delayed drive testing of the census </w:t>
      </w:r>
      <w:r>
        <w:t>tracts</w:t>
      </w:r>
      <w:r w:rsidRPr="00E84CB4">
        <w:t xml:space="preserve"> until late spring 2017.</w:t>
      </w:r>
      <w:r>
        <w:rPr>
          <w:rStyle w:val="FootnoteReference"/>
        </w:rPr>
        <w:footnoteReference w:id="43"/>
      </w:r>
      <w:r w:rsidRPr="00E84CB4">
        <w:t xml:space="preserve">  </w:t>
      </w:r>
      <w:r>
        <w:t>Standing Rock</w:t>
      </w:r>
      <w:r w:rsidRPr="00E84CB4">
        <w:t xml:space="preserve"> </w:t>
      </w:r>
      <w:r>
        <w:t>further explains</w:t>
      </w:r>
      <w:r w:rsidRPr="00E84CB4">
        <w:t xml:space="preserve"> that</w:t>
      </w:r>
      <w:r>
        <w:t>, even after the snow finally melted,</w:t>
      </w:r>
      <w:r w:rsidRPr="00E84CB4">
        <w:t xml:space="preserve"> it had to </w:t>
      </w:r>
      <w:r>
        <w:t>drive test</w:t>
      </w:r>
      <w:r w:rsidRPr="00E84CB4">
        <w:t xml:space="preserve"> many areas multiple times due to equipment malfunction</w:t>
      </w:r>
      <w:r>
        <w:t>s,</w:t>
      </w:r>
      <w:r w:rsidRPr="00E84CB4">
        <w:t xml:space="preserve"> and that poor road conditions and unreliable GP</w:t>
      </w:r>
      <w:r>
        <w:t>S</w:t>
      </w:r>
      <w:r w:rsidRPr="00E84CB4">
        <w:t xml:space="preserve"> </w:t>
      </w:r>
      <w:r>
        <w:t xml:space="preserve">location </w:t>
      </w:r>
      <w:r w:rsidRPr="00E84CB4">
        <w:t>accuracy further delayed testing.</w:t>
      </w:r>
      <w:r>
        <w:rPr>
          <w:rStyle w:val="FootnoteReference"/>
        </w:rPr>
        <w:footnoteReference w:id="44"/>
      </w:r>
      <w:r w:rsidRPr="00E84CB4">
        <w:t xml:space="preserve"> </w:t>
      </w:r>
    </w:p>
    <w:p w:rsidR="00CD5787" w:rsidRPr="00420481" w:rsidP="00CD5787">
      <w:pPr>
        <w:pStyle w:val="ParaNum"/>
      </w:pPr>
      <w:r>
        <w:t>Standing Rock argues that despite this string of complications and delays, it successfully completed a 4G network that far exceeds the Commission’s MF-I requirements.</w:t>
      </w:r>
      <w:r>
        <w:rPr>
          <w:rStyle w:val="FootnoteReference"/>
        </w:rPr>
        <w:footnoteReference w:id="45"/>
      </w:r>
      <w:r>
        <w:t xml:space="preserve">  Standing Rock explains that waiving the performance requirements by approximately six months, and disbursing Standing Rock’s final support payment, will serve the public interest because it will allow Standing Rock to continue to provide critical mobile and broadband services to rural and underserved areas that otherwise lack basic communications infrastructure.</w:t>
      </w:r>
      <w:r>
        <w:rPr>
          <w:rStyle w:val="FootnoteReference"/>
        </w:rPr>
        <w:footnoteReference w:id="46"/>
      </w:r>
      <w:r>
        <w:t xml:space="preserve">  According to Standing Rock, a grant of its request will also serve the public interest because it will further the Commission’s policy to ensure that Tribes have access to communications services that facilitate economic development.</w:t>
      </w:r>
      <w:r>
        <w:rPr>
          <w:rStyle w:val="FootnoteReference"/>
        </w:rPr>
        <w:footnoteReference w:id="47"/>
      </w:r>
      <w:r>
        <w:t xml:space="preserve"> </w:t>
      </w:r>
    </w:p>
    <w:p w:rsidR="00CD5787" w:rsidRPr="00FD65FF" w:rsidP="00CD5787">
      <w:pPr>
        <w:pStyle w:val="Heading1"/>
        <w:rPr>
          <w:rFonts w:ascii="Times New Roman" w:hAnsi="Times New Roman"/>
        </w:rPr>
      </w:pPr>
      <w:r w:rsidRPr="00FD65FF">
        <w:rPr>
          <w:rFonts w:ascii="Times New Roman" w:hAnsi="Times New Roman"/>
        </w:rPr>
        <w:t>Discussion</w:t>
      </w:r>
    </w:p>
    <w:p w:rsidR="00CD5787" w:rsidRPr="00E84CB4" w:rsidP="00CD5787">
      <w:pPr>
        <w:pStyle w:val="ParaNum"/>
        <w:widowControl/>
      </w:pPr>
      <w:r>
        <w:t>Generally, the Commission’s rules may be waived for good cause shown.</w:t>
      </w:r>
      <w:r>
        <w:rPr>
          <w:rStyle w:val="FootnoteReference"/>
        </w:rPr>
        <w:footnoteReference w:id="48"/>
      </w:r>
      <w:r>
        <w:t xml:space="preserve">  </w:t>
      </w:r>
      <w:r w:rsidRPr="00BB3C3D">
        <w:t>W</w:t>
      </w:r>
      <w:r w:rsidRPr="00BB3C3D">
        <w:rPr>
          <w:bCs/>
        </w:rPr>
        <w:t>aiver</w:t>
      </w:r>
      <w:r w:rsidRPr="00BB3C3D">
        <w:t xml:space="preserve"> is appropriate only if both: (1) special circumstances warrant a deviation from the general rule, and (2) such deviation will serve the public interest.</w:t>
      </w:r>
      <w:r>
        <w:rPr>
          <w:rStyle w:val="FootnoteReference"/>
          <w:spacing w:val="-2"/>
        </w:rPr>
        <w:footnoteReference w:id="49"/>
      </w:r>
      <w:r w:rsidRPr="00F6751B">
        <w:t xml:space="preserve">   </w:t>
      </w:r>
    </w:p>
    <w:p w:rsidR="00CD5787" w:rsidRPr="00E84CB4" w:rsidP="00CD5787">
      <w:pPr>
        <w:pStyle w:val="ParaNum"/>
      </w:pPr>
      <w:r w:rsidRPr="003F3A11">
        <w:t>Here, we find that granting a waiver of the construction, drive testing, and reporting deadlines</w:t>
      </w:r>
      <w:r w:rsidRPr="003F3A11">
        <w:t xml:space="preserve"> </w:t>
      </w:r>
      <w:r w:rsidRPr="003F3A11">
        <w:t xml:space="preserve">applicable to </w:t>
      </w:r>
      <w:r>
        <w:t>Standing Rock</w:t>
      </w:r>
      <w:r w:rsidRPr="003F3A11">
        <w:t xml:space="preserve"> for approximately six months, until June 30, 2017, is warranted</w:t>
      </w:r>
      <w:r w:rsidRPr="00726F30">
        <w:t>.</w:t>
      </w:r>
      <w:r>
        <w:t xml:space="preserve">  Standing Rock</w:t>
      </w:r>
      <w:r w:rsidRPr="003F3A11">
        <w:t xml:space="preserve"> </w:t>
      </w:r>
      <w:r>
        <w:t xml:space="preserve">meets the first part of the waiver standard because it has </w:t>
      </w:r>
      <w:r w:rsidRPr="00726F30">
        <w:t xml:space="preserve">demonstrated </w:t>
      </w:r>
      <w:r>
        <w:t>that</w:t>
      </w:r>
      <w:r w:rsidRPr="00726F30">
        <w:t xml:space="preserve"> special circumstances</w:t>
      </w:r>
      <w:r>
        <w:t xml:space="preserve"> warrant a deviation from the general rule.</w:t>
      </w:r>
      <w:r w:rsidRPr="00726F30">
        <w:t xml:space="preserve"> </w:t>
      </w:r>
      <w:r>
        <w:t xml:space="preserve"> Standing Rock has shown that the pipeline protests resulted in disruptions and delays that it </w:t>
      </w:r>
      <w:r w:rsidRPr="003F3A11">
        <w:t xml:space="preserve">could not </w:t>
      </w:r>
      <w:r>
        <w:t xml:space="preserve">reasonably </w:t>
      </w:r>
      <w:r w:rsidRPr="003F3A11">
        <w:t>have foreseen, controlled</w:t>
      </w:r>
      <w:r>
        <w:t>,</w:t>
      </w:r>
      <w:r w:rsidRPr="003F3A11">
        <w:t xml:space="preserve"> or avoided</w:t>
      </w:r>
      <w:r>
        <w:t>.  Indeed,</w:t>
      </w:r>
      <w:r w:rsidRPr="003F3A11">
        <w:t xml:space="preserve"> the degree of disruption that the protests caused to its otherwise reasonable schedule for meeting these deadlines</w:t>
      </w:r>
      <w:r>
        <w:t xml:space="preserve"> was extraordinary</w:t>
      </w:r>
      <w:r w:rsidRPr="00726F30">
        <w:t>,</w:t>
      </w:r>
      <w:r w:rsidRPr="003F3A11">
        <w:t xml:space="preserve"> </w:t>
      </w:r>
      <w:r>
        <w:t>overwhelming its diligent pursuit of</w:t>
      </w:r>
      <w:r w:rsidRPr="003F3A11">
        <w:t xml:space="preserve"> solutions to continue the construction of its 4G network</w:t>
      </w:r>
      <w:r>
        <w:t xml:space="preserve"> in the face of such obstacles</w:t>
      </w:r>
      <w:r w:rsidRPr="003F3A11">
        <w:t>.</w:t>
      </w:r>
      <w:r>
        <w:rPr>
          <w:vertAlign w:val="superscript"/>
        </w:rPr>
        <w:footnoteReference w:id="50"/>
      </w:r>
      <w:r w:rsidRPr="003F3A11">
        <w:t xml:space="preserve">  </w:t>
      </w:r>
      <w:r>
        <w:t>These special circumstances lasted for six months—</w:t>
      </w:r>
      <w:r w:rsidRPr="003F3A11">
        <w:t>from September 2016, when the protests were at their height, through late February 2017, when the protestors finally disbanded</w:t>
      </w:r>
      <w:r>
        <w:t>—which corresponds to the six-month extension</w:t>
      </w:r>
      <w:r w:rsidRPr="003F3A11">
        <w:t xml:space="preserve">. </w:t>
      </w:r>
      <w:r>
        <w:t xml:space="preserve"> Standing Rock also meets the second part of the waiver standard because it has demonstrated that the deviation </w:t>
      </w:r>
      <w:r w:rsidRPr="003F3A11">
        <w:t>will serve the public interest</w:t>
      </w:r>
      <w:r>
        <w:t xml:space="preserve">.  </w:t>
      </w:r>
      <w:r w:rsidRPr="00726F30">
        <w:t>The waiver will ensure the continued operation of a mobile voice and data network in a rural and underserved area that previously lacked basic communications infrastructure.</w:t>
      </w:r>
      <w:r>
        <w:t xml:space="preserve">  Standing Rock</w:t>
      </w:r>
      <w:r w:rsidRPr="003F3A11">
        <w:t xml:space="preserve"> </w:t>
      </w:r>
      <w:r>
        <w:t>was</w:t>
      </w:r>
      <w:r w:rsidRPr="003F3A11">
        <w:t xml:space="preserve"> </w:t>
      </w:r>
      <w:r>
        <w:t xml:space="preserve">also </w:t>
      </w:r>
      <w:r w:rsidRPr="003F3A11">
        <w:t>diligen</w:t>
      </w:r>
      <w:r>
        <w:t>t</w:t>
      </w:r>
      <w:r w:rsidRPr="003F3A11">
        <w:t xml:space="preserve"> throughout this </w:t>
      </w:r>
      <w:r>
        <w:t xml:space="preserve">six-month </w:t>
      </w:r>
      <w:r w:rsidRPr="003F3A11">
        <w:t>period</w:t>
      </w:r>
      <w:r>
        <w:t>,</w:t>
      </w:r>
      <w:r w:rsidRPr="003F3A11">
        <w:t xml:space="preserve"> ensuring that the time after the deadlines would be as brief as possible, without sacrificing </w:t>
      </w:r>
      <w:r>
        <w:t>its ability to meet the Commission’s MF-I performance standards</w:t>
      </w:r>
      <w:r w:rsidRPr="003F3A11">
        <w:t xml:space="preserve">.  In sum, </w:t>
      </w:r>
      <w:r>
        <w:t>Standing Rock</w:t>
      </w:r>
      <w:r w:rsidRPr="003F3A11">
        <w:t xml:space="preserve"> has made a sufficient good cause showing to meet the waiver standard specified in the rules and under applicable precedent</w:t>
      </w:r>
      <w:r>
        <w:t>.</w:t>
      </w:r>
      <w:r w:rsidRPr="00482F4F">
        <w:t xml:space="preserve"> </w:t>
      </w:r>
    </w:p>
    <w:p w:rsidR="00CD5787" w:rsidP="00CD5787">
      <w:pPr>
        <w:pStyle w:val="ParaNum"/>
      </w:pPr>
      <w:r w:rsidRPr="00E84CB4">
        <w:t>Bidders in Auction 901 were cautioned by the Commission to perform their due diligence research and analysis before participating in the auction</w:t>
      </w:r>
      <w:r w:rsidRPr="00E625CF">
        <w:t xml:space="preserve"> </w:t>
      </w:r>
      <w:r>
        <w:t>in order</w:t>
      </w:r>
      <w:r w:rsidRPr="00E84CB4">
        <w:t xml:space="preserve"> to confirm the availability of transmitter sites, and to assure themselves that if they became winning bidders for </w:t>
      </w:r>
      <w:r>
        <w:t>MF-I</w:t>
      </w:r>
      <w:r w:rsidRPr="00E84CB4">
        <w:t xml:space="preserve"> support, they would </w:t>
      </w:r>
      <w:r w:rsidRPr="00E84CB4">
        <w:rPr>
          <w:szCs w:val="22"/>
        </w:rPr>
        <w:t>be able to build and operate facilities that fully comply with all applicable technical and legal requirements.</w:t>
      </w:r>
      <w:r>
        <w:rPr>
          <w:rStyle w:val="FootnoteReference"/>
        </w:rPr>
        <w:footnoteReference w:id="51"/>
      </w:r>
      <w:r w:rsidRPr="00E84CB4">
        <w:rPr>
          <w:szCs w:val="22"/>
        </w:rPr>
        <w:t xml:space="preserve"> </w:t>
      </w:r>
      <w:r>
        <w:rPr>
          <w:szCs w:val="22"/>
        </w:rPr>
        <w:t>Furthermore, the Commission has been clear that requests to waive or extend construction obligations will not be routinely granted.</w:t>
      </w:r>
      <w:r>
        <w:rPr>
          <w:rStyle w:val="FootnoteReference"/>
          <w:szCs w:val="22"/>
        </w:rPr>
        <w:footnoteReference w:id="52"/>
      </w:r>
      <w:r w:rsidRPr="00E84CB4">
        <w:t xml:space="preserve"> </w:t>
      </w:r>
      <w:r>
        <w:t xml:space="preserve"> </w:t>
      </w:r>
      <w:r w:rsidRPr="00E84CB4">
        <w:t xml:space="preserve">Consistent with Commission precedent, prospective recipients of support should have been aware that employee issues, vendor problems, inclement weather, and last minute delays should be expected in the regular course of business, and that these occurrences alone </w:t>
      </w:r>
      <w:r>
        <w:t>would</w:t>
      </w:r>
      <w:r w:rsidRPr="00E84CB4">
        <w:t xml:space="preserve"> not support waiver of Commission deadlines.</w:t>
      </w:r>
      <w:r>
        <w:rPr>
          <w:rStyle w:val="FootnoteReference"/>
        </w:rPr>
        <w:footnoteReference w:id="53"/>
      </w:r>
      <w:r w:rsidRPr="00E84CB4">
        <w:t xml:space="preserve">  </w:t>
      </w:r>
      <w:r>
        <w:t>Thus, Standing Rock’s</w:t>
      </w:r>
      <w:r w:rsidRPr="00D77BE7">
        <w:t xml:space="preserve"> assertions of delays due to vendor-caused problems (i.e., equipment-delivery delays that were not attributable to the protests), its failure to order equipment in a timely manner,</w:t>
      </w:r>
      <w:r>
        <w:t xml:space="preserve"> or </w:t>
      </w:r>
      <w:r w:rsidRPr="00E84CB4">
        <w:t xml:space="preserve">greater than average snowfall during the winter </w:t>
      </w:r>
      <w:r>
        <w:t>do not warrant waiver of its construction obligations</w:t>
      </w:r>
      <w:r w:rsidRPr="00E84CB4">
        <w:t xml:space="preserve">.  </w:t>
      </w:r>
      <w:r>
        <w:t>Rather, waivers of MF-I performance obligations have been granted only where the support recipient has shown that it was delayed by special circumstances that were beyond its control.</w:t>
      </w:r>
      <w:r>
        <w:rPr>
          <w:rStyle w:val="FootnoteReference"/>
        </w:rPr>
        <w:footnoteReference w:id="54"/>
      </w:r>
      <w:r w:rsidRPr="00E84CB4">
        <w:t xml:space="preserve"> </w:t>
      </w:r>
    </w:p>
    <w:p w:rsidR="00CD5787" w:rsidRPr="003712CC" w:rsidP="00CD5787">
      <w:pPr>
        <w:pStyle w:val="ParaNum"/>
      </w:pPr>
      <w:r>
        <w:t>We conclude that Standing Rock</w:t>
      </w:r>
      <w:r w:rsidRPr="00E84CB4">
        <w:t xml:space="preserve"> </w:t>
      </w:r>
      <w:r>
        <w:t xml:space="preserve">has met this standard because it has </w:t>
      </w:r>
      <w:r w:rsidRPr="00E84CB4">
        <w:t xml:space="preserve">demonstrated </w:t>
      </w:r>
      <w:r>
        <w:t>diligent</w:t>
      </w:r>
      <w:r w:rsidRPr="00E84CB4">
        <w:t xml:space="preserve"> efforts to complete its construction as expeditiously as possible </w:t>
      </w:r>
      <w:r>
        <w:t xml:space="preserve">despite the extraordinary disruptions that ultimately resulted from the pipeline protests near its site that were beyond its control.  </w:t>
      </w:r>
      <w:bookmarkStart w:id="6" w:name="_Hlk14867010"/>
      <w:r>
        <w:t>Nothing in the record indicates that, prior to September 2016, Standing Rock was unable to manage any challenges that it may have encountered from the protests that had begun in the spring of that year, or that any such challenges resulted in any impediments or delays to the deployment of Standing Rock’s 4G network</w:t>
      </w:r>
      <w:bookmarkEnd w:id="6"/>
      <w:r>
        <w:t xml:space="preserve">.  However, in the fall of 2016, the scope, impact, and persistence of the protests increased to an unforeseeable degree, overwhelming Standing Rock’s ability to avoid delays in executing its construction plans despite its diligent </w:t>
      </w:r>
      <w:r w:rsidRPr="00E84CB4">
        <w:t xml:space="preserve">efforts to overcome </w:t>
      </w:r>
      <w:r>
        <w:t>the</w:t>
      </w:r>
      <w:r w:rsidRPr="00E84CB4">
        <w:t xml:space="preserve"> continuous string of </w:t>
      </w:r>
      <w:r>
        <w:t>disruptions</w:t>
      </w:r>
      <w:r w:rsidRPr="00E84CB4">
        <w:t xml:space="preserve"> </w:t>
      </w:r>
      <w:r>
        <w:t>attributable to those protests</w:t>
      </w:r>
      <w:r w:rsidRPr="00E84CB4">
        <w:t xml:space="preserve">.  For example, in order to assuage vendors’ concerns about delivering equipment amidst protests outside of the Standing Rock Reservation, </w:t>
      </w:r>
      <w:r>
        <w:t>Standing Rock</w:t>
      </w:r>
      <w:r w:rsidRPr="00E84CB4">
        <w:t xml:space="preserve"> arranged to have equipment originally destined for the Reservation delivered to its consultant in St. Cloud, Minnesota, </w:t>
      </w:r>
      <w:r>
        <w:t>which</w:t>
      </w:r>
      <w:r w:rsidRPr="00E84CB4">
        <w:t xml:space="preserve"> then delivered</w:t>
      </w:r>
      <w:r>
        <w:t xml:space="preserve"> it</w:t>
      </w:r>
      <w:r w:rsidRPr="00E84CB4">
        <w:t xml:space="preserve"> to the Reservation.</w:t>
      </w:r>
      <w:r>
        <w:rPr>
          <w:rStyle w:val="FootnoteReference"/>
        </w:rPr>
        <w:footnoteReference w:id="55"/>
      </w:r>
      <w:r w:rsidRPr="00E84CB4">
        <w:t xml:space="preserve">  Notably, the consultant’s employees also experienced difficulty and delays </w:t>
      </w:r>
      <w:r>
        <w:t xml:space="preserve">in </w:t>
      </w:r>
      <w:r w:rsidRPr="00E84CB4">
        <w:t>delivering the equipment due to road closures</w:t>
      </w:r>
      <w:r>
        <w:t xml:space="preserve"> caused by the protests</w:t>
      </w:r>
      <w:r w:rsidRPr="00E84CB4">
        <w:t>.</w:t>
      </w:r>
      <w:r>
        <w:rPr>
          <w:rStyle w:val="FootnoteReference"/>
        </w:rPr>
        <w:footnoteReference w:id="56"/>
      </w:r>
      <w:r>
        <w:t xml:space="preserve">  </w:t>
      </w:r>
      <w:r w:rsidRPr="00E84CB4">
        <w:t xml:space="preserve">Based upon its amended filing, we find that </w:t>
      </w:r>
      <w:r>
        <w:t>Standing Rock</w:t>
      </w:r>
      <w:r w:rsidRPr="00E84CB4">
        <w:t xml:space="preserve"> </w:t>
      </w:r>
      <w:r w:rsidRPr="003966E8">
        <w:rPr>
          <w:szCs w:val="22"/>
        </w:rPr>
        <w:t xml:space="preserve">made reasonable plans and efforts to timely fulfill </w:t>
      </w:r>
      <w:r w:rsidRPr="00864B66">
        <w:rPr>
          <w:szCs w:val="22"/>
        </w:rPr>
        <w:t>its</w:t>
      </w:r>
      <w:r w:rsidRPr="003966E8">
        <w:rPr>
          <w:szCs w:val="22"/>
        </w:rPr>
        <w:t xml:space="preserve"> </w:t>
      </w:r>
      <w:r>
        <w:rPr>
          <w:szCs w:val="22"/>
        </w:rPr>
        <w:t>MF-I</w:t>
      </w:r>
      <w:r w:rsidRPr="003966E8">
        <w:rPr>
          <w:szCs w:val="22"/>
        </w:rPr>
        <w:t xml:space="preserve"> obligations, and </w:t>
      </w:r>
      <w:r w:rsidRPr="00D23692">
        <w:rPr>
          <w:szCs w:val="22"/>
        </w:rPr>
        <w:t xml:space="preserve">that </w:t>
      </w:r>
      <w:r>
        <w:rPr>
          <w:szCs w:val="22"/>
        </w:rPr>
        <w:t>the special</w:t>
      </w:r>
      <w:r w:rsidRPr="00D23692">
        <w:rPr>
          <w:szCs w:val="22"/>
        </w:rPr>
        <w:t xml:space="preserve"> circumstances </w:t>
      </w:r>
      <w:r>
        <w:rPr>
          <w:szCs w:val="22"/>
        </w:rPr>
        <w:t xml:space="preserve">surrounding the pipeline protests created disruptions to </w:t>
      </w:r>
      <w:r>
        <w:t>Standing Rock</w:t>
      </w:r>
      <w:r>
        <w:rPr>
          <w:szCs w:val="22"/>
        </w:rPr>
        <w:t xml:space="preserve">’s schedule that were </w:t>
      </w:r>
      <w:r w:rsidRPr="00D23692">
        <w:rPr>
          <w:szCs w:val="22"/>
        </w:rPr>
        <w:t xml:space="preserve">outside of </w:t>
      </w:r>
      <w:r>
        <w:rPr>
          <w:szCs w:val="22"/>
        </w:rPr>
        <w:t>its</w:t>
      </w:r>
      <w:r w:rsidRPr="00D23692">
        <w:rPr>
          <w:szCs w:val="22"/>
        </w:rPr>
        <w:t xml:space="preserve"> control. </w:t>
      </w:r>
    </w:p>
    <w:p w:rsidR="00CD5787" w:rsidRPr="00E84CB4" w:rsidP="00CD5787">
      <w:pPr>
        <w:pStyle w:val="ParaNum"/>
        <w:widowControl/>
      </w:pPr>
      <w:r>
        <w:t>Standing Rock</w:t>
      </w:r>
      <w:r w:rsidRPr="00E84CB4">
        <w:t xml:space="preserve"> successfully constructed a 4G LTE network with coverage that </w:t>
      </w:r>
      <w:r w:rsidRPr="00AA5CD8">
        <w:t>meets</w:t>
      </w:r>
      <w:r w:rsidRPr="00E84CB4">
        <w:t xml:space="preserve"> the </w:t>
      </w:r>
      <w:r>
        <w:t>MF-</w:t>
      </w:r>
      <w:r w:rsidRPr="00E84CB4">
        <w:t xml:space="preserve">I requirement of 75 percent </w:t>
      </w:r>
      <w:r w:rsidRPr="00AA5CD8">
        <w:t>or more</w:t>
      </w:r>
      <w:r>
        <w:t xml:space="preserve"> </w:t>
      </w:r>
      <w:r w:rsidRPr="00E84CB4">
        <w:t xml:space="preserve">of previously unserved road miles. </w:t>
      </w:r>
      <w:r w:rsidRPr="00E84CB4">
        <w:rPr>
          <w:szCs w:val="22"/>
        </w:rPr>
        <w:t xml:space="preserve"> Moreover, </w:t>
      </w:r>
      <w:r>
        <w:t>Standing Rock</w:t>
      </w:r>
      <w:r w:rsidRPr="00E84CB4">
        <w:rPr>
          <w:szCs w:val="22"/>
        </w:rPr>
        <w:t xml:space="preserve"> was able to satisfy its construction and drive testing requirements and begin providing 4G service to rural areas that previously lacked such service within </w:t>
      </w:r>
      <w:r>
        <w:rPr>
          <w:szCs w:val="22"/>
        </w:rPr>
        <w:t xml:space="preserve">the six months it requested </w:t>
      </w:r>
      <w:r w:rsidRPr="00DC2E11">
        <w:rPr>
          <w:szCs w:val="22"/>
        </w:rPr>
        <w:t xml:space="preserve">beyond </w:t>
      </w:r>
      <w:r w:rsidRPr="00051E41">
        <w:rPr>
          <w:szCs w:val="22"/>
        </w:rPr>
        <w:t>its</w:t>
      </w:r>
      <w:r>
        <w:rPr>
          <w:szCs w:val="22"/>
        </w:rPr>
        <w:t xml:space="preserve"> MF-I</w:t>
      </w:r>
      <w:r w:rsidRPr="00E84CB4">
        <w:rPr>
          <w:szCs w:val="22"/>
        </w:rPr>
        <w:t xml:space="preserve"> deadline.  Given the </w:t>
      </w:r>
      <w:r>
        <w:rPr>
          <w:szCs w:val="22"/>
        </w:rPr>
        <w:t xml:space="preserve">special </w:t>
      </w:r>
      <w:r w:rsidRPr="00E84CB4">
        <w:rPr>
          <w:szCs w:val="22"/>
        </w:rPr>
        <w:t>circumstances</w:t>
      </w:r>
      <w:r>
        <w:rPr>
          <w:szCs w:val="22"/>
        </w:rPr>
        <w:t xml:space="preserve"> surrounding the Dakota pipeline protests</w:t>
      </w:r>
      <w:r w:rsidRPr="00E84CB4">
        <w:rPr>
          <w:szCs w:val="22"/>
        </w:rPr>
        <w:t xml:space="preserve">, </w:t>
      </w:r>
      <w:r>
        <w:rPr>
          <w:szCs w:val="22"/>
        </w:rPr>
        <w:t xml:space="preserve">which were beyond its control, </w:t>
      </w:r>
      <w:r w:rsidRPr="00E84CB4">
        <w:rPr>
          <w:szCs w:val="22"/>
        </w:rPr>
        <w:t xml:space="preserve">the additional time </w:t>
      </w:r>
      <w:r>
        <w:t>Standing Rock</w:t>
      </w:r>
      <w:r w:rsidRPr="00E84CB4">
        <w:rPr>
          <w:szCs w:val="22"/>
        </w:rPr>
        <w:t xml:space="preserve"> requests is reasonable in relation to the nature of the delays it experienced and its efforts to overcome them.  We </w:t>
      </w:r>
      <w:r>
        <w:rPr>
          <w:szCs w:val="22"/>
        </w:rPr>
        <w:t>find</w:t>
      </w:r>
      <w:r w:rsidRPr="00E84CB4">
        <w:rPr>
          <w:szCs w:val="22"/>
        </w:rPr>
        <w:t xml:space="preserve"> that </w:t>
      </w:r>
      <w:r>
        <w:rPr>
          <w:szCs w:val="22"/>
        </w:rPr>
        <w:t xml:space="preserve">grant of a waiver to </w:t>
      </w:r>
      <w:r>
        <w:t>Standing Rock</w:t>
      </w:r>
      <w:r>
        <w:rPr>
          <w:szCs w:val="22"/>
        </w:rPr>
        <w:t xml:space="preserve"> serves </w:t>
      </w:r>
      <w:r w:rsidRPr="00E84CB4">
        <w:rPr>
          <w:szCs w:val="22"/>
        </w:rPr>
        <w:t xml:space="preserve">the public interest </w:t>
      </w:r>
      <w:r>
        <w:rPr>
          <w:szCs w:val="22"/>
        </w:rPr>
        <w:t xml:space="preserve">and is </w:t>
      </w:r>
      <w:r w:rsidRPr="00E84CB4">
        <w:rPr>
          <w:szCs w:val="22"/>
        </w:rPr>
        <w:t xml:space="preserve">consistent with the objectives of </w:t>
      </w:r>
      <w:r>
        <w:rPr>
          <w:szCs w:val="22"/>
        </w:rPr>
        <w:t>MF-</w:t>
      </w:r>
      <w:r w:rsidRPr="00E84CB4">
        <w:rPr>
          <w:szCs w:val="22"/>
        </w:rPr>
        <w:t>I</w:t>
      </w:r>
      <w:r w:rsidRPr="00E84CB4">
        <w:rPr>
          <w:szCs w:val="22"/>
        </w:rPr>
        <w:t xml:space="preserve"> </w:t>
      </w:r>
      <w:r>
        <w:rPr>
          <w:szCs w:val="22"/>
        </w:rPr>
        <w:t>because it ensures</w:t>
      </w:r>
      <w:r w:rsidRPr="00E84CB4">
        <w:rPr>
          <w:szCs w:val="22"/>
        </w:rPr>
        <w:t xml:space="preserve"> </w:t>
      </w:r>
      <w:r>
        <w:rPr>
          <w:szCs w:val="22"/>
        </w:rPr>
        <w:t xml:space="preserve">the continued </w:t>
      </w:r>
      <w:r w:rsidRPr="00E84CB4">
        <w:rPr>
          <w:szCs w:val="22"/>
        </w:rPr>
        <w:t xml:space="preserve">provision of the 4G LTE service </w:t>
      </w:r>
      <w:r>
        <w:rPr>
          <w:szCs w:val="22"/>
        </w:rPr>
        <w:t xml:space="preserve">that </w:t>
      </w:r>
      <w:r>
        <w:t>Standing Rock</w:t>
      </w:r>
      <w:r w:rsidRPr="00E84CB4">
        <w:rPr>
          <w:szCs w:val="22"/>
        </w:rPr>
        <w:t xml:space="preserve"> worked to achieve, and that a waiver </w:t>
      </w:r>
      <w:r>
        <w:rPr>
          <w:szCs w:val="22"/>
        </w:rPr>
        <w:t>does</w:t>
      </w:r>
      <w:r w:rsidRPr="00E84CB4">
        <w:rPr>
          <w:szCs w:val="22"/>
        </w:rPr>
        <w:t xml:space="preserve"> not undermine the Commission’s policy of ensuring adherence to the performance requirements established thereunder.</w:t>
      </w:r>
      <w:r>
        <w:rPr>
          <w:rStyle w:val="FootnoteReference"/>
          <w:szCs w:val="22"/>
        </w:rPr>
        <w:footnoteReference w:id="57"/>
      </w:r>
    </w:p>
    <w:p w:rsidR="00CD5787" w:rsidRPr="00E84CB4" w:rsidP="00CD5787">
      <w:pPr>
        <w:pStyle w:val="ParaNum"/>
      </w:pPr>
      <w:r w:rsidRPr="00E84CB4">
        <w:rPr>
          <w:szCs w:val="22"/>
        </w:rPr>
        <w:t xml:space="preserve">We therefore conclude that there is good cause for granting the requested waiver.  </w:t>
      </w:r>
      <w:r w:rsidRPr="00E84CB4">
        <w:t xml:space="preserve">Based on the </w:t>
      </w:r>
      <w:r>
        <w:t>special circumstances</w:t>
      </w:r>
      <w:r w:rsidRPr="00E84CB4">
        <w:t xml:space="preserve"> before us, we find </w:t>
      </w:r>
      <w:r>
        <w:t xml:space="preserve">that </w:t>
      </w:r>
      <w:r w:rsidRPr="00E84CB4">
        <w:t xml:space="preserve">it serves the public interest to waive the deadlines applicable to </w:t>
      </w:r>
      <w:r>
        <w:t>Standing Rock</w:t>
      </w:r>
      <w:r w:rsidRPr="00E84CB4">
        <w:t xml:space="preserve"> for completing construction of a </w:t>
      </w:r>
      <w:r>
        <w:t>4</w:t>
      </w:r>
      <w:r w:rsidRPr="00E84CB4">
        <w:t xml:space="preserve">G network, conducting drive testing, and submitting a report demonstrating coverage for 75 percent or more of the designated eligible road miles.  We therefore grant </w:t>
      </w:r>
      <w:r>
        <w:t>Standing Rock</w:t>
      </w:r>
      <w:r w:rsidRPr="00E84CB4">
        <w:t xml:space="preserve">’s request </w:t>
      </w:r>
      <w:r>
        <w:t xml:space="preserve">to extend these deadlines </w:t>
      </w:r>
      <w:r w:rsidRPr="00E84CB4">
        <w:t xml:space="preserve">through </w:t>
      </w:r>
      <w:r>
        <w:t>the requested date of June 30, 2017</w:t>
      </w:r>
      <w:r w:rsidRPr="00E84CB4">
        <w:t xml:space="preserve">. </w:t>
      </w:r>
    </w:p>
    <w:p w:rsidR="00CD5787" w:rsidRPr="00E84CB4" w:rsidP="00CD5787">
      <w:pPr>
        <w:pStyle w:val="Heading1"/>
        <w:rPr>
          <w:rFonts w:ascii="Times New Roman" w:hAnsi="Times New Roman"/>
        </w:rPr>
      </w:pPr>
      <w:r w:rsidRPr="00E84CB4">
        <w:rPr>
          <w:rFonts w:ascii="Times New Roman" w:hAnsi="Times New Roman"/>
        </w:rPr>
        <w:t>Ordering clauses</w:t>
      </w:r>
    </w:p>
    <w:p w:rsidR="00CD5787" w:rsidP="00CD5787">
      <w:pPr>
        <w:pStyle w:val="ParaNum"/>
      </w:pPr>
      <w:r w:rsidRPr="00E84CB4">
        <w:t>Accordingly, IT IS ORDERED</w:t>
      </w:r>
      <w:r>
        <w:t xml:space="preserve"> </w:t>
      </w:r>
      <w:r w:rsidRPr="00864B66">
        <w:t>that</w:t>
      </w:r>
      <w:r w:rsidRPr="00DA5ECA">
        <w:t xml:space="preserve">, pursuant to </w:t>
      </w:r>
      <w:r w:rsidRPr="00864B66">
        <w:t>the authority contained in sections</w:t>
      </w:r>
      <w:r>
        <w:t xml:space="preserve"> </w:t>
      </w:r>
      <w:r w:rsidRPr="00FC4AA5">
        <w:t>1, 4(</w:t>
      </w:r>
      <w:r w:rsidRPr="00FC4AA5">
        <w:t>i</w:t>
      </w:r>
      <w:r w:rsidRPr="00FC4AA5">
        <w:t>), 4(j), 5(c), 201, 254, and 303(r), of the Communications Act of 1934, as amended, 47 U.S.C. §§ 151, 154(</w:t>
      </w:r>
      <w:r w:rsidRPr="00FC4AA5">
        <w:t>i</w:t>
      </w:r>
      <w:r w:rsidRPr="00FC4AA5">
        <w:t xml:space="preserve">), 154(j), 155(c), 201, 254, 303(r), and sections </w:t>
      </w:r>
      <w:r>
        <w:t xml:space="preserve">0.21, 0.91, </w:t>
      </w:r>
      <w:r w:rsidRPr="00FC4AA5">
        <w:t xml:space="preserve">0.131, </w:t>
      </w:r>
      <w:r>
        <w:t xml:space="preserve">0.271, 0.291, </w:t>
      </w:r>
      <w:r w:rsidRPr="00FC4AA5">
        <w:t>0.331, and 1.3 of the Commission’s rules, 47</w:t>
      </w:r>
      <w:r>
        <w:t> </w:t>
      </w:r>
      <w:r w:rsidRPr="00FC4AA5">
        <w:t xml:space="preserve">C.F.R. §§ </w:t>
      </w:r>
      <w:r>
        <w:t xml:space="preserve">0.21, 0.91, </w:t>
      </w:r>
      <w:r w:rsidRPr="00FC4AA5">
        <w:t xml:space="preserve">0.131, 0.331, </w:t>
      </w:r>
      <w:r>
        <w:t xml:space="preserve">0.271, 0.291, </w:t>
      </w:r>
      <w:r w:rsidRPr="00FC4AA5">
        <w:t>and 1.3,</w:t>
      </w:r>
      <w:r w:rsidRPr="00E84CB4">
        <w:t xml:space="preserve"> the Request for Limited Waiver and Extension of Mobility Fund Phase I Public Interest Obligations, as amended, of Standing Rock Telecommunications, Inc. is HEREBY GRANTED to permit extension of the construction</w:t>
      </w:r>
      <w:r>
        <w:t>, drive testing,</w:t>
      </w:r>
      <w:r w:rsidRPr="00E84CB4">
        <w:t xml:space="preserve"> and reporting deadlines for SACs </w:t>
      </w:r>
      <w:r w:rsidRPr="00E84CB4">
        <w:rPr>
          <w:szCs w:val="22"/>
        </w:rPr>
        <w:t>388007, 388008, 398001, and 398002 through June 30, 2017</w:t>
      </w:r>
      <w:r w:rsidRPr="00E84CB4">
        <w:t>.</w:t>
      </w:r>
    </w:p>
    <w:p w:rsidR="00CD5787" w:rsidRPr="00E1785E" w:rsidP="00CD5787">
      <w:pPr>
        <w:pStyle w:val="ParaNum"/>
      </w:pPr>
      <w:r w:rsidRPr="00864B66">
        <w:t>IT IS FURTHER ORDERED that a copy of this Order SHALL BE transmitted</w:t>
      </w:r>
      <w:r w:rsidRPr="00DA5ECA">
        <w:t xml:space="preserve"> by</w:t>
      </w:r>
      <w:r w:rsidRPr="00E1785E">
        <w:t xml:space="preserve"> the Office of the Secretary to the Universal Service Administrative Company; and</w:t>
      </w:r>
    </w:p>
    <w:p w:rsidR="00CD5787" w:rsidRPr="00E84CB4" w:rsidP="00CD5787">
      <w:pPr>
        <w:pStyle w:val="ParaNum"/>
      </w:pPr>
      <w:r w:rsidRPr="00E1785E">
        <w:t>IT IS FURTHER ORDERED that, pursuant to section 1.102(b)(1) of the Commission’s rules, 47</w:t>
      </w:r>
      <w:r>
        <w:t> </w:t>
      </w:r>
      <w:r w:rsidRPr="00E1785E">
        <w:t xml:space="preserve">C.F.R. § 1.102(b)(1), this </w:t>
      </w:r>
      <w:r>
        <w:t>O</w:t>
      </w:r>
      <w:r w:rsidRPr="00E1785E">
        <w:t>rder SHALL BE effective upon release.</w:t>
      </w:r>
      <w:r w:rsidRPr="00E84CB4">
        <w:t xml:space="preserve">  </w:t>
      </w:r>
    </w:p>
    <w:p w:rsidR="00CD5787" w:rsidRPr="00E84CB4" w:rsidP="00CD5787">
      <w:pPr>
        <w:pStyle w:val="ParaNum"/>
        <w:numPr>
          <w:ilvl w:val="0"/>
          <w:numId w:val="0"/>
        </w:numPr>
      </w:pPr>
    </w:p>
    <w:p w:rsidR="00CD5787" w:rsidRPr="00E84CB4" w:rsidP="00CD5787">
      <w:pPr>
        <w:pStyle w:val="ParaNum"/>
        <w:numPr>
          <w:ilvl w:val="0"/>
          <w:numId w:val="0"/>
        </w:numPr>
        <w:ind w:left="2880" w:firstLine="720"/>
      </w:pPr>
      <w:r w:rsidRPr="00E84CB4">
        <w:t>FEDERAL COMMUNICATIONS COMMISSION</w:t>
      </w:r>
    </w:p>
    <w:p w:rsidR="00CD5787" w:rsidP="00CD5787">
      <w:pPr>
        <w:pStyle w:val="ParaNum"/>
        <w:numPr>
          <w:ilvl w:val="0"/>
          <w:numId w:val="0"/>
        </w:numPr>
      </w:pPr>
      <w:bookmarkStart w:id="7" w:name="SR;3307"/>
      <w:bookmarkStart w:id="8" w:name="SearchTerm"/>
      <w:bookmarkEnd w:id="7"/>
      <w:bookmarkEnd w:id="8"/>
    </w:p>
    <w:p w:rsidR="00CD5787" w:rsidRPr="00E84CB4" w:rsidP="00CD5787">
      <w:pPr>
        <w:pStyle w:val="ParaNum"/>
        <w:numPr>
          <w:ilvl w:val="0"/>
          <w:numId w:val="0"/>
        </w:numPr>
      </w:pPr>
    </w:p>
    <w:p w:rsidR="00CD5787" w:rsidRPr="00E84CB4" w:rsidP="00CD5787">
      <w:pPr>
        <w:pStyle w:val="ParaNum"/>
        <w:numPr>
          <w:ilvl w:val="0"/>
          <w:numId w:val="0"/>
        </w:numPr>
        <w:ind w:left="720"/>
      </w:pPr>
    </w:p>
    <w:p w:rsidR="00CD5787" w:rsidP="00CD5787">
      <w:pPr>
        <w:pStyle w:val="ParaNum"/>
        <w:numPr>
          <w:ilvl w:val="0"/>
          <w:numId w:val="0"/>
        </w:numPr>
        <w:spacing w:after="0"/>
        <w:ind w:left="2880" w:firstLine="720"/>
      </w:pPr>
      <w:r>
        <w:t>Kris A. Monteith</w:t>
      </w:r>
    </w:p>
    <w:p w:rsidR="00CD5787" w:rsidP="00CD5787">
      <w:pPr>
        <w:pStyle w:val="ParaNum"/>
        <w:numPr>
          <w:ilvl w:val="0"/>
          <w:numId w:val="0"/>
        </w:numPr>
        <w:spacing w:after="0"/>
        <w:ind w:left="3600"/>
      </w:pPr>
      <w:r>
        <w:t>Chief</w:t>
      </w:r>
    </w:p>
    <w:p w:rsidR="00CD5787" w:rsidP="00CD5787">
      <w:pPr>
        <w:ind w:left="3600"/>
      </w:pPr>
      <w:r>
        <w:t>Wireline Competition Bureau</w:t>
      </w:r>
    </w:p>
    <w:p w:rsidR="00CD5787" w:rsidP="00CD5787">
      <w:pPr>
        <w:pStyle w:val="ParaNum"/>
        <w:numPr>
          <w:ilvl w:val="0"/>
          <w:numId w:val="0"/>
        </w:numPr>
        <w:spacing w:after="0"/>
        <w:ind w:left="720"/>
      </w:pPr>
    </w:p>
    <w:p w:rsidR="00CD5787" w:rsidP="00CD5787"/>
    <w:p w:rsidR="00CD5787" w:rsidP="00CD5787"/>
    <w:p w:rsidR="00CD5787" w:rsidP="00CD5787">
      <w:pPr>
        <w:ind w:left="2880" w:firstLine="720"/>
      </w:pPr>
    </w:p>
    <w:p w:rsidR="00CD5787" w:rsidP="00CD5787">
      <w:pPr>
        <w:ind w:left="2880" w:firstLine="720"/>
      </w:pPr>
    </w:p>
    <w:p w:rsidR="00CD5787" w:rsidP="00CD5787">
      <w:pPr>
        <w:ind w:left="2880" w:firstLine="720"/>
      </w:pPr>
      <w:r>
        <w:t>Donald K. Stockdale</w:t>
      </w:r>
    </w:p>
    <w:p w:rsidR="00CD5787" w:rsidP="00CD5787">
      <w:pPr>
        <w:ind w:left="2880" w:firstLine="720"/>
      </w:pPr>
      <w:r>
        <w:t>Chief</w:t>
      </w:r>
    </w:p>
    <w:p w:rsidR="00CD5787" w:rsidRPr="00312D6E" w:rsidP="00CD5787">
      <w:pPr>
        <w:ind w:left="2880" w:firstLine="720"/>
      </w:pPr>
      <w:r>
        <w:t>Wireless Telecommunications Bureau</w:t>
      </w:r>
    </w:p>
    <w:p w:rsidR="00CD5787" w:rsidP="00CD5787">
      <w:pPr>
        <w:pStyle w:val="ParaNum"/>
        <w:numPr>
          <w:ilvl w:val="0"/>
          <w:numId w:val="0"/>
        </w:numPr>
        <w:spacing w:after="0"/>
        <w:ind w:left="2880" w:firstLine="720"/>
      </w:pPr>
    </w:p>
    <w:p w:rsidR="00CD5787" w:rsidP="00CD5787">
      <w:pPr>
        <w:pStyle w:val="ParaNum"/>
        <w:numPr>
          <w:ilvl w:val="0"/>
          <w:numId w:val="0"/>
        </w:numPr>
        <w:spacing w:after="0"/>
        <w:ind w:left="2880" w:firstLine="720"/>
      </w:pPr>
    </w:p>
    <w:p w:rsidR="00CD5787" w:rsidP="00CD5787">
      <w:pPr>
        <w:pStyle w:val="ParaNum"/>
        <w:numPr>
          <w:ilvl w:val="0"/>
          <w:numId w:val="0"/>
        </w:numPr>
        <w:spacing w:after="0"/>
        <w:ind w:left="2880" w:firstLine="720"/>
      </w:pPr>
    </w:p>
    <w:p w:rsidR="00CD5787" w:rsidP="00CD5787">
      <w:pPr>
        <w:pStyle w:val="ParaNum"/>
        <w:numPr>
          <w:ilvl w:val="0"/>
          <w:numId w:val="0"/>
        </w:numPr>
        <w:spacing w:after="0"/>
        <w:ind w:left="2880" w:firstLine="720"/>
      </w:pPr>
    </w:p>
    <w:p w:rsidR="00CD5787" w:rsidP="00CD5787">
      <w:pPr>
        <w:pStyle w:val="ParaNum"/>
        <w:numPr>
          <w:ilvl w:val="0"/>
          <w:numId w:val="0"/>
        </w:numPr>
        <w:spacing w:after="0"/>
        <w:ind w:left="2880" w:firstLine="720"/>
      </w:pPr>
    </w:p>
    <w:p w:rsidR="00CD5787" w:rsidRPr="00E84CB4" w:rsidP="00CD5787">
      <w:pPr>
        <w:pStyle w:val="ParaNum"/>
        <w:numPr>
          <w:ilvl w:val="0"/>
          <w:numId w:val="0"/>
        </w:numPr>
        <w:spacing w:after="0"/>
        <w:ind w:left="2880" w:firstLine="720"/>
      </w:pPr>
      <w:r w:rsidRPr="00E84CB4">
        <w:t>Margaret W. Wiener</w:t>
      </w:r>
    </w:p>
    <w:p w:rsidR="00CD5787" w:rsidRPr="00E84CB4" w:rsidP="00CD5787">
      <w:pPr>
        <w:pStyle w:val="ParaNum"/>
        <w:numPr>
          <w:ilvl w:val="0"/>
          <w:numId w:val="0"/>
        </w:numPr>
        <w:spacing w:after="0"/>
        <w:ind w:left="720"/>
      </w:pPr>
      <w:r w:rsidRPr="00E84CB4">
        <w:tab/>
      </w:r>
      <w:r w:rsidRPr="00E84CB4">
        <w:tab/>
      </w:r>
      <w:r w:rsidRPr="00E84CB4">
        <w:tab/>
      </w:r>
      <w:r w:rsidRPr="00E84CB4">
        <w:tab/>
        <w:t>Chief, Auctions Division</w:t>
      </w:r>
    </w:p>
    <w:p w:rsidR="00CD5787" w:rsidRPr="00E84CB4" w:rsidP="00CD5787">
      <w:pPr>
        <w:pStyle w:val="ParaNum"/>
        <w:numPr>
          <w:ilvl w:val="0"/>
          <w:numId w:val="0"/>
        </w:numPr>
        <w:spacing w:after="0"/>
        <w:ind w:left="720"/>
      </w:pPr>
      <w:r w:rsidRPr="00E84CB4">
        <w:tab/>
      </w:r>
      <w:r w:rsidRPr="00E84CB4">
        <w:tab/>
      </w:r>
      <w:r w:rsidRPr="00E84CB4">
        <w:tab/>
      </w:r>
      <w:r w:rsidRPr="00E84CB4">
        <w:tab/>
      </w:r>
      <w:r w:rsidRPr="00931A7B">
        <w:rPr>
          <w:szCs w:val="22"/>
        </w:rPr>
        <w:t>Office of Economics and Analytics</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D578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CD5787" w:rsidP="00CD5787">
      <w:pPr>
        <w:pStyle w:val="FootnoteText"/>
      </w:pPr>
      <w:r>
        <w:rPr>
          <w:rStyle w:val="FootnoteReference"/>
        </w:rPr>
        <w:footnoteRef/>
      </w:r>
      <w:r>
        <w:t xml:space="preserve"> </w:t>
      </w:r>
      <w:r w:rsidRPr="00AA785F">
        <w:rPr>
          <w:i/>
        </w:rPr>
        <w:t>See</w:t>
      </w:r>
      <w:r>
        <w:t xml:space="preserve"> 47 CFR §§ 0.91(p), 0.131(a); </w:t>
      </w:r>
      <w:r w:rsidRPr="008B061A">
        <w:rPr>
          <w:i/>
        </w:rPr>
        <w:t>see also</w:t>
      </w:r>
      <w:r>
        <w:t xml:space="preserve"> </w:t>
      </w:r>
      <w:r w:rsidRPr="008B061A">
        <w:rPr>
          <w:i/>
        </w:rPr>
        <w:t>id.</w:t>
      </w:r>
      <w:r>
        <w:t xml:space="preserve"> §§ 0.21(m), (o).</w:t>
      </w:r>
    </w:p>
  </w:footnote>
  <w:footnote w:id="4">
    <w:p w:rsidR="00CD5787" w:rsidRPr="009B3BCB" w:rsidP="00CD5787">
      <w:pPr>
        <w:tabs>
          <w:tab w:val="center" w:pos="4680"/>
        </w:tabs>
        <w:suppressAutoHyphens/>
        <w:spacing w:after="120"/>
        <w:rPr>
          <w:spacing w:val="-2"/>
        </w:rPr>
      </w:pPr>
      <w:r>
        <w:rPr>
          <w:rStyle w:val="FootnoteReference"/>
        </w:rPr>
        <w:footnoteRef/>
      </w:r>
      <w:r>
        <w:t xml:space="preserve"> </w:t>
      </w:r>
      <w:r w:rsidRPr="009B3BCB">
        <w:rPr>
          <w:i/>
          <w:sz w:val="20"/>
        </w:rPr>
        <w:t>See</w:t>
      </w:r>
      <w:r w:rsidRPr="009B3BCB">
        <w:rPr>
          <w:sz w:val="20"/>
        </w:rPr>
        <w:t xml:space="preserve"> </w:t>
      </w:r>
      <w:r w:rsidRPr="009F7BD0">
        <w:rPr>
          <w:sz w:val="20"/>
        </w:rPr>
        <w:t>Standing Rock</w:t>
      </w:r>
      <w:r w:rsidRPr="009B3BCB">
        <w:rPr>
          <w:sz w:val="20"/>
        </w:rPr>
        <w:t xml:space="preserve"> </w:t>
      </w:r>
      <w:r>
        <w:rPr>
          <w:sz w:val="20"/>
        </w:rPr>
        <w:t xml:space="preserve">[Second] </w:t>
      </w:r>
      <w:r w:rsidRPr="009B3BCB">
        <w:rPr>
          <w:sz w:val="20"/>
        </w:rPr>
        <w:t>Amended Request for Limited Waiver and Extension of Mobility Fund Phase I Public Interest Obligations, WC Docket No. 10-90; WT Docket No. 10-208 (filed Feb. 14, 2018)</w:t>
      </w:r>
      <w:r>
        <w:rPr>
          <w:sz w:val="20"/>
        </w:rPr>
        <w:t xml:space="preserve"> </w:t>
      </w:r>
      <w:r w:rsidRPr="00060F14">
        <w:rPr>
          <w:sz w:val="20"/>
        </w:rPr>
        <w:t>https://ecfsapi.fcc.gov/file/1021482941247/Standing%20Rock%20Amended%20Waiver%20Request%20REVISED%202018.02.14.pdf</w:t>
      </w:r>
      <w:r w:rsidRPr="009B3BCB">
        <w:rPr>
          <w:sz w:val="20"/>
        </w:rPr>
        <w:t xml:space="preserve"> (February 2018 Amended Waiver Request)</w:t>
      </w:r>
      <w:r>
        <w:rPr>
          <w:sz w:val="20"/>
        </w:rPr>
        <w:t xml:space="preserve">; </w:t>
      </w:r>
      <w:r>
        <w:t>Standing Rock</w:t>
      </w:r>
      <w:r>
        <w:rPr>
          <w:sz w:val="20"/>
        </w:rPr>
        <w:t xml:space="preserve"> </w:t>
      </w:r>
      <w:r w:rsidRPr="009B3BCB">
        <w:rPr>
          <w:sz w:val="20"/>
        </w:rPr>
        <w:t xml:space="preserve">Request for Limited </w:t>
      </w:r>
      <w:r w:rsidRPr="009B3BCB">
        <w:rPr>
          <w:sz w:val="20"/>
        </w:rPr>
        <w:t>Extention</w:t>
      </w:r>
      <w:r w:rsidRPr="009B3BCB">
        <w:rPr>
          <w:sz w:val="20"/>
        </w:rPr>
        <w:t xml:space="preserve"> [sic] Of Mobility Fund Phase 3 [sic] Deadline, WC Docket No. 10-90; WT Docket No. 10-208 (filed Dec. 23, 2016) (December 2016 Waiver Request</w:t>
      </w:r>
      <w:r>
        <w:rPr>
          <w:sz w:val="20"/>
        </w:rPr>
        <w:t>) (requesting extension of requirements until June 30, 2017)</w:t>
      </w:r>
      <w:r w:rsidRPr="009B3BCB">
        <w:rPr>
          <w:sz w:val="20"/>
        </w:rPr>
        <w:t>.</w:t>
      </w:r>
      <w:r>
        <w:rPr>
          <w:sz w:val="20"/>
        </w:rPr>
        <w:t xml:space="preserve">  </w:t>
      </w:r>
      <w:r w:rsidRPr="009F7BD0">
        <w:rPr>
          <w:sz w:val="20"/>
        </w:rPr>
        <w:t xml:space="preserve">Standing Rock </w:t>
      </w:r>
      <w:r w:rsidRPr="009B3BCB">
        <w:rPr>
          <w:sz w:val="20"/>
        </w:rPr>
        <w:t xml:space="preserve">initially amended the </w:t>
      </w:r>
      <w:r>
        <w:rPr>
          <w:sz w:val="20"/>
        </w:rPr>
        <w:t xml:space="preserve">December </w:t>
      </w:r>
      <w:r w:rsidRPr="009B3BCB">
        <w:rPr>
          <w:sz w:val="20"/>
        </w:rPr>
        <w:t xml:space="preserve">2016 Waiver Request on January 19, 2018. </w:t>
      </w:r>
      <w:r>
        <w:rPr>
          <w:sz w:val="20"/>
        </w:rPr>
        <w:t xml:space="preserve"> </w:t>
      </w:r>
      <w:r w:rsidRPr="009B3BCB">
        <w:rPr>
          <w:i/>
          <w:sz w:val="20"/>
        </w:rPr>
        <w:t>See</w:t>
      </w:r>
      <w:r w:rsidRPr="009B3BCB">
        <w:rPr>
          <w:sz w:val="20"/>
        </w:rPr>
        <w:t xml:space="preserve"> </w:t>
      </w:r>
      <w:r w:rsidRPr="009F7BD0">
        <w:rPr>
          <w:sz w:val="20"/>
        </w:rPr>
        <w:t>Standing Rock</w:t>
      </w:r>
      <w:r w:rsidRPr="009B3BCB">
        <w:rPr>
          <w:sz w:val="20"/>
        </w:rPr>
        <w:t xml:space="preserve"> Amended Request for Limited Waiver and Extension of Mobility Fund Phase I Public Interest Obligations, WC Docket No. 10-90; WT Docket No. 10-208 (filed Jan. 19, 2018) (January 2018 Amended Waiver Request). </w:t>
      </w:r>
      <w:r>
        <w:rPr>
          <w:sz w:val="20"/>
        </w:rPr>
        <w:t xml:space="preserve"> In t</w:t>
      </w:r>
      <w:r w:rsidRPr="009B3BCB">
        <w:rPr>
          <w:sz w:val="20"/>
        </w:rPr>
        <w:t>he February 2018 Amended Waiver Request</w:t>
      </w:r>
      <w:r>
        <w:rPr>
          <w:sz w:val="20"/>
        </w:rPr>
        <w:t>, however,</w:t>
      </w:r>
      <w:r w:rsidRPr="009B3BCB">
        <w:rPr>
          <w:sz w:val="20"/>
        </w:rPr>
        <w:t xml:space="preserve"> </w:t>
      </w:r>
      <w:r w:rsidRPr="009F7BD0">
        <w:rPr>
          <w:sz w:val="20"/>
        </w:rPr>
        <w:t>Standing Rock</w:t>
      </w:r>
      <w:r>
        <w:rPr>
          <w:sz w:val="20"/>
        </w:rPr>
        <w:t xml:space="preserve"> states that that February request </w:t>
      </w:r>
      <w:r w:rsidRPr="009B3BCB">
        <w:rPr>
          <w:sz w:val="20"/>
        </w:rPr>
        <w:t>supersedes and replaces entirely the January 2018 Amended Waiver Request.  February 2018 Amended Waiver Request at 1 n.2</w:t>
      </w:r>
      <w:r>
        <w:rPr>
          <w:sz w:val="20"/>
        </w:rPr>
        <w:t>.</w:t>
      </w:r>
      <w:r w:rsidRPr="009B3BCB">
        <w:rPr>
          <w:sz w:val="20"/>
        </w:rPr>
        <w:t xml:space="preserve">  In addition, we note that on December 17, 2018, the Mobility Division of the Wireless Telecommunications Bureau conditionally granted the request of </w:t>
      </w:r>
      <w:r w:rsidRPr="00814BB2">
        <w:rPr>
          <w:sz w:val="20"/>
        </w:rPr>
        <w:t>Standing Rock</w:t>
      </w:r>
      <w:r w:rsidRPr="009B3BCB">
        <w:rPr>
          <w:sz w:val="20"/>
        </w:rPr>
        <w:t xml:space="preserve"> for a </w:t>
      </w:r>
      <w:r w:rsidRPr="009B3BCB">
        <w:rPr>
          <w:i/>
          <w:sz w:val="20"/>
        </w:rPr>
        <w:t>nunc</w:t>
      </w:r>
      <w:r w:rsidRPr="009B3BCB">
        <w:rPr>
          <w:i/>
          <w:sz w:val="20"/>
        </w:rPr>
        <w:t xml:space="preserve"> pro </w:t>
      </w:r>
      <w:r w:rsidRPr="009B3BCB">
        <w:rPr>
          <w:i/>
          <w:sz w:val="20"/>
        </w:rPr>
        <w:t>tunc</w:t>
      </w:r>
      <w:r w:rsidRPr="009B3BCB">
        <w:rPr>
          <w:sz w:val="20"/>
        </w:rPr>
        <w:t xml:space="preserve"> waiver of the filing deadline to renew its Broadband PCS license, call sign WQJM325.</w:t>
      </w:r>
      <w:r w:rsidRPr="009B3BCB">
        <w:rPr>
          <w:spacing w:val="-2"/>
          <w:sz w:val="20"/>
        </w:rPr>
        <w:t xml:space="preserve"> </w:t>
      </w:r>
      <w:r>
        <w:rPr>
          <w:spacing w:val="-2"/>
          <w:sz w:val="20"/>
        </w:rPr>
        <w:t xml:space="preserve"> </w:t>
      </w:r>
      <w:r w:rsidRPr="009B3BCB">
        <w:rPr>
          <w:i/>
          <w:color w:val="000000"/>
          <w:sz w:val="20"/>
        </w:rPr>
        <w:t>Standing Rock Telecommunications, Inc.’s Request for Waiver and Renewal for Broadband PCS License WQJM</w:t>
      </w:r>
      <w:r w:rsidRPr="009B3BCB">
        <w:rPr>
          <w:i/>
          <w:sz w:val="20"/>
        </w:rPr>
        <w:t>325</w:t>
      </w:r>
      <w:r w:rsidRPr="009B3BCB">
        <w:rPr>
          <w:sz w:val="20"/>
        </w:rPr>
        <w:t>, Order, DA 18-1259 (</w:t>
      </w:r>
      <w:r>
        <w:rPr>
          <w:sz w:val="20"/>
        </w:rPr>
        <w:t>WTB</w:t>
      </w:r>
      <w:r w:rsidRPr="009B3BCB">
        <w:rPr>
          <w:sz w:val="20"/>
        </w:rPr>
        <w:t xml:space="preserve"> </w:t>
      </w:r>
      <w:r>
        <w:rPr>
          <w:sz w:val="20"/>
        </w:rPr>
        <w:t xml:space="preserve">Dec. 17, </w:t>
      </w:r>
      <w:r w:rsidRPr="009B3BCB">
        <w:rPr>
          <w:sz w:val="20"/>
        </w:rPr>
        <w:t>2018).</w:t>
      </w:r>
    </w:p>
  </w:footnote>
  <w:footnote w:id="5">
    <w:p w:rsidR="00CD5787" w:rsidP="00CD5787">
      <w:pPr>
        <w:pStyle w:val="FootnoteText"/>
      </w:pPr>
      <w:r>
        <w:rPr>
          <w:rStyle w:val="FootnoteReference"/>
        </w:rPr>
        <w:footnoteRef/>
      </w:r>
      <w:r>
        <w:t xml:space="preserve"> </w:t>
      </w:r>
      <w:r w:rsidRPr="00BA130A">
        <w:rPr>
          <w:i/>
        </w:rPr>
        <w:t xml:space="preserve">See </w:t>
      </w:r>
      <w:r w:rsidRPr="007F4A5D">
        <w:t>47 CFR § 1.3</w:t>
      </w:r>
      <w:r>
        <w:t xml:space="preserve">. </w:t>
      </w:r>
    </w:p>
  </w:footnote>
  <w:footnote w:id="6">
    <w:p w:rsidR="00CD5787" w:rsidRPr="00E84CB4" w:rsidP="00CD5787">
      <w:pPr>
        <w:pStyle w:val="FootnoteText"/>
      </w:pPr>
      <w:r w:rsidRPr="00E84CB4">
        <w:rPr>
          <w:rStyle w:val="FootnoteReference"/>
        </w:rPr>
        <w:footnoteRef/>
      </w:r>
      <w:r w:rsidRPr="00E84CB4">
        <w:t xml:space="preserve"> </w:t>
      </w:r>
      <w:r w:rsidRPr="00E84CB4">
        <w:rPr>
          <w:i/>
        </w:rPr>
        <w:t xml:space="preserve">See generally </w:t>
      </w:r>
      <w:r w:rsidRPr="00E84CB4">
        <w:rPr>
          <w:i/>
          <w:iCs/>
          <w:snapToGrid w:val="0"/>
        </w:rPr>
        <w:t>Connect America Fund et al.</w:t>
      </w:r>
      <w:r w:rsidRPr="00E84CB4">
        <w:rPr>
          <w:iCs/>
          <w:snapToGrid w:val="0"/>
        </w:rPr>
        <w:t>,</w:t>
      </w:r>
      <w:r w:rsidRPr="00E84CB4">
        <w:rPr>
          <w:i/>
          <w:iCs/>
          <w:snapToGrid w:val="0"/>
        </w:rPr>
        <w:t xml:space="preserve"> </w:t>
      </w:r>
      <w:r w:rsidRPr="00E84CB4">
        <w:rPr>
          <w:snapToGrid w:val="0"/>
        </w:rPr>
        <w:t xml:space="preserve">Report and Order and Further Notice of Proposed Rulemaking, 26 FCC </w:t>
      </w:r>
      <w:r w:rsidRPr="00E84CB4">
        <w:rPr>
          <w:snapToGrid w:val="0"/>
        </w:rPr>
        <w:t>Rcd</w:t>
      </w:r>
      <w:r w:rsidRPr="00E84CB4">
        <w:rPr>
          <w:snapToGrid w:val="0"/>
        </w:rPr>
        <w:t xml:space="preserve"> 17663 (2011)</w:t>
      </w:r>
      <w:r>
        <w:rPr>
          <w:snapToGrid w:val="0"/>
        </w:rPr>
        <w:t>,</w:t>
      </w:r>
      <w:r w:rsidRPr="00E84CB4">
        <w:rPr>
          <w:snapToGrid w:val="0"/>
        </w:rPr>
        <w:t xml:space="preserve"> </w:t>
      </w:r>
      <w:r w:rsidRPr="00E84CB4">
        <w:rPr>
          <w:i/>
          <w:iCs/>
          <w:snapToGrid w:val="0"/>
        </w:rPr>
        <w:t>aff’d sub nom.</w:t>
      </w:r>
      <w:r w:rsidRPr="00E84CB4">
        <w:rPr>
          <w:iCs/>
          <w:snapToGrid w:val="0"/>
        </w:rPr>
        <w:t>,</w:t>
      </w:r>
      <w:r w:rsidRPr="00E84CB4">
        <w:rPr>
          <w:i/>
          <w:iCs/>
          <w:snapToGrid w:val="0"/>
        </w:rPr>
        <w:t xml:space="preserve"> In re: FCC 11-161</w:t>
      </w:r>
      <w:r w:rsidRPr="00E84CB4">
        <w:rPr>
          <w:snapToGrid w:val="0"/>
        </w:rPr>
        <w:t>, 753 F.3d 1015 (10th Cir. 2014) (</w:t>
      </w:r>
      <w:r w:rsidRPr="00E84CB4">
        <w:rPr>
          <w:i/>
          <w:iCs/>
          <w:snapToGrid w:val="0"/>
        </w:rPr>
        <w:t>USF/ICC Transformation Order</w:t>
      </w:r>
      <w:r w:rsidRPr="00E84CB4">
        <w:rPr>
          <w:snapToGrid w:val="0"/>
        </w:rPr>
        <w:t>).</w:t>
      </w:r>
    </w:p>
  </w:footnote>
  <w:footnote w:id="7">
    <w:p w:rsidR="00CD5787" w:rsidRPr="00E84CB4" w:rsidP="00CD5787">
      <w:pPr>
        <w:pStyle w:val="FootnoteText"/>
      </w:pPr>
      <w:r w:rsidRPr="00E84CB4">
        <w:rPr>
          <w:rStyle w:val="FootnoteReference"/>
        </w:rPr>
        <w:footnoteRef/>
      </w:r>
      <w:r w:rsidRPr="00E84CB4">
        <w:t xml:space="preserve"> </w:t>
      </w:r>
      <w:r w:rsidRPr="00E84CB4">
        <w:rPr>
          <w:i/>
        </w:rPr>
        <w:t>USF/ICC Transformation Order</w:t>
      </w:r>
      <w:r w:rsidRPr="00E84CB4">
        <w:t xml:space="preserve">, 26 FCC </w:t>
      </w:r>
      <w:r w:rsidRPr="00E84CB4">
        <w:t>Rcd</w:t>
      </w:r>
      <w:r w:rsidRPr="00E84CB4">
        <w:t xml:space="preserve"> at 17773, para. 299.</w:t>
      </w:r>
    </w:p>
  </w:footnote>
  <w:footnote w:id="8">
    <w:p w:rsidR="00CD5787" w:rsidRPr="00E84CB4" w:rsidP="00CD5787">
      <w:pPr>
        <w:pStyle w:val="FootnoteText"/>
      </w:pPr>
      <w:r w:rsidRPr="00E84CB4">
        <w:rPr>
          <w:rStyle w:val="FootnoteReference"/>
        </w:rPr>
        <w:footnoteRef/>
      </w:r>
      <w:r w:rsidRPr="00E84CB4">
        <w:t xml:space="preserve"> </w:t>
      </w:r>
      <w:r w:rsidRPr="00E84CB4">
        <w:rPr>
          <w:i/>
        </w:rPr>
        <w:t>Id</w:t>
      </w:r>
      <w:r w:rsidRPr="00E84CB4">
        <w:t>.</w:t>
      </w:r>
    </w:p>
  </w:footnote>
  <w:footnote w:id="9">
    <w:p w:rsidR="00CD5787" w:rsidRPr="00E84CB4" w:rsidP="00CD5787">
      <w:pPr>
        <w:pStyle w:val="FootnoteText"/>
      </w:pPr>
      <w:r w:rsidRPr="00E84CB4">
        <w:rPr>
          <w:rStyle w:val="FootnoteReference"/>
        </w:rPr>
        <w:footnoteRef/>
      </w:r>
      <w:r w:rsidRPr="00E84CB4">
        <w:t xml:space="preserve"> </w:t>
      </w:r>
      <w:r w:rsidRPr="00E84CB4">
        <w:rPr>
          <w:i/>
          <w:iCs/>
          <w:snapToGrid w:val="0"/>
        </w:rPr>
        <w:t>USF/ICC Transformation Order</w:t>
      </w:r>
      <w:r w:rsidRPr="00E84CB4">
        <w:rPr>
          <w:snapToGrid w:val="0"/>
        </w:rPr>
        <w:t xml:space="preserve">, 26 FCC </w:t>
      </w:r>
      <w:r w:rsidRPr="00E84CB4">
        <w:rPr>
          <w:snapToGrid w:val="0"/>
        </w:rPr>
        <w:t>Rcd</w:t>
      </w:r>
      <w:r w:rsidRPr="00E84CB4">
        <w:rPr>
          <w:snapToGrid w:val="0"/>
        </w:rPr>
        <w:t xml:space="preserve"> at 17675, </w:t>
      </w:r>
      <w:r w:rsidRPr="00E84CB4">
        <w:t>para. 28.</w:t>
      </w:r>
      <w:r w:rsidRPr="00E84CB4">
        <w:rPr>
          <w:snapToGrid w:val="0"/>
        </w:rPr>
        <w:t>  </w:t>
      </w:r>
    </w:p>
  </w:footnote>
  <w:footnote w:id="10">
    <w:p w:rsidR="00CD5787" w:rsidRPr="00E84CB4" w:rsidP="00CD5787">
      <w:pPr>
        <w:pStyle w:val="FootnoteText"/>
      </w:pPr>
      <w:r w:rsidRPr="00E84CB4">
        <w:rPr>
          <w:rStyle w:val="FootnoteReference"/>
        </w:rPr>
        <w:footnoteRef/>
      </w:r>
      <w:r w:rsidRPr="00E84CB4">
        <w:t xml:space="preserve"> </w:t>
      </w:r>
      <w:r w:rsidRPr="00E84CB4">
        <w:rPr>
          <w:i/>
        </w:rPr>
        <w:t>Mobility Fund Phase I Auction Scheduled for September 27, 2012; Notice and Filing Requirements and Other Procedures for Auction 901</w:t>
      </w:r>
      <w:r w:rsidRPr="00E84CB4">
        <w:t xml:space="preserve">, </w:t>
      </w:r>
      <w:r w:rsidRPr="00E84CB4">
        <w:rPr>
          <w:rStyle w:val="Emphasis"/>
        </w:rPr>
        <w:t>Public Notice</w:t>
      </w:r>
      <w:r w:rsidRPr="00E84CB4">
        <w:t xml:space="preserve">, 27 FCC </w:t>
      </w:r>
      <w:r w:rsidRPr="00E84CB4">
        <w:t>Rcd</w:t>
      </w:r>
      <w:r w:rsidRPr="00E84CB4">
        <w:t xml:space="preserve"> 4725, 4748</w:t>
      </w:r>
      <w:r>
        <w:t>,</w:t>
      </w:r>
      <w:r w:rsidRPr="00E84CB4">
        <w:t xml:space="preserve"> para. 71 (WCB/WTB 2012) (</w:t>
      </w:r>
      <w:r w:rsidRPr="00E84CB4">
        <w:rPr>
          <w:rStyle w:val="Emphasis"/>
        </w:rPr>
        <w:t>Auction 901 Procedures Public Notice</w:t>
      </w:r>
      <w:r w:rsidRPr="00E84CB4">
        <w:t>).</w:t>
      </w:r>
    </w:p>
  </w:footnote>
  <w:footnote w:id="11">
    <w:p w:rsidR="00CD5787" w:rsidRPr="00E84CB4" w:rsidP="00CD5787">
      <w:pPr>
        <w:pStyle w:val="FootnoteText"/>
      </w:pPr>
      <w:r w:rsidRPr="00E84CB4">
        <w:rPr>
          <w:rStyle w:val="FootnoteReference"/>
        </w:rPr>
        <w:footnoteRef/>
      </w:r>
      <w:r w:rsidRPr="00E84CB4">
        <w:t xml:space="preserve"> </w:t>
      </w:r>
      <w:r w:rsidRPr="00E84CB4">
        <w:rPr>
          <w:i/>
        </w:rPr>
        <w:t>Id.</w:t>
      </w:r>
    </w:p>
  </w:footnote>
  <w:footnote w:id="12">
    <w:p w:rsidR="00CD5787" w:rsidRPr="00E84CB4" w:rsidP="00CD5787">
      <w:pPr>
        <w:pStyle w:val="FootnoteText"/>
      </w:pPr>
      <w:r w:rsidRPr="00E84CB4">
        <w:rPr>
          <w:rStyle w:val="FootnoteReference"/>
        </w:rPr>
        <w:footnoteRef/>
      </w:r>
      <w:r w:rsidRPr="00E84CB4">
        <w:t xml:space="preserve"> A winning bidder will receive </w:t>
      </w:r>
      <w:r>
        <w:t>MF-</w:t>
      </w:r>
      <w:r w:rsidRPr="00E84CB4">
        <w:t xml:space="preserve">I support only for the actual road miles covered, up to 100 percent, within the area covered by their winning bids.  </w:t>
      </w:r>
      <w:r w:rsidRPr="00E84CB4">
        <w:rPr>
          <w:i/>
        </w:rPr>
        <w:t>USF/ICC Transformation Order</w:t>
      </w:r>
      <w:r w:rsidRPr="00E84CB4">
        <w:t xml:space="preserve">, 26 FCC </w:t>
      </w:r>
      <w:r w:rsidRPr="00E84CB4">
        <w:t>Rcd</w:t>
      </w:r>
      <w:r w:rsidRPr="00E84CB4">
        <w:t xml:space="preserve"> at 17793, para. 367. </w:t>
      </w:r>
    </w:p>
  </w:footnote>
  <w:footnote w:id="13">
    <w:p w:rsidR="00CD5787" w:rsidRPr="00E84CB4" w:rsidP="00CD5787">
      <w:pPr>
        <w:pStyle w:val="FootnoteText"/>
      </w:pPr>
      <w:r w:rsidRPr="00E84CB4">
        <w:rPr>
          <w:rStyle w:val="FootnoteReference"/>
        </w:rPr>
        <w:footnoteRef/>
      </w:r>
      <w:r w:rsidRPr="00E84CB4">
        <w:t xml:space="preserve"> 47 CFR § 54.1006(a).</w:t>
      </w:r>
    </w:p>
  </w:footnote>
  <w:footnote w:id="14">
    <w:p w:rsidR="00CD5787" w:rsidRPr="00E84CB4" w:rsidP="00CD5787">
      <w:pPr>
        <w:pStyle w:val="FootnoteText"/>
      </w:pPr>
      <w:r w:rsidRPr="00E84CB4">
        <w:rPr>
          <w:rStyle w:val="FootnoteReference"/>
        </w:rPr>
        <w:footnoteRef/>
      </w:r>
      <w:r w:rsidRPr="00E84CB4">
        <w:t xml:space="preserve"> </w:t>
      </w:r>
      <w:r w:rsidRPr="00E84CB4">
        <w:rPr>
          <w:i/>
        </w:rPr>
        <w:t>Id.</w:t>
      </w:r>
      <w:r w:rsidRPr="00E84CB4">
        <w:t xml:space="preserve"> § 54.1006(b).</w:t>
      </w:r>
      <w:r>
        <w:t xml:space="preserve">  Absent a waiver</w:t>
      </w:r>
      <w:r w:rsidRPr="00E84CB4">
        <w:t xml:space="preserve">, a winning bidder that has been authorized to receive </w:t>
      </w:r>
      <w:r>
        <w:t>MF-</w:t>
      </w:r>
      <w:r w:rsidRPr="00E84CB4">
        <w:t xml:space="preserve">I support will be subject to a performance default payment if it fails or is unable to meet its minimum coverage requirement by the specified deadline, fails to meet other service requirements, or fails to fulfill any other term or condition of </w:t>
      </w:r>
      <w:r>
        <w:t>MF-</w:t>
      </w:r>
      <w:r w:rsidRPr="00E84CB4">
        <w:t>I support</w:t>
      </w:r>
      <w:r>
        <w:t xml:space="preserve">.  </w:t>
      </w:r>
      <w:r w:rsidRPr="006262CB">
        <w:rPr>
          <w:i/>
        </w:rPr>
        <w:t>Auction 901 Procedures Public Notice</w:t>
      </w:r>
      <w:r>
        <w:t xml:space="preserve">, 27 FCC </w:t>
      </w:r>
      <w:r>
        <w:t>Rcd</w:t>
      </w:r>
      <w:r>
        <w:t xml:space="preserve"> at 4777, para. 189; </w:t>
      </w:r>
      <w:r w:rsidRPr="006262CB">
        <w:rPr>
          <w:i/>
        </w:rPr>
        <w:t>see</w:t>
      </w:r>
      <w:r>
        <w:t xml:space="preserve"> 47 CFR § 54.1006(f).  </w:t>
      </w:r>
      <w:r w:rsidRPr="00E84CB4">
        <w:t>For each performance default, a winning bidder must repay all disbursements received for the area covered by that winning bid, together with an additional default payment of 10 percent of the total amount of support for which it is eligible in the area covered by the defaulted winning bid.</w:t>
      </w:r>
      <w:r w:rsidRPr="00420481">
        <w:rPr>
          <w:i/>
        </w:rPr>
        <w:t xml:space="preserve"> </w:t>
      </w:r>
      <w:r>
        <w:rPr>
          <w:i/>
        </w:rPr>
        <w:t xml:space="preserve"> </w:t>
      </w:r>
      <w:r w:rsidRPr="00E84CB4">
        <w:rPr>
          <w:i/>
        </w:rPr>
        <w:t xml:space="preserve">See </w:t>
      </w:r>
      <w:r w:rsidRPr="00E84CB4">
        <w:t xml:space="preserve">47 CFR § 54.1006(f); </w:t>
      </w:r>
      <w:r w:rsidRPr="00E84CB4">
        <w:rPr>
          <w:i/>
        </w:rPr>
        <w:t>Auction 901 Procedures Public Notice</w:t>
      </w:r>
      <w:r w:rsidRPr="00E84CB4">
        <w:t xml:space="preserve">, 27 FCC </w:t>
      </w:r>
      <w:r w:rsidRPr="00E84CB4">
        <w:t>Rcd</w:t>
      </w:r>
      <w:r w:rsidRPr="00E84CB4">
        <w:t xml:space="preserve"> at 4777</w:t>
      </w:r>
      <w:r>
        <w:t>,</w:t>
      </w:r>
      <w:r w:rsidRPr="00E84CB4">
        <w:t xml:space="preserve"> para. 189.</w:t>
      </w:r>
    </w:p>
  </w:footnote>
  <w:footnote w:id="15">
    <w:p w:rsidR="00CD5787" w:rsidP="00CD5787">
      <w:pPr>
        <w:pStyle w:val="FootnoteText"/>
      </w:pPr>
      <w:r>
        <w:rPr>
          <w:rStyle w:val="FootnoteReference"/>
        </w:rPr>
        <w:footnoteRef/>
      </w:r>
      <w:r>
        <w:t xml:space="preserve"> 47 CFR § 54.1008(b).</w:t>
      </w:r>
    </w:p>
  </w:footnote>
  <w:footnote w:id="16">
    <w:p w:rsidR="00CD5787" w:rsidRPr="00E84CB4" w:rsidP="00CD5787">
      <w:pPr>
        <w:pStyle w:val="FootnoteText"/>
      </w:pPr>
      <w:r w:rsidRPr="00E84CB4">
        <w:rPr>
          <w:rStyle w:val="FootnoteReference"/>
        </w:rPr>
        <w:footnoteRef/>
      </w:r>
      <w:r w:rsidRPr="00E84CB4">
        <w:t xml:space="preserve"> </w:t>
      </w:r>
      <w:r w:rsidRPr="00E84CB4">
        <w:rPr>
          <w:i/>
        </w:rPr>
        <w:t>Id.</w:t>
      </w:r>
      <w:r w:rsidRPr="00E84CB4">
        <w:t xml:space="preserve"> § 54.1008(b)(1).  </w:t>
      </w:r>
    </w:p>
  </w:footnote>
  <w:footnote w:id="17">
    <w:p w:rsidR="00CD5787" w:rsidRPr="00E84CB4" w:rsidP="00CD5787">
      <w:pPr>
        <w:pStyle w:val="FootnoteText"/>
      </w:pPr>
      <w:r w:rsidRPr="00E84CB4">
        <w:rPr>
          <w:rStyle w:val="FootnoteReference"/>
        </w:rPr>
        <w:footnoteRef/>
      </w:r>
      <w:r w:rsidRPr="00E84CB4">
        <w:t xml:space="preserve"> </w:t>
      </w:r>
      <w:r w:rsidRPr="00E84CB4">
        <w:rPr>
          <w:i/>
        </w:rPr>
        <w:t>Id.</w:t>
      </w:r>
      <w:r w:rsidRPr="00E84CB4">
        <w:t xml:space="preserve"> </w:t>
      </w:r>
      <w:bookmarkStart w:id="2" w:name="_Hlk2597826"/>
      <w:r w:rsidRPr="00E84CB4">
        <w:t xml:space="preserve">§ 54.1008(b)(2).  </w:t>
      </w:r>
      <w:bookmarkStart w:id="3" w:name="_Hlk2597141"/>
      <w:bookmarkEnd w:id="2"/>
      <w:r w:rsidRPr="00E84CB4">
        <w:t>Recipients are not required to request a second disbursement</w:t>
      </w:r>
      <w:r>
        <w:t xml:space="preserve"> </w:t>
      </w:r>
      <w:r w:rsidRPr="00E84CB4">
        <w:t xml:space="preserve">and may instead request the remainder of their total support as a final disbursement upon completion of construction, after demonstrating coverage that meets the applicable requirements of section 54.1006. </w:t>
      </w:r>
      <w:r>
        <w:t xml:space="preserve"> </w:t>
      </w:r>
      <w:r w:rsidRPr="00051E41">
        <w:rPr>
          <w:i/>
        </w:rPr>
        <w:t>Id</w:t>
      </w:r>
      <w:r>
        <w:t xml:space="preserve">. </w:t>
      </w:r>
      <w:r w:rsidRPr="00E84CB4">
        <w:t>§ 54.1008(b)</w:t>
      </w:r>
      <w:r>
        <w:t>.</w:t>
      </w:r>
    </w:p>
    <w:bookmarkEnd w:id="3"/>
  </w:footnote>
  <w:footnote w:id="18">
    <w:p w:rsidR="00CD5787" w:rsidRPr="00E84CB4" w:rsidP="00CD5787">
      <w:pPr>
        <w:pStyle w:val="FootnoteText"/>
      </w:pPr>
      <w:r w:rsidRPr="00E84CB4">
        <w:rPr>
          <w:rStyle w:val="FootnoteReference"/>
        </w:rPr>
        <w:footnoteRef/>
      </w:r>
      <w:r w:rsidRPr="00E84CB4">
        <w:t xml:space="preserve"> 47 CFR § 54.1008(b)(3).  </w:t>
      </w:r>
    </w:p>
  </w:footnote>
  <w:footnote w:id="19">
    <w:p w:rsidR="00CD5787" w:rsidRPr="00864B66" w:rsidP="00CD5787">
      <w:pPr>
        <w:widowControl/>
        <w:autoSpaceDE w:val="0"/>
        <w:autoSpaceDN w:val="0"/>
        <w:adjustRightInd w:val="0"/>
        <w:spacing w:after="120"/>
        <w:rPr>
          <w:iCs/>
          <w:sz w:val="20"/>
        </w:rPr>
      </w:pPr>
      <w:r>
        <w:rPr>
          <w:rStyle w:val="FootnoteReference"/>
        </w:rPr>
        <w:footnoteRef/>
      </w:r>
      <w:r>
        <w:t xml:space="preserve">  </w:t>
      </w:r>
      <w:r w:rsidRPr="00420481">
        <w:rPr>
          <w:sz w:val="20"/>
        </w:rPr>
        <w:t>February 2018 Amended Waiver Request</w:t>
      </w:r>
      <w:r w:rsidRPr="00420481">
        <w:rPr>
          <w:sz w:val="20"/>
        </w:rPr>
        <w:t xml:space="preserve"> </w:t>
      </w:r>
      <w:r w:rsidRPr="00420481">
        <w:rPr>
          <w:sz w:val="20"/>
        </w:rPr>
        <w:t>at 3-4</w:t>
      </w:r>
      <w:r>
        <w:rPr>
          <w:sz w:val="20"/>
        </w:rPr>
        <w:t>.</w:t>
      </w:r>
      <w:r w:rsidRPr="00420481">
        <w:rPr>
          <w:sz w:val="20"/>
        </w:rPr>
        <w:t xml:space="preserve"> </w:t>
      </w:r>
      <w:r w:rsidRPr="0053331C">
        <w:rPr>
          <w:iCs/>
          <w:snapToGrid/>
          <w:kern w:val="0"/>
          <w:sz w:val="20"/>
        </w:rPr>
        <w:t xml:space="preserve">According to </w:t>
      </w:r>
      <w:r w:rsidRPr="0046246D">
        <w:rPr>
          <w:sz w:val="20"/>
        </w:rPr>
        <w:t>Standing Roc</w:t>
      </w:r>
      <w:r>
        <w:t>k</w:t>
      </w:r>
      <w:r w:rsidRPr="0053331C">
        <w:rPr>
          <w:iCs/>
          <w:snapToGrid/>
          <w:kern w:val="0"/>
          <w:sz w:val="20"/>
        </w:rPr>
        <w:t>, the Reservation encompasses over 2.3 million acres of land in North Dakota and South Dakota</w:t>
      </w:r>
      <w:r>
        <w:rPr>
          <w:iCs/>
          <w:snapToGrid/>
          <w:kern w:val="0"/>
          <w:sz w:val="20"/>
        </w:rPr>
        <w:t>,</w:t>
      </w:r>
      <w:r w:rsidRPr="0053331C">
        <w:rPr>
          <w:iCs/>
          <w:snapToGrid/>
          <w:kern w:val="0"/>
          <w:sz w:val="20"/>
        </w:rPr>
        <w:t xml:space="preserve"> with a population of approximately 8,500 people </w:t>
      </w:r>
      <w:r w:rsidRPr="00B40A40">
        <w:rPr>
          <w:iCs/>
          <w:snapToGrid/>
          <w:kern w:val="0"/>
          <w:sz w:val="20"/>
        </w:rPr>
        <w:t xml:space="preserve">and a population density </w:t>
      </w:r>
      <w:r w:rsidRPr="00FD65FF">
        <w:rPr>
          <w:iCs/>
          <w:snapToGrid/>
          <w:kern w:val="0"/>
          <w:sz w:val="20"/>
        </w:rPr>
        <w:t>of approximately 3.7 persons per square mile in the North Dakota portion of the Reservation and 1.7 persons per square mile in the South Dakota portion</w:t>
      </w:r>
      <w:r w:rsidRPr="00E365C1">
        <w:rPr>
          <w:iCs/>
          <w:snapToGrid/>
          <w:kern w:val="0"/>
          <w:sz w:val="20"/>
        </w:rPr>
        <w:t xml:space="preserve"> of</w:t>
      </w:r>
      <w:r>
        <w:rPr>
          <w:iCs/>
          <w:snapToGrid/>
          <w:kern w:val="0"/>
          <w:sz w:val="20"/>
        </w:rPr>
        <w:t xml:space="preserve"> </w:t>
      </w:r>
      <w:r w:rsidRPr="00F560B2">
        <w:rPr>
          <w:iCs/>
          <w:sz w:val="20"/>
        </w:rPr>
        <w:t xml:space="preserve">the Reservation.  </w:t>
      </w:r>
      <w:r w:rsidRPr="00F560B2">
        <w:rPr>
          <w:i/>
          <w:iCs/>
          <w:sz w:val="20"/>
        </w:rPr>
        <w:t>Id.</w:t>
      </w:r>
      <w:r w:rsidRPr="00F560B2">
        <w:rPr>
          <w:iCs/>
          <w:sz w:val="20"/>
        </w:rPr>
        <w:t xml:space="preserve"> at 4.</w:t>
      </w:r>
    </w:p>
  </w:footnote>
  <w:footnote w:id="20">
    <w:p w:rsidR="00CD5787" w:rsidRPr="00E84CB4" w:rsidP="00CD5787">
      <w:pPr>
        <w:pStyle w:val="FootnoteText"/>
      </w:pPr>
      <w:r w:rsidRPr="00E84CB4">
        <w:rPr>
          <w:rStyle w:val="FootnoteReference"/>
        </w:rPr>
        <w:footnoteRef/>
      </w:r>
      <w:r w:rsidRPr="00E84CB4">
        <w:t xml:space="preserve"> </w:t>
      </w:r>
      <w:r w:rsidRPr="00E84CB4">
        <w:rPr>
          <w:i/>
          <w:iCs/>
        </w:rPr>
        <w:t>See Mobility Fund Phase I Support Authorized For 222 Winning Bids; Default on 94 Auction Winnings Bids Determined</w:t>
      </w:r>
      <w:r w:rsidRPr="00E84CB4">
        <w:rPr>
          <w:iCs/>
        </w:rPr>
        <w:t xml:space="preserve">, Public Notice, 28 FCC </w:t>
      </w:r>
      <w:r w:rsidRPr="00E84CB4">
        <w:rPr>
          <w:iCs/>
        </w:rPr>
        <w:t>Rcd</w:t>
      </w:r>
      <w:r w:rsidRPr="00E84CB4">
        <w:rPr>
          <w:iCs/>
        </w:rPr>
        <w:t xml:space="preserve"> 17062, </w:t>
      </w:r>
      <w:r>
        <w:rPr>
          <w:iCs/>
        </w:rPr>
        <w:t xml:space="preserve">17075 </w:t>
      </w:r>
      <w:r w:rsidRPr="00E84CB4">
        <w:rPr>
          <w:iCs/>
        </w:rPr>
        <w:t>(WCB/WTB 2013) (</w:t>
      </w:r>
      <w:r w:rsidRPr="00E84CB4">
        <w:rPr>
          <w:i/>
          <w:iCs/>
        </w:rPr>
        <w:t>MF-I Support Authorization Public Notice</w:t>
      </w:r>
      <w:r w:rsidRPr="00E84CB4">
        <w:rPr>
          <w:iCs/>
        </w:rPr>
        <w:t>);</w:t>
      </w:r>
      <w:r w:rsidRPr="00E84CB4">
        <w:rPr>
          <w:i/>
          <w:iCs/>
        </w:rPr>
        <w:t xml:space="preserve"> Mobility Fund Phase I Auction Closes; Winning Bidders Announced for Auction 901</w:t>
      </w:r>
      <w:r w:rsidRPr="00E84CB4">
        <w:t xml:space="preserve">, Public Notice, 27 FCC </w:t>
      </w:r>
      <w:r w:rsidRPr="00E84CB4">
        <w:t>Rcd</w:t>
      </w:r>
      <w:r w:rsidRPr="00E84CB4">
        <w:t xml:space="preserve"> 12031</w:t>
      </w:r>
      <w:r>
        <w:t>, 12045</w:t>
      </w:r>
      <w:r w:rsidRPr="00E84CB4">
        <w:t xml:space="preserve"> (WTB 2012)</w:t>
      </w:r>
      <w:r>
        <w:t xml:space="preserve"> (</w:t>
      </w:r>
      <w:r w:rsidRPr="00051E41">
        <w:rPr>
          <w:i/>
        </w:rPr>
        <w:t>MF-I Auction Closing Public Notice</w:t>
      </w:r>
      <w:r>
        <w:t>)</w:t>
      </w:r>
      <w:r w:rsidRPr="00E84CB4">
        <w:t>.</w:t>
      </w:r>
      <w:r>
        <w:t xml:space="preserve">  In its application for MF-I support, Standing Rock was required to certify that it w</w:t>
      </w:r>
      <w:r w:rsidRPr="00036C97">
        <w:t>ill offer service in supported areas at rates that are within a reasonable range of rates for similar service plans offered by mobile wireless providers in urban areas for a period extending until five (5) years after the date on which it is authorized to receive support</w:t>
      </w:r>
      <w:r w:rsidRPr="00BC1434">
        <w:t xml:space="preserve">.  47 CFR </w:t>
      </w:r>
      <w:r w:rsidRPr="00E84CB4">
        <w:t>§ 54.100</w:t>
      </w:r>
      <w:r>
        <w:t>5</w:t>
      </w:r>
      <w:r w:rsidRPr="00E84CB4">
        <w:t>(b)</w:t>
      </w:r>
      <w:r>
        <w:t xml:space="preserve">(2)(viii).  </w:t>
      </w:r>
      <w:r w:rsidRPr="00AB5DA3">
        <w:t xml:space="preserve">As of December 23, 2018, </w:t>
      </w:r>
      <w:r>
        <w:t>Standing Rock</w:t>
      </w:r>
      <w:r w:rsidRPr="00AB5DA3">
        <w:t xml:space="preserve"> had been authorized to receive MF-I support for five years.</w:t>
      </w:r>
    </w:p>
  </w:footnote>
  <w:footnote w:id="21">
    <w:p w:rsidR="00CD5787" w:rsidP="00CD5787">
      <w:pPr>
        <w:pStyle w:val="FootnoteText"/>
      </w:pPr>
      <w:r>
        <w:rPr>
          <w:rStyle w:val="FootnoteReference"/>
        </w:rPr>
        <w:footnoteRef/>
      </w:r>
      <w:r>
        <w:rPr>
          <w:i/>
        </w:rPr>
        <w:t xml:space="preserve"> </w:t>
      </w:r>
      <w:r w:rsidRPr="00FE02DC">
        <w:rPr>
          <w:i/>
        </w:rPr>
        <w:t>MF-I Auction Closing Public Notice</w:t>
      </w:r>
      <w:r>
        <w:rPr>
          <w:iCs/>
        </w:rPr>
        <w:t xml:space="preserve">, </w:t>
      </w:r>
      <w:r w:rsidRPr="00E84CB4">
        <w:t xml:space="preserve">27 FCC </w:t>
      </w:r>
      <w:r w:rsidRPr="00E84CB4">
        <w:t>Rcd</w:t>
      </w:r>
      <w:r w:rsidRPr="00E84CB4">
        <w:t xml:space="preserve"> 12031</w:t>
      </w:r>
      <w:r>
        <w:t xml:space="preserve">, 12045, </w:t>
      </w:r>
      <w:r>
        <w:rPr>
          <w:iCs/>
        </w:rPr>
        <w:t xml:space="preserve">Appendix A; </w:t>
      </w:r>
      <w:r w:rsidRPr="00051E41">
        <w:rPr>
          <w:i/>
          <w:iCs/>
        </w:rPr>
        <w:t>see also</w:t>
      </w:r>
      <w:r>
        <w:rPr>
          <w:iCs/>
        </w:rPr>
        <w:t xml:space="preserve"> </w:t>
      </w:r>
      <w:r w:rsidRPr="00E84CB4">
        <w:t>47 CFR § 54.1008(b)(</w:t>
      </w:r>
      <w:r>
        <w:t xml:space="preserve">1)-(3); </w:t>
      </w:r>
      <w:r w:rsidRPr="00F560B2">
        <w:t>February 2018 Amended Waiver Request</w:t>
      </w:r>
      <w:r w:rsidRPr="00F560B2">
        <w:t xml:space="preserve"> </w:t>
      </w:r>
      <w:r w:rsidRPr="00F560B2">
        <w:t>at</w:t>
      </w:r>
      <w:r>
        <w:t xml:space="preserve"> 6-7.</w:t>
      </w:r>
    </w:p>
  </w:footnote>
  <w:footnote w:id="22">
    <w:p w:rsidR="00CD5787" w:rsidRPr="00E84CB4" w:rsidP="00CD5787">
      <w:pPr>
        <w:pStyle w:val="FootnoteText"/>
        <w:rPr>
          <w:i/>
          <w:iCs/>
        </w:rPr>
      </w:pPr>
      <w:r w:rsidRPr="00E84CB4">
        <w:rPr>
          <w:rStyle w:val="FootnoteReference"/>
        </w:rPr>
        <w:footnoteRef/>
      </w:r>
      <w:r w:rsidRPr="00E84CB4">
        <w:t xml:space="preserve"> 47 CFR § 54.100</w:t>
      </w:r>
      <w:r>
        <w:t xml:space="preserve">6(a); </w:t>
      </w:r>
      <w:r>
        <w:rPr>
          <w:i/>
        </w:rPr>
        <w:t>s</w:t>
      </w:r>
      <w:r w:rsidRPr="00E84CB4">
        <w:rPr>
          <w:i/>
        </w:rPr>
        <w:t>ee MF-I Support Authorization Public Notice</w:t>
      </w:r>
      <w:r>
        <w:rPr>
          <w:i/>
        </w:rPr>
        <w:t xml:space="preserve">, </w:t>
      </w:r>
      <w:r w:rsidRPr="00E84CB4">
        <w:rPr>
          <w:iCs/>
        </w:rPr>
        <w:t xml:space="preserve">28 FCC </w:t>
      </w:r>
      <w:r w:rsidRPr="00E84CB4">
        <w:rPr>
          <w:iCs/>
        </w:rPr>
        <w:t>Rcd</w:t>
      </w:r>
      <w:r>
        <w:rPr>
          <w:iCs/>
        </w:rPr>
        <w:t xml:space="preserve"> at </w:t>
      </w:r>
      <w:r w:rsidRPr="00E84CB4">
        <w:rPr>
          <w:iCs/>
        </w:rPr>
        <w:t>170</w:t>
      </w:r>
      <w:r>
        <w:rPr>
          <w:iCs/>
        </w:rPr>
        <w:t>75.</w:t>
      </w:r>
      <w:r w:rsidRPr="00E84CB4">
        <w:t xml:space="preserve"> </w:t>
      </w:r>
    </w:p>
  </w:footnote>
  <w:footnote w:id="23">
    <w:p w:rsidR="00CD5787" w:rsidRPr="00E84CB4" w:rsidP="00CD5787">
      <w:pPr>
        <w:pStyle w:val="FootnoteText"/>
      </w:pPr>
      <w:r w:rsidRPr="00E84CB4">
        <w:rPr>
          <w:rStyle w:val="FootnoteReference"/>
        </w:rPr>
        <w:footnoteRef/>
      </w:r>
      <w:r w:rsidRPr="00E84CB4">
        <w:t xml:space="preserve"> </w:t>
      </w:r>
      <w:r w:rsidRPr="00E84CB4">
        <w:rPr>
          <w:i/>
        </w:rPr>
        <w:t xml:space="preserve">See </w:t>
      </w:r>
      <w:r>
        <w:t>Standing Rock</w:t>
      </w:r>
      <w:r w:rsidRPr="00E84CB4">
        <w:t xml:space="preserve"> Request for Limited Waiver and </w:t>
      </w:r>
      <w:r w:rsidRPr="00E84CB4">
        <w:t>Extention</w:t>
      </w:r>
      <w:r w:rsidRPr="00E84CB4">
        <w:t xml:space="preserve"> [sic] Of Mobility Fund Phase 3 [sic] Deadline, WC Docket No. 10-90; WT Docket No. 10-208</w:t>
      </w:r>
      <w:r>
        <w:t>, at 1</w:t>
      </w:r>
      <w:r w:rsidRPr="00E84CB4">
        <w:t xml:space="preserve"> (filed Dec. 24, 2015), https://ecfsapi.fcc.gov/file/60001390918.pdf.</w:t>
      </w:r>
    </w:p>
  </w:footnote>
  <w:footnote w:id="24">
    <w:p w:rsidR="00CD5787" w:rsidRPr="00E84CB4" w:rsidP="00CD5787">
      <w:pPr>
        <w:pStyle w:val="FootnoteText"/>
      </w:pPr>
      <w:r w:rsidRPr="00E84CB4">
        <w:rPr>
          <w:rStyle w:val="FootnoteReference"/>
        </w:rPr>
        <w:footnoteRef/>
      </w:r>
      <w:r w:rsidRPr="00E84CB4">
        <w:t xml:space="preserve"> </w:t>
      </w:r>
      <w:r w:rsidRPr="00E84CB4">
        <w:rPr>
          <w:i/>
        </w:rPr>
        <w:t>See</w:t>
      </w:r>
      <w:r w:rsidRPr="00E84CB4">
        <w:t xml:space="preserve"> Letter from Fred McLaughlin, Telecommunications General Manager, Standing Rock Telecommunications</w:t>
      </w:r>
      <w:r>
        <w:t xml:space="preserve"> Inc.</w:t>
      </w:r>
      <w:r w:rsidRPr="00E84CB4">
        <w:t xml:space="preserve">, to Marlene H. Dortch, Secretary, FCC </w:t>
      </w:r>
      <w:r>
        <w:t xml:space="preserve">at 2-3 </w:t>
      </w:r>
      <w:r w:rsidRPr="00E84CB4">
        <w:t>(June 20, 2016)</w:t>
      </w:r>
      <w:r>
        <w:t>,</w:t>
      </w:r>
      <w:r w:rsidRPr="00E84CB4">
        <w:t xml:space="preserve"> https://ecfsapi.fcc.gov/file/</w:t>
      </w:r>
      <w:r w:rsidRPr="00E84CB4">
        <w:br/>
        <w:t>10620242401163/SRT%204G%20Buildout%20Request.pdf.</w:t>
      </w:r>
    </w:p>
  </w:footnote>
  <w:footnote w:id="25">
    <w:p w:rsidR="00CD5787" w:rsidRPr="00E84CB4" w:rsidP="00CD5787">
      <w:pPr>
        <w:pStyle w:val="FootnoteText"/>
      </w:pPr>
      <w:r w:rsidRPr="00E84CB4">
        <w:rPr>
          <w:rStyle w:val="FootnoteReference"/>
        </w:rPr>
        <w:footnoteRef/>
      </w:r>
      <w:r w:rsidRPr="00E84CB4">
        <w:t xml:space="preserve"> </w:t>
      </w:r>
      <w:r w:rsidRPr="00E84CB4">
        <w:rPr>
          <w:i/>
        </w:rPr>
        <w:t>See</w:t>
      </w:r>
      <w:r w:rsidRPr="00E84CB4">
        <w:t xml:space="preserve"> </w:t>
      </w:r>
      <w:r w:rsidRPr="00E84CB4">
        <w:rPr>
          <w:i/>
        </w:rPr>
        <w:t>Revised Construction Deadline Approved for Recipients of Mobility Fund Phase I Support</w:t>
      </w:r>
      <w:r w:rsidRPr="00E84CB4">
        <w:t xml:space="preserve">, Public Notice, 31 FCC </w:t>
      </w:r>
      <w:r w:rsidRPr="00E84CB4">
        <w:t>Rcd</w:t>
      </w:r>
      <w:r w:rsidRPr="00E84CB4">
        <w:t xml:space="preserve"> 8997</w:t>
      </w:r>
      <w:r>
        <w:t>, 8997-98</w:t>
      </w:r>
      <w:r w:rsidRPr="00E84CB4">
        <w:t xml:space="preserve"> (WCB/WTB 2016).</w:t>
      </w:r>
    </w:p>
  </w:footnote>
  <w:footnote w:id="26">
    <w:p w:rsidR="00CD5787" w:rsidRPr="00E84CB4" w:rsidP="00CD5787">
      <w:pPr>
        <w:pStyle w:val="FootnoteText"/>
      </w:pPr>
      <w:r w:rsidRPr="00E84CB4">
        <w:rPr>
          <w:rStyle w:val="FootnoteReference"/>
        </w:rPr>
        <w:footnoteRef/>
      </w:r>
      <w:r w:rsidRPr="00E84CB4">
        <w:t xml:space="preserve"> </w:t>
      </w:r>
      <w:r w:rsidRPr="00E84CB4">
        <w:rPr>
          <w:i/>
        </w:rPr>
        <w:t>See</w:t>
      </w:r>
      <w:r w:rsidRPr="00E84CB4">
        <w:t xml:space="preserve"> </w:t>
      </w:r>
      <w:r>
        <w:t>December 2016 Waiver Request at 2.</w:t>
      </w:r>
    </w:p>
  </w:footnote>
  <w:footnote w:id="27">
    <w:p w:rsidR="00CD5787" w:rsidRPr="00E84CB4" w:rsidP="00CD5787">
      <w:pPr>
        <w:pStyle w:val="FootnoteText"/>
      </w:pPr>
      <w:r w:rsidRPr="00E84CB4">
        <w:rPr>
          <w:rStyle w:val="FootnoteReference"/>
        </w:rPr>
        <w:footnoteRef/>
      </w:r>
      <w:r w:rsidRPr="00E84CB4">
        <w:t xml:space="preserve"> February 2018 Amended Waiver Request</w:t>
      </w:r>
      <w:r>
        <w:t xml:space="preserve"> </w:t>
      </w:r>
      <w:r w:rsidRPr="00E84CB4">
        <w:t xml:space="preserve">at </w:t>
      </w:r>
      <w:r>
        <w:t>1 (citing 47 CFR § 1.3)</w:t>
      </w:r>
      <w:r w:rsidRPr="00E84CB4">
        <w:t xml:space="preserve">. </w:t>
      </w:r>
    </w:p>
  </w:footnote>
  <w:footnote w:id="28">
    <w:p w:rsidR="00CD5787" w:rsidRPr="00E84CB4" w:rsidP="00CD5787">
      <w:pPr>
        <w:pStyle w:val="FootnoteText"/>
      </w:pPr>
      <w:r w:rsidRPr="00E84CB4">
        <w:rPr>
          <w:rStyle w:val="FootnoteReference"/>
        </w:rPr>
        <w:footnoteRef/>
      </w:r>
      <w:r w:rsidRPr="00E84CB4">
        <w:t xml:space="preserve"> </w:t>
      </w:r>
      <w:r w:rsidRPr="000C297A">
        <w:rPr>
          <w:i/>
        </w:rPr>
        <w:t>Id.</w:t>
      </w:r>
      <w:r>
        <w:t xml:space="preserve"> </w:t>
      </w:r>
      <w:r w:rsidRPr="00E84CB4">
        <w:t xml:space="preserve">at </w:t>
      </w:r>
      <w:r>
        <w:t>1-</w:t>
      </w:r>
      <w:r w:rsidRPr="00E84CB4">
        <w:t xml:space="preserve">2. </w:t>
      </w:r>
    </w:p>
  </w:footnote>
  <w:footnote w:id="29">
    <w:p w:rsidR="00CD5787" w:rsidRPr="00E84CB4" w:rsidP="00CD5787">
      <w:pPr>
        <w:pStyle w:val="FootnoteText"/>
        <w:rPr>
          <w:i/>
        </w:rPr>
      </w:pPr>
      <w:r w:rsidRPr="00E84CB4">
        <w:rPr>
          <w:rStyle w:val="FootnoteReference"/>
        </w:rPr>
        <w:footnoteRef/>
      </w:r>
      <w:r w:rsidRPr="00E84CB4">
        <w:t xml:space="preserve"> </w:t>
      </w:r>
      <w:r>
        <w:rPr>
          <w:i/>
        </w:rPr>
        <w:t>I</w:t>
      </w:r>
      <w:r w:rsidRPr="00E84CB4">
        <w:rPr>
          <w:i/>
        </w:rPr>
        <w:t>d.</w:t>
      </w:r>
      <w:r>
        <w:t xml:space="preserve"> </w:t>
      </w:r>
      <w:r w:rsidRPr="00420481">
        <w:t xml:space="preserve">at </w:t>
      </w:r>
      <w:r>
        <w:t xml:space="preserve">2, </w:t>
      </w:r>
      <w:r w:rsidRPr="00420481">
        <w:t>8-10.</w:t>
      </w:r>
    </w:p>
  </w:footnote>
  <w:footnote w:id="30">
    <w:p w:rsidR="00CD5787" w:rsidP="00CD5787">
      <w:pPr>
        <w:pStyle w:val="FootnoteText"/>
      </w:pPr>
      <w:r>
        <w:rPr>
          <w:rStyle w:val="FootnoteReference"/>
        </w:rPr>
        <w:footnoteRef/>
      </w:r>
      <w:r>
        <w:t xml:space="preserve"> </w:t>
      </w:r>
      <w:r>
        <w:rPr>
          <w:i/>
        </w:rPr>
        <w:t>I</w:t>
      </w:r>
      <w:r w:rsidRPr="00E84CB4">
        <w:rPr>
          <w:i/>
        </w:rPr>
        <w:t>d.</w:t>
      </w:r>
      <w:r>
        <w:t xml:space="preserve"> </w:t>
      </w:r>
      <w:r w:rsidRPr="00371773">
        <w:t>at 8</w:t>
      </w:r>
      <w:r>
        <w:t>.</w:t>
      </w:r>
    </w:p>
  </w:footnote>
  <w:footnote w:id="31">
    <w:p w:rsidR="00CD5787" w:rsidRPr="0069671F" w:rsidP="00CD5787">
      <w:pPr>
        <w:pStyle w:val="FootnoteText"/>
      </w:pPr>
      <w:r w:rsidRPr="00E84CB4">
        <w:rPr>
          <w:rStyle w:val="FootnoteReference"/>
        </w:rPr>
        <w:footnoteRef/>
      </w:r>
      <w:r w:rsidRPr="00E84CB4">
        <w:t xml:space="preserve"> </w:t>
      </w:r>
      <w:r>
        <w:rPr>
          <w:i/>
        </w:rPr>
        <w:t>Id.</w:t>
      </w:r>
    </w:p>
  </w:footnote>
  <w:footnote w:id="32">
    <w:p w:rsidR="00CD5787" w:rsidRPr="0069671F" w:rsidP="00CD5787">
      <w:pPr>
        <w:pStyle w:val="FootnoteText"/>
      </w:pPr>
      <w:r w:rsidRPr="00E84CB4">
        <w:rPr>
          <w:rStyle w:val="FootnoteReference"/>
        </w:rPr>
        <w:footnoteRef/>
      </w:r>
      <w:r w:rsidRPr="00E84CB4">
        <w:t xml:space="preserve"> </w:t>
      </w:r>
      <w:r>
        <w:rPr>
          <w:i/>
        </w:rPr>
        <w:t>Id.</w:t>
      </w:r>
      <w:r>
        <w:t xml:space="preserve"> at 8-9; </w:t>
      </w:r>
      <w:r w:rsidRPr="005D5E72">
        <w:rPr>
          <w:i/>
        </w:rPr>
        <w:t>see</w:t>
      </w:r>
      <w:r w:rsidRPr="0016178F">
        <w:t xml:space="preserve"> Mayra </w:t>
      </w:r>
      <w:r w:rsidRPr="0016178F">
        <w:t>Caevas</w:t>
      </w:r>
      <w:r w:rsidRPr="0016178F">
        <w:t xml:space="preserve">, Sara Sidner, and </w:t>
      </w:r>
      <w:r w:rsidRPr="0016178F">
        <w:t>Darran</w:t>
      </w:r>
      <w:r w:rsidRPr="0016178F">
        <w:t xml:space="preserve"> Simon, Dakota Access Pipeline </w:t>
      </w:r>
      <w:r>
        <w:t>P</w:t>
      </w:r>
      <w:r w:rsidRPr="0016178F">
        <w:t xml:space="preserve">rotest </w:t>
      </w:r>
      <w:r>
        <w:t>S</w:t>
      </w:r>
      <w:r w:rsidRPr="0016178F">
        <w:t xml:space="preserve">ite </w:t>
      </w:r>
      <w:r>
        <w:t>I</w:t>
      </w:r>
      <w:r w:rsidRPr="0016178F">
        <w:t xml:space="preserve">s </w:t>
      </w:r>
      <w:r>
        <w:t>C</w:t>
      </w:r>
      <w:r w:rsidRPr="0016178F">
        <w:t xml:space="preserve">leared, CNN </w:t>
      </w:r>
      <w:r>
        <w:t>(</w:t>
      </w:r>
      <w:r w:rsidRPr="0016178F">
        <w:t>Feb. 23, 2017</w:t>
      </w:r>
      <w:r>
        <w:t xml:space="preserve">, 7:09 PM), </w:t>
      </w:r>
      <w:r w:rsidRPr="0016178F">
        <w:t>https://www.cnn.com/2017/02/22/us/dakota-access-pipeline-evacuation</w:t>
      </w:r>
      <w:r>
        <w:t>-</w:t>
      </w:r>
      <w:r w:rsidRPr="0016178F">
        <w:t>order/index.html.</w:t>
      </w:r>
    </w:p>
  </w:footnote>
  <w:footnote w:id="33">
    <w:p w:rsidR="00CD5787" w:rsidRPr="0069671F" w:rsidP="00CD5787">
      <w:pPr>
        <w:pStyle w:val="FootnoteText"/>
      </w:pPr>
      <w:r w:rsidRPr="00E84CB4">
        <w:rPr>
          <w:rStyle w:val="FootnoteReference"/>
        </w:rPr>
        <w:footnoteRef/>
      </w:r>
      <w:r w:rsidRPr="00E84CB4">
        <w:t xml:space="preserve"> </w:t>
      </w:r>
      <w:r w:rsidRPr="00E84CB4">
        <w:rPr>
          <w:i/>
        </w:rPr>
        <w:t xml:space="preserve">See </w:t>
      </w:r>
      <w:r w:rsidRPr="00E84CB4">
        <w:t>February 2018 Amended Waiver Request</w:t>
      </w:r>
      <w:r>
        <w:t xml:space="preserve"> at 9.</w:t>
      </w:r>
    </w:p>
  </w:footnote>
  <w:footnote w:id="34">
    <w:p w:rsidR="00CD5787" w:rsidRPr="00993025" w:rsidP="00CD5787">
      <w:pPr>
        <w:pStyle w:val="FootnoteText"/>
      </w:pPr>
      <w:r w:rsidRPr="00E84CB4">
        <w:rPr>
          <w:rStyle w:val="FootnoteReference"/>
        </w:rPr>
        <w:footnoteRef/>
      </w:r>
      <w:r w:rsidRPr="00E84CB4">
        <w:t xml:space="preserve"> </w:t>
      </w:r>
      <w:r w:rsidRPr="00E84CB4">
        <w:rPr>
          <w:i/>
        </w:rPr>
        <w:t>See id.</w:t>
      </w:r>
      <w:r>
        <w:t xml:space="preserve"> at 9-10.</w:t>
      </w:r>
    </w:p>
  </w:footnote>
  <w:footnote w:id="35">
    <w:p w:rsidR="00CD5787" w:rsidP="00CD5787">
      <w:pPr>
        <w:pStyle w:val="FootnoteText"/>
      </w:pPr>
      <w:r>
        <w:rPr>
          <w:rStyle w:val="FootnoteReference"/>
        </w:rPr>
        <w:footnoteRef/>
      </w:r>
      <w:r>
        <w:t xml:space="preserve"> </w:t>
      </w:r>
      <w:r w:rsidRPr="00717E4B">
        <w:rPr>
          <w:i/>
        </w:rPr>
        <w:t>Id.</w:t>
      </w:r>
      <w:r>
        <w:t xml:space="preserve"> at 9.</w:t>
      </w:r>
    </w:p>
  </w:footnote>
  <w:footnote w:id="36">
    <w:p w:rsidR="00CD5787" w:rsidRPr="00A7745E" w:rsidP="00CD5787">
      <w:pPr>
        <w:pStyle w:val="FootnoteText"/>
      </w:pPr>
      <w:r w:rsidRPr="00E84CB4">
        <w:rPr>
          <w:rStyle w:val="FootnoteReference"/>
        </w:rPr>
        <w:footnoteRef/>
      </w:r>
      <w:r w:rsidRPr="00E84CB4">
        <w:t xml:space="preserve"> </w:t>
      </w:r>
      <w:r w:rsidRPr="00E84CB4">
        <w:rPr>
          <w:i/>
        </w:rPr>
        <w:t>See id.</w:t>
      </w:r>
      <w:r>
        <w:t xml:space="preserve"> at 8-10.</w:t>
      </w:r>
    </w:p>
  </w:footnote>
  <w:footnote w:id="37">
    <w:p w:rsidR="00CD5787" w:rsidP="00CD5787">
      <w:pPr>
        <w:pStyle w:val="FootnoteText"/>
      </w:pPr>
      <w:r>
        <w:rPr>
          <w:rStyle w:val="FootnoteReference"/>
        </w:rPr>
        <w:footnoteRef/>
      </w:r>
      <w:r>
        <w:t xml:space="preserve"> </w:t>
      </w:r>
      <w:r w:rsidRPr="00051E41">
        <w:rPr>
          <w:i/>
        </w:rPr>
        <w:t>Id</w:t>
      </w:r>
      <w:r>
        <w:t>. at 8 (</w:t>
      </w:r>
      <w:r w:rsidRPr="00892021">
        <w:t>citing</w:t>
      </w:r>
      <w:r>
        <w:t xml:space="preserve"> </w:t>
      </w:r>
      <w:r w:rsidRPr="00DC2E11">
        <w:t xml:space="preserve">Mayra </w:t>
      </w:r>
      <w:r w:rsidRPr="00DC2E11">
        <w:t>Caevas</w:t>
      </w:r>
      <w:r w:rsidRPr="00DC2E11">
        <w:t xml:space="preserve">, Sara Sidner, and </w:t>
      </w:r>
      <w:r w:rsidRPr="00DC2E11">
        <w:t>Darran</w:t>
      </w:r>
      <w:r w:rsidRPr="00DC2E11">
        <w:t xml:space="preserve"> Simon,</w:t>
      </w:r>
      <w:r w:rsidRPr="0016178F">
        <w:t xml:space="preserve"> Dakota Access Pipeline </w:t>
      </w:r>
      <w:r>
        <w:t>P</w:t>
      </w:r>
      <w:r w:rsidRPr="0016178F">
        <w:t xml:space="preserve">rotest </w:t>
      </w:r>
      <w:r>
        <w:t>S</w:t>
      </w:r>
      <w:r w:rsidRPr="0016178F">
        <w:t xml:space="preserve">ite </w:t>
      </w:r>
      <w:r>
        <w:t>I</w:t>
      </w:r>
      <w:r w:rsidRPr="0016178F">
        <w:t xml:space="preserve">s </w:t>
      </w:r>
      <w:r>
        <w:t>C</w:t>
      </w:r>
      <w:r w:rsidRPr="0016178F">
        <w:t xml:space="preserve">leared, CNN </w:t>
      </w:r>
      <w:r>
        <w:t>(</w:t>
      </w:r>
      <w:r w:rsidRPr="0016178F">
        <w:t>Feb. 23, 2017</w:t>
      </w:r>
      <w:r>
        <w:t xml:space="preserve">, 7:09 PM), </w:t>
      </w:r>
      <w:r w:rsidRPr="0016178F">
        <w:t>https://www.cnn.com/2017/02/22/us/dakota-access-pipeline-evacuation</w:t>
      </w:r>
      <w:r>
        <w:t>-</w:t>
      </w:r>
      <w:r w:rsidRPr="0016178F">
        <w:t>order/index.html</w:t>
      </w:r>
      <w:r>
        <w:t>)</w:t>
      </w:r>
      <w:r w:rsidRPr="0016178F">
        <w:t>.</w:t>
      </w:r>
    </w:p>
  </w:footnote>
  <w:footnote w:id="38">
    <w:p w:rsidR="00CD5787" w:rsidRPr="00E84CB4" w:rsidP="00CD5787">
      <w:pPr>
        <w:pStyle w:val="FootnoteText"/>
      </w:pPr>
      <w:r w:rsidRPr="00E84CB4">
        <w:rPr>
          <w:rStyle w:val="FootnoteReference"/>
        </w:rPr>
        <w:footnoteRef/>
      </w:r>
      <w:r w:rsidRPr="00E84CB4">
        <w:t xml:space="preserve"> </w:t>
      </w:r>
      <w:r w:rsidRPr="00E84CB4">
        <w:rPr>
          <w:i/>
        </w:rPr>
        <w:t xml:space="preserve">See id. </w:t>
      </w:r>
      <w:r w:rsidRPr="00E84CB4">
        <w:t xml:space="preserve">at 2, </w:t>
      </w:r>
      <w:r>
        <w:t>7</w:t>
      </w:r>
      <w:r w:rsidRPr="00E84CB4">
        <w:t>-8.</w:t>
      </w:r>
    </w:p>
  </w:footnote>
  <w:footnote w:id="39">
    <w:p w:rsidR="00CD5787" w:rsidRPr="00E84CB4" w:rsidP="00CD5787">
      <w:pPr>
        <w:pStyle w:val="FootnoteText"/>
      </w:pPr>
      <w:r w:rsidRPr="00E84CB4">
        <w:rPr>
          <w:rStyle w:val="FootnoteReference"/>
        </w:rPr>
        <w:footnoteRef/>
      </w:r>
      <w:r w:rsidRPr="00E84CB4">
        <w:t xml:space="preserve"> </w:t>
      </w:r>
      <w:r w:rsidRPr="00E84CB4">
        <w:rPr>
          <w:i/>
        </w:rPr>
        <w:t xml:space="preserve">See id. </w:t>
      </w:r>
      <w:r w:rsidRPr="00E84CB4">
        <w:t xml:space="preserve">at 8. </w:t>
      </w:r>
    </w:p>
  </w:footnote>
  <w:footnote w:id="40">
    <w:p w:rsidR="00CD5787" w:rsidRPr="00E84CB4" w:rsidP="00CD5787">
      <w:pPr>
        <w:pStyle w:val="FootnoteText"/>
      </w:pPr>
      <w:r w:rsidRPr="00E84CB4">
        <w:rPr>
          <w:rStyle w:val="FootnoteReference"/>
        </w:rPr>
        <w:footnoteRef/>
      </w:r>
      <w:r w:rsidRPr="00E84CB4">
        <w:t xml:space="preserve"> </w:t>
      </w:r>
      <w:r w:rsidRPr="00E84CB4">
        <w:rPr>
          <w:i/>
        </w:rPr>
        <w:t>See id.</w:t>
      </w:r>
    </w:p>
  </w:footnote>
  <w:footnote w:id="41">
    <w:p w:rsidR="00CD5787" w:rsidRPr="00E84CB4" w:rsidP="00CD5787">
      <w:pPr>
        <w:pStyle w:val="FootnoteText"/>
      </w:pPr>
      <w:r w:rsidRPr="00E84CB4">
        <w:rPr>
          <w:rStyle w:val="FootnoteReference"/>
        </w:rPr>
        <w:footnoteRef/>
      </w:r>
      <w:r w:rsidRPr="00E84CB4">
        <w:t xml:space="preserve"> </w:t>
      </w:r>
      <w:r w:rsidRPr="00E84CB4">
        <w:rPr>
          <w:i/>
        </w:rPr>
        <w:t>See id.</w:t>
      </w:r>
    </w:p>
  </w:footnote>
  <w:footnote w:id="42">
    <w:p w:rsidR="00CD5787" w:rsidP="00CD5787">
      <w:pPr>
        <w:pStyle w:val="FootnoteText"/>
      </w:pPr>
      <w:r>
        <w:rPr>
          <w:rStyle w:val="FootnoteReference"/>
        </w:rPr>
        <w:footnoteRef/>
      </w:r>
      <w:r>
        <w:t xml:space="preserve"> </w:t>
      </w:r>
      <w:r w:rsidRPr="00ED4C17">
        <w:rPr>
          <w:i/>
        </w:rPr>
        <w:t>See</w:t>
      </w:r>
      <w:r>
        <w:t xml:space="preserve"> </w:t>
      </w:r>
      <w:r w:rsidRPr="00ED4C17">
        <w:rPr>
          <w:i/>
        </w:rPr>
        <w:t>id.</w:t>
      </w:r>
      <w:r>
        <w:t xml:space="preserve"> at 2, 10-11.</w:t>
      </w:r>
    </w:p>
  </w:footnote>
  <w:footnote w:id="43">
    <w:p w:rsidR="00CD5787" w:rsidRPr="00E84CB4" w:rsidP="00CD5787">
      <w:pPr>
        <w:pStyle w:val="FootnoteText"/>
      </w:pPr>
      <w:r w:rsidRPr="00E84CB4">
        <w:rPr>
          <w:rStyle w:val="FootnoteReference"/>
        </w:rPr>
        <w:footnoteRef/>
      </w:r>
      <w:r w:rsidRPr="00E84CB4">
        <w:t xml:space="preserve"> </w:t>
      </w:r>
      <w:r w:rsidRPr="00E84CB4">
        <w:rPr>
          <w:i/>
        </w:rPr>
        <w:t xml:space="preserve">See </w:t>
      </w:r>
      <w:r>
        <w:rPr>
          <w:i/>
        </w:rPr>
        <w:t xml:space="preserve">id. </w:t>
      </w:r>
      <w:r w:rsidRPr="00E84CB4">
        <w:t>at 2, 10-11.</w:t>
      </w:r>
    </w:p>
  </w:footnote>
  <w:footnote w:id="44">
    <w:p w:rsidR="00CD5787" w:rsidRPr="00E84CB4" w:rsidP="00CD5787">
      <w:pPr>
        <w:pStyle w:val="FootnoteText"/>
      </w:pPr>
      <w:r w:rsidRPr="00E84CB4">
        <w:rPr>
          <w:rStyle w:val="FootnoteReference"/>
        </w:rPr>
        <w:footnoteRef/>
      </w:r>
      <w:r w:rsidRPr="00E84CB4">
        <w:t xml:space="preserve"> </w:t>
      </w:r>
      <w:r w:rsidRPr="00E84CB4">
        <w:rPr>
          <w:i/>
        </w:rPr>
        <w:t>See id.</w:t>
      </w:r>
      <w:r w:rsidRPr="00E84CB4">
        <w:t xml:space="preserve"> at 11.</w:t>
      </w:r>
    </w:p>
  </w:footnote>
  <w:footnote w:id="45">
    <w:p w:rsidR="00CD5787" w:rsidP="00CD5787">
      <w:pPr>
        <w:pStyle w:val="FootnoteText"/>
      </w:pPr>
      <w:r>
        <w:rPr>
          <w:rStyle w:val="FootnoteReference"/>
        </w:rPr>
        <w:footnoteRef/>
      </w:r>
      <w:r>
        <w:t xml:space="preserve"> </w:t>
      </w:r>
      <w:r>
        <w:rPr>
          <w:i/>
        </w:rPr>
        <w:t>Id.</w:t>
      </w:r>
      <w:r>
        <w:t xml:space="preserve"> at 12.</w:t>
      </w:r>
    </w:p>
  </w:footnote>
  <w:footnote w:id="46">
    <w:p w:rsidR="00CD5787" w:rsidP="00CD5787">
      <w:pPr>
        <w:pStyle w:val="FootnoteText"/>
      </w:pPr>
      <w:r>
        <w:rPr>
          <w:rStyle w:val="FootnoteReference"/>
        </w:rPr>
        <w:footnoteRef/>
      </w:r>
      <w:r>
        <w:t xml:space="preserve"> </w:t>
      </w:r>
      <w:r w:rsidRPr="00420481">
        <w:rPr>
          <w:i/>
        </w:rPr>
        <w:t>Id</w:t>
      </w:r>
      <w:r>
        <w:t>.</w:t>
      </w:r>
    </w:p>
  </w:footnote>
  <w:footnote w:id="47">
    <w:p w:rsidR="00CD5787" w:rsidP="00CD5787">
      <w:pPr>
        <w:pStyle w:val="FootnoteText"/>
      </w:pPr>
      <w:r>
        <w:rPr>
          <w:rStyle w:val="FootnoteReference"/>
        </w:rPr>
        <w:footnoteRef/>
      </w:r>
      <w:r>
        <w:t xml:space="preserve"> </w:t>
      </w:r>
      <w:r>
        <w:rPr>
          <w:i/>
        </w:rPr>
        <w:t>Id.</w:t>
      </w:r>
      <w:r>
        <w:t xml:space="preserve"> at 13. </w:t>
      </w:r>
    </w:p>
  </w:footnote>
  <w:footnote w:id="48">
    <w:p w:rsidR="00CD5787" w:rsidP="00CD5787">
      <w:pPr>
        <w:pStyle w:val="FootnoteText"/>
      </w:pPr>
      <w:r>
        <w:rPr>
          <w:rStyle w:val="FootnoteReference"/>
        </w:rPr>
        <w:footnoteRef/>
      </w:r>
      <w:r>
        <w:t xml:space="preserve"> </w:t>
      </w:r>
      <w:r w:rsidRPr="007F4A5D">
        <w:t>47 CFR § 1.3</w:t>
      </w:r>
      <w:r>
        <w:t>.</w:t>
      </w:r>
    </w:p>
  </w:footnote>
  <w:footnote w:id="49">
    <w:p w:rsidR="00CD5787" w:rsidRPr="008C2A06" w:rsidP="00CD5787">
      <w:pPr>
        <w:pStyle w:val="FootnoteText"/>
      </w:pPr>
      <w:r w:rsidRPr="008C2A06">
        <w:rPr>
          <w:rStyle w:val="FootnoteReference"/>
        </w:rPr>
        <w:footnoteRef/>
      </w:r>
      <w:r w:rsidRPr="008C2A06">
        <w:t xml:space="preserve"> </w:t>
      </w:r>
      <w:r w:rsidRPr="008C2A06">
        <w:rPr>
          <w:i/>
        </w:rPr>
        <w:t>See N</w:t>
      </w:r>
      <w:r>
        <w:rPr>
          <w:i/>
        </w:rPr>
        <w:t>e.</w:t>
      </w:r>
      <w:r w:rsidRPr="008C2A06">
        <w:rPr>
          <w:i/>
        </w:rPr>
        <w:t xml:space="preserve">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xml:space="preserve">. 461 (1972)); </w:t>
      </w:r>
      <w:r w:rsidRPr="00103DB0">
        <w:rPr>
          <w:i/>
        </w:rPr>
        <w:t>see also</w:t>
      </w:r>
      <w:r>
        <w:t xml:space="preserve"> </w:t>
      </w:r>
      <w:r w:rsidRPr="004C28B5">
        <w:rPr>
          <w:i/>
        </w:rPr>
        <w:t>NetworkIP</w:t>
      </w:r>
      <w:r w:rsidRPr="004C28B5">
        <w:rPr>
          <w:i/>
        </w:rPr>
        <w:t>, LLC v. FCC</w:t>
      </w:r>
      <w:r w:rsidRPr="004C28B5">
        <w:t>, 548 F.3d 116, 125-128 (D.C. Cir. 2008)</w:t>
      </w:r>
      <w:r>
        <w:t>.</w:t>
      </w:r>
      <w:r w:rsidRPr="008C2A06">
        <w:rPr>
          <w:i/>
        </w:rPr>
        <w:t xml:space="preserve"> </w:t>
      </w:r>
    </w:p>
  </w:footnote>
  <w:footnote w:id="50">
    <w:p w:rsidR="00CD5787" w:rsidRPr="005D0AC0" w:rsidP="00CD5787">
      <w:pPr>
        <w:spacing w:after="120"/>
      </w:pPr>
      <w:r w:rsidRPr="00E84CB4">
        <w:rPr>
          <w:rStyle w:val="FootnoteReference"/>
        </w:rPr>
        <w:footnoteRef/>
      </w:r>
      <w:r w:rsidRPr="00E84CB4">
        <w:rPr>
          <w:i/>
        </w:rPr>
        <w:t xml:space="preserve"> </w:t>
      </w:r>
      <w:r w:rsidRPr="00051E41">
        <w:rPr>
          <w:i/>
          <w:sz w:val="20"/>
        </w:rPr>
        <w:t>See</w:t>
      </w:r>
      <w:r>
        <w:rPr>
          <w:i/>
          <w:sz w:val="20"/>
        </w:rPr>
        <w:t>,</w:t>
      </w:r>
      <w:r w:rsidRPr="00051E41">
        <w:rPr>
          <w:i/>
          <w:sz w:val="20"/>
        </w:rPr>
        <w:t xml:space="preserve"> e.g.</w:t>
      </w:r>
      <w:r w:rsidRPr="00251D9D">
        <w:rPr>
          <w:sz w:val="20"/>
        </w:rPr>
        <w:t>,</w:t>
      </w:r>
      <w:r w:rsidRPr="00051E41">
        <w:rPr>
          <w:i/>
          <w:sz w:val="20"/>
        </w:rPr>
        <w:t xml:space="preserve"> </w:t>
      </w:r>
      <w:bookmarkStart w:id="5" w:name="_Hlk16586461"/>
      <w:r w:rsidRPr="001C52E4">
        <w:rPr>
          <w:i/>
          <w:sz w:val="20"/>
        </w:rPr>
        <w:t>Leaco</w:t>
      </w:r>
      <w:r w:rsidRPr="001C52E4">
        <w:rPr>
          <w:i/>
          <w:sz w:val="20"/>
        </w:rPr>
        <w:t xml:space="preserve"> Rural Telephone Cooperative, Inc., and Pine Belt Cellular, Inc., Requests for Waiver of the </w:t>
      </w:r>
      <w:r w:rsidRPr="00D12733">
        <w:rPr>
          <w:i/>
          <w:sz w:val="20"/>
        </w:rPr>
        <w:t>Construction Deadline and Reporting Deadline Rules for Mobility Fund Phase I</w:t>
      </w:r>
      <w:r w:rsidRPr="00D12733">
        <w:rPr>
          <w:sz w:val="20"/>
        </w:rPr>
        <w:t xml:space="preserve">, Order, </w:t>
      </w:r>
      <w:r>
        <w:rPr>
          <w:sz w:val="20"/>
        </w:rPr>
        <w:t>31</w:t>
      </w:r>
      <w:r w:rsidRPr="00D12733">
        <w:rPr>
          <w:sz w:val="20"/>
        </w:rPr>
        <w:t xml:space="preserve"> FCC </w:t>
      </w:r>
      <w:r w:rsidRPr="00D12733">
        <w:rPr>
          <w:sz w:val="20"/>
        </w:rPr>
        <w:t>Rcd</w:t>
      </w:r>
      <w:r w:rsidRPr="00D12733">
        <w:rPr>
          <w:sz w:val="20"/>
        </w:rPr>
        <w:t xml:space="preserve"> </w:t>
      </w:r>
      <w:r>
        <w:rPr>
          <w:sz w:val="20"/>
        </w:rPr>
        <w:t>9001,</w:t>
      </w:r>
      <w:r w:rsidRPr="00D12733">
        <w:rPr>
          <w:sz w:val="20"/>
        </w:rPr>
        <w:t xml:space="preserve"> </w:t>
      </w:r>
      <w:r>
        <w:rPr>
          <w:sz w:val="20"/>
        </w:rPr>
        <w:t xml:space="preserve">9006-07, paras. 16-19 </w:t>
      </w:r>
      <w:r w:rsidRPr="00D12733">
        <w:rPr>
          <w:sz w:val="20"/>
        </w:rPr>
        <w:t>(</w:t>
      </w:r>
      <w:r>
        <w:rPr>
          <w:sz w:val="20"/>
        </w:rPr>
        <w:t xml:space="preserve">WTB </w:t>
      </w:r>
      <w:r w:rsidRPr="00D12733">
        <w:rPr>
          <w:sz w:val="20"/>
        </w:rPr>
        <w:t>2016)</w:t>
      </w:r>
      <w:r>
        <w:rPr>
          <w:sz w:val="20"/>
        </w:rPr>
        <w:t xml:space="preserve"> (</w:t>
      </w:r>
      <w:r w:rsidRPr="00D12733">
        <w:rPr>
          <w:i/>
          <w:sz w:val="20"/>
        </w:rPr>
        <w:t>Leaco</w:t>
      </w:r>
      <w:r w:rsidRPr="00D12733">
        <w:rPr>
          <w:i/>
          <w:sz w:val="20"/>
        </w:rPr>
        <w:t>/</w:t>
      </w:r>
      <w:r w:rsidRPr="00D12733">
        <w:rPr>
          <w:i/>
          <w:sz w:val="20"/>
        </w:rPr>
        <w:t>Pinebelt</w:t>
      </w:r>
      <w:r w:rsidRPr="00D12733">
        <w:rPr>
          <w:i/>
          <w:sz w:val="20"/>
        </w:rPr>
        <w:t xml:space="preserve"> Order</w:t>
      </w:r>
      <w:r>
        <w:rPr>
          <w:sz w:val="20"/>
        </w:rPr>
        <w:t>)</w:t>
      </w:r>
      <w:r w:rsidRPr="00D12733">
        <w:rPr>
          <w:sz w:val="20"/>
        </w:rPr>
        <w:t xml:space="preserve"> (granting waiver of the MF-I construction, testing</w:t>
      </w:r>
      <w:r>
        <w:rPr>
          <w:sz w:val="20"/>
        </w:rPr>
        <w:t>,</w:t>
      </w:r>
      <w:r w:rsidRPr="00D12733">
        <w:rPr>
          <w:sz w:val="20"/>
        </w:rPr>
        <w:t xml:space="preserve"> and reporting requirements where each support recipient encountered unusual delays beyond </w:t>
      </w:r>
      <w:r>
        <w:rPr>
          <w:sz w:val="20"/>
        </w:rPr>
        <w:t>its</w:t>
      </w:r>
      <w:r w:rsidRPr="00D12733">
        <w:rPr>
          <w:sz w:val="20"/>
        </w:rPr>
        <w:t xml:space="preserve"> control in </w:t>
      </w:r>
      <w:r>
        <w:rPr>
          <w:sz w:val="20"/>
        </w:rPr>
        <w:t>its</w:t>
      </w:r>
      <w:r w:rsidRPr="00D12733">
        <w:rPr>
          <w:sz w:val="20"/>
        </w:rPr>
        <w:t xml:space="preserve"> construction processes</w:t>
      </w:r>
      <w:r>
        <w:rPr>
          <w:sz w:val="20"/>
        </w:rPr>
        <w:t>)</w:t>
      </w:r>
      <w:bookmarkEnd w:id="5"/>
      <w:r>
        <w:rPr>
          <w:sz w:val="20"/>
        </w:rPr>
        <w:t xml:space="preserve">; </w:t>
      </w:r>
      <w:r w:rsidRPr="00251D9D">
        <w:rPr>
          <w:i/>
          <w:sz w:val="20"/>
        </w:rPr>
        <w:t>see also</w:t>
      </w:r>
      <w:r>
        <w:rPr>
          <w:sz w:val="20"/>
        </w:rPr>
        <w:t xml:space="preserve"> </w:t>
      </w:r>
      <w:r w:rsidRPr="00051E41">
        <w:rPr>
          <w:i/>
          <w:sz w:val="20"/>
        </w:rPr>
        <w:t>Monet Mobile Networks, Inc</w:t>
      </w:r>
      <w:r w:rsidRPr="00051E41">
        <w:rPr>
          <w:sz w:val="20"/>
        </w:rPr>
        <w:t xml:space="preserve">., Order, 17 FCC </w:t>
      </w:r>
      <w:r w:rsidRPr="00051E41">
        <w:rPr>
          <w:sz w:val="20"/>
        </w:rPr>
        <w:t>Rcd</w:t>
      </w:r>
      <w:r w:rsidRPr="00051E41">
        <w:rPr>
          <w:sz w:val="20"/>
        </w:rPr>
        <w:t xml:space="preserve"> 18381, 18383-84, paras. 5-6 (WTB 2002) (granting waiver of construction requirements where licensee would have been able to satisfy its construction requirements but for unforeseen delays in establishing backhaul connections due </w:t>
      </w:r>
      <w:r>
        <w:rPr>
          <w:sz w:val="20"/>
        </w:rPr>
        <w:t xml:space="preserve">to </w:t>
      </w:r>
      <w:r w:rsidRPr="00051E41">
        <w:rPr>
          <w:sz w:val="20"/>
        </w:rPr>
        <w:t xml:space="preserve">circumstances beyond its control); </w:t>
      </w:r>
      <w:r w:rsidRPr="00051E41">
        <w:rPr>
          <w:i/>
          <w:sz w:val="20"/>
        </w:rPr>
        <w:t>Minnesota PCS Limited Partnership, Request for Waiver and Extension of the Broadband PCS Construction Requirements</w:t>
      </w:r>
      <w:r w:rsidRPr="00051E41">
        <w:rPr>
          <w:sz w:val="20"/>
        </w:rPr>
        <w:t xml:space="preserve">, Order, 17 FCC </w:t>
      </w:r>
      <w:r w:rsidRPr="00051E41">
        <w:rPr>
          <w:sz w:val="20"/>
        </w:rPr>
        <w:t>Rcd</w:t>
      </w:r>
      <w:r w:rsidRPr="00051E41">
        <w:rPr>
          <w:sz w:val="20"/>
        </w:rPr>
        <w:t xml:space="preserve"> 16371</w:t>
      </w:r>
      <w:r>
        <w:rPr>
          <w:sz w:val="20"/>
        </w:rPr>
        <w:t>, 16373-74, paras. 6-7</w:t>
      </w:r>
      <w:r w:rsidRPr="00051E41">
        <w:rPr>
          <w:sz w:val="20"/>
        </w:rPr>
        <w:t xml:space="preserve"> (</w:t>
      </w:r>
      <w:r>
        <w:rPr>
          <w:sz w:val="20"/>
        </w:rPr>
        <w:t xml:space="preserve">WTB </w:t>
      </w:r>
      <w:r w:rsidRPr="00051E41">
        <w:rPr>
          <w:sz w:val="20"/>
        </w:rPr>
        <w:t xml:space="preserve">2002); </w:t>
      </w:r>
      <w:r w:rsidRPr="00051E41">
        <w:rPr>
          <w:i/>
          <w:sz w:val="20"/>
        </w:rPr>
        <w:t>Leap Wireless International, Inc., Request for Waiver and Extension of Broadband PCS Construction Requirements</w:t>
      </w:r>
      <w:r w:rsidRPr="00051E41">
        <w:rPr>
          <w:sz w:val="20"/>
        </w:rPr>
        <w:t xml:space="preserve">, Memorandum Opinion and Order, 16 FCC </w:t>
      </w:r>
      <w:r w:rsidRPr="00051E41">
        <w:rPr>
          <w:sz w:val="20"/>
        </w:rPr>
        <w:t>Rcd</w:t>
      </w:r>
      <w:r w:rsidRPr="00051E41">
        <w:rPr>
          <w:sz w:val="20"/>
        </w:rPr>
        <w:t xml:space="preserve"> 19573, 19577 </w:t>
      </w:r>
      <w:r>
        <w:rPr>
          <w:sz w:val="20"/>
        </w:rPr>
        <w:t xml:space="preserve">para.13 </w:t>
      </w:r>
      <w:r w:rsidRPr="00051E41">
        <w:rPr>
          <w:sz w:val="20"/>
        </w:rPr>
        <w:t>(</w:t>
      </w:r>
      <w:r>
        <w:rPr>
          <w:sz w:val="20"/>
        </w:rPr>
        <w:t xml:space="preserve">WTB </w:t>
      </w:r>
      <w:r w:rsidRPr="00051E41">
        <w:rPr>
          <w:sz w:val="20"/>
        </w:rPr>
        <w:t>2001)</w:t>
      </w:r>
      <w:r>
        <w:rPr>
          <w:sz w:val="20"/>
        </w:rPr>
        <w:t>.</w:t>
      </w:r>
    </w:p>
  </w:footnote>
  <w:footnote w:id="51">
    <w:p w:rsidR="00CD5787" w:rsidRPr="00E84CB4" w:rsidP="00CD5787">
      <w:pPr>
        <w:pStyle w:val="FootnoteText"/>
      </w:pPr>
      <w:r w:rsidRPr="00E84CB4">
        <w:rPr>
          <w:rStyle w:val="FootnoteReference"/>
        </w:rPr>
        <w:footnoteRef/>
      </w:r>
      <w:r w:rsidRPr="00E84CB4">
        <w:rPr>
          <w:vertAlign w:val="superscript"/>
        </w:rPr>
        <w:t xml:space="preserve"> </w:t>
      </w:r>
      <w:r w:rsidRPr="00E84CB4">
        <w:rPr>
          <w:rStyle w:val="Emphasis"/>
        </w:rPr>
        <w:t>Auction 901 Procedures Public Notice</w:t>
      </w:r>
      <w:r w:rsidRPr="00E84CB4">
        <w:t xml:space="preserve">, 27 FCC </w:t>
      </w:r>
      <w:r w:rsidRPr="00E84CB4">
        <w:t>Rcd</w:t>
      </w:r>
      <w:r w:rsidRPr="00E84CB4">
        <w:t xml:space="preserve"> at 4748, para. 73.</w:t>
      </w:r>
    </w:p>
  </w:footnote>
  <w:footnote w:id="52">
    <w:p w:rsidR="00CD5787" w:rsidP="00CD5787">
      <w:pPr>
        <w:pStyle w:val="FootnoteText"/>
      </w:pPr>
      <w:r>
        <w:rPr>
          <w:rStyle w:val="FootnoteReference"/>
        </w:rPr>
        <w:footnoteRef/>
      </w:r>
      <w:r>
        <w:t xml:space="preserve"> </w:t>
      </w:r>
      <w:r w:rsidRPr="00051E41">
        <w:rPr>
          <w:i/>
        </w:rPr>
        <w:t>See</w:t>
      </w:r>
      <w:r>
        <w:t xml:space="preserve"> </w:t>
      </w:r>
      <w:r w:rsidRPr="00AB251E">
        <w:rPr>
          <w:i/>
        </w:rPr>
        <w:t>Skybridge Spectrum Foundation</w:t>
      </w:r>
      <w:r>
        <w:t xml:space="preserve">, Order, 33 FCC </w:t>
      </w:r>
      <w:r>
        <w:t>Rcd</w:t>
      </w:r>
      <w:r>
        <w:t xml:space="preserve"> 8138, 8145, para. 17 (WTB 2018) (“[E]</w:t>
      </w:r>
      <w:r>
        <w:t>xtensions</w:t>
      </w:r>
      <w:r>
        <w:t xml:space="preserve"> and waivers of construction obligations will not be routinely granted.”); </w:t>
      </w:r>
      <w:r w:rsidRPr="00051E41">
        <w:rPr>
          <w:i/>
        </w:rPr>
        <w:t>Wireless Telecommunications Bureau Reminds Wireless Licensees of Construction Obligations</w:t>
      </w:r>
      <w:r w:rsidRPr="00BD6244">
        <w:t xml:space="preserve">, Public Notice, 32 FCC </w:t>
      </w:r>
      <w:r w:rsidRPr="00BD6244">
        <w:t>Rcd</w:t>
      </w:r>
      <w:r w:rsidRPr="00BD6244">
        <w:t xml:space="preserve"> 4802</w:t>
      </w:r>
      <w:r>
        <w:t>, 4802, 4804-05</w:t>
      </w:r>
      <w:r w:rsidRPr="00BD6244">
        <w:t xml:space="preserve"> (WTB 2017)</w:t>
      </w:r>
      <w:r>
        <w:t xml:space="preserve"> (summarizing the Commission’s longstanding approach to the enforcement of construction obligations).</w:t>
      </w:r>
    </w:p>
  </w:footnote>
  <w:footnote w:id="53">
    <w:p w:rsidR="00CD5787" w:rsidRPr="00E84CB4" w:rsidP="00CD5787">
      <w:pPr>
        <w:pStyle w:val="FootnoteText"/>
      </w:pPr>
      <w:r w:rsidRPr="00E84CB4">
        <w:rPr>
          <w:rStyle w:val="FootnoteReference"/>
        </w:rPr>
        <w:footnoteRef/>
      </w:r>
      <w:r w:rsidRPr="00E84CB4">
        <w:t xml:space="preserve"> </w:t>
      </w:r>
      <w:r w:rsidRPr="00E84CB4">
        <w:rPr>
          <w:i/>
        </w:rPr>
        <w:t>See</w:t>
      </w:r>
      <w:r w:rsidRPr="00E84CB4">
        <w:t xml:space="preserve">, </w:t>
      </w:r>
      <w:r w:rsidRPr="00E84CB4">
        <w:rPr>
          <w:i/>
        </w:rPr>
        <w:t>e.g.</w:t>
      </w:r>
      <w:r w:rsidRPr="006F1CF4">
        <w:rPr>
          <w:i/>
        </w:rPr>
        <w:t>,</w:t>
      </w:r>
      <w:r w:rsidRPr="00E84CB4">
        <w:rPr>
          <w:i/>
        </w:rPr>
        <w:t xml:space="preserve"> 1998 Biennial Regulatory Review -- Streamlining of Mass Media Applications, Rules, And Processes et al.</w:t>
      </w:r>
      <w:r w:rsidRPr="00E84CB4">
        <w:t xml:space="preserve">, Memorandum Opinion and Order, 14 FCC </w:t>
      </w:r>
      <w:r w:rsidRPr="00E84CB4">
        <w:t>Rcd</w:t>
      </w:r>
      <w:r w:rsidRPr="00E84CB4">
        <w:t xml:space="preserve"> 17525, </w:t>
      </w:r>
      <w:r>
        <w:t>17539, para. 35</w:t>
      </w:r>
      <w:r w:rsidRPr="00E84CB4">
        <w:t xml:space="preserve">  (1999) (finding that the effects of delays due to inclement weather on construction timelines are adequately overcome by a three-year construction term making additional time unwarranted); </w:t>
      </w:r>
      <w:r w:rsidRPr="00E84CB4">
        <w:rPr>
          <w:i/>
        </w:rPr>
        <w:t>Redwood Wireless Minnesota, LLC</w:t>
      </w:r>
      <w:r w:rsidRPr="00E84CB4">
        <w:t xml:space="preserve">, </w:t>
      </w:r>
      <w:r>
        <w:rPr>
          <w:i/>
        </w:rPr>
        <w:t>and Redwood Wireless Wisconsin LLC Request for a Waiver and Extension of the Broadband PCS Construction Requirements</w:t>
      </w:r>
      <w:r w:rsidRPr="00E84CB4">
        <w:t xml:space="preserve">, Order, 17 FCC </w:t>
      </w:r>
      <w:r w:rsidRPr="00E84CB4">
        <w:t>Rcd</w:t>
      </w:r>
      <w:r w:rsidRPr="00E84CB4">
        <w:t xml:space="preserve"> 22416, 22419-20 (WTB 2002) (construction delays resulting from business disputes were exercise of business judgment and were not outside Petitioner’s control); </w:t>
      </w:r>
      <w:r w:rsidRPr="00E84CB4">
        <w:rPr>
          <w:i/>
        </w:rPr>
        <w:t>Eldorado Communications LLC</w:t>
      </w:r>
      <w:r w:rsidRPr="00D866B3">
        <w:rPr>
          <w:i/>
        </w:rPr>
        <w:t xml:space="preserve"> </w:t>
      </w:r>
      <w:r>
        <w:rPr>
          <w:i/>
        </w:rPr>
        <w:t>Request for a Waiver and Extension of the Broadband PCS Construction Requirements</w:t>
      </w:r>
      <w:r w:rsidRPr="00E84CB4">
        <w:t xml:space="preserve">, Order, 17 FCC </w:t>
      </w:r>
      <w:r w:rsidRPr="00E84CB4">
        <w:t>Rcd</w:t>
      </w:r>
      <w:r w:rsidRPr="00E84CB4">
        <w:t xml:space="preserve"> 24613, 24616</w:t>
      </w:r>
      <w:r>
        <w:t xml:space="preserve"> , para. 7</w:t>
      </w:r>
      <w:r w:rsidRPr="00E84CB4">
        <w:t xml:space="preserve"> (WTB 2002) (licensee’s determination to initially deploy TDMA system and subsequently to adopt GSM with months remaining before construction deadline was business decision within its control); </w:t>
      </w:r>
      <w:r w:rsidRPr="00E84CB4">
        <w:rPr>
          <w:i/>
        </w:rPr>
        <w:t>Bristol MAS Partners</w:t>
      </w:r>
      <w:r w:rsidRPr="00D866B3">
        <w:rPr>
          <w:i/>
        </w:rPr>
        <w:t xml:space="preserve"> </w:t>
      </w:r>
      <w:r>
        <w:rPr>
          <w:i/>
        </w:rPr>
        <w:t>Request for Extension of Time in Which to Construct and Place into Operation Multiple Address System Stations WPJF864 Through WPJF87</w:t>
      </w:r>
      <w:r w:rsidRPr="00E84CB4">
        <w:rPr>
          <w:i/>
        </w:rPr>
        <w:t xml:space="preserve">, </w:t>
      </w:r>
      <w:r w:rsidRPr="00E84CB4">
        <w:t xml:space="preserve">Order, 14 FCC </w:t>
      </w:r>
      <w:r w:rsidRPr="00E84CB4">
        <w:t>Rcd</w:t>
      </w:r>
      <w:r w:rsidRPr="00E84CB4">
        <w:t xml:space="preserve"> 5007, 501</w:t>
      </w:r>
      <w:r>
        <w:t>0, para. 8</w:t>
      </w:r>
      <w:r w:rsidRPr="00E84CB4">
        <w:t xml:space="preserve"> (WTB 1999) (equipment installation or delivery not delayed for some unique reason and licensee failing to obtain equipment was business decision); </w:t>
      </w:r>
      <w:r w:rsidRPr="00091E1A">
        <w:rPr>
          <w:i/>
        </w:rPr>
        <w:t xml:space="preserve">Application for Review of Specialized Mobile Radio Station WAY-671, Licensed to </w:t>
      </w:r>
      <w:r w:rsidRPr="00E84CB4">
        <w:rPr>
          <w:i/>
        </w:rPr>
        <w:t>AAT Electronics Corporation</w:t>
      </w:r>
      <w:r w:rsidRPr="00E84CB4">
        <w:t xml:space="preserve">, </w:t>
      </w:r>
      <w:r w:rsidRPr="00091E1A">
        <w:rPr>
          <w:i/>
        </w:rPr>
        <w:t>Staten Island, New York</w:t>
      </w:r>
      <w:r>
        <w:t>,</w:t>
      </w:r>
      <w:r w:rsidRPr="00E84CB4">
        <w:t xml:space="preserve"> </w:t>
      </w:r>
      <w:r>
        <w:t xml:space="preserve">Memorandum Opinion and </w:t>
      </w:r>
      <w:r w:rsidRPr="00E84CB4">
        <w:t>Order, 93 FCC 2d 1034, 1047</w:t>
      </w:r>
      <w:r>
        <w:t>, para. 46</w:t>
      </w:r>
      <w:r w:rsidRPr="00E84CB4">
        <w:t xml:space="preserve"> (1983) (decision not to market service aggressively because of equipment uncertainties is within licensee's control); </w:t>
      </w:r>
      <w:r>
        <w:rPr>
          <w:i/>
        </w:rPr>
        <w:t xml:space="preserve">Application for Review of </w:t>
      </w:r>
      <w:r w:rsidRPr="00E84CB4">
        <w:rPr>
          <w:i/>
        </w:rPr>
        <w:t>Business Radio Communications Systems, Inc</w:t>
      </w:r>
      <w:r w:rsidRPr="00E84CB4">
        <w:t xml:space="preserve">., </w:t>
      </w:r>
      <w:r>
        <w:rPr>
          <w:i/>
        </w:rPr>
        <w:t>Licensee of 800 MHz SMR System WZF-975, Laurel, Maryland</w:t>
      </w:r>
      <w:r w:rsidRPr="00E84CB4">
        <w:t xml:space="preserve">, </w:t>
      </w:r>
      <w:r>
        <w:t xml:space="preserve">Memorandum Opinion and </w:t>
      </w:r>
      <w:r w:rsidRPr="00E84CB4">
        <w:t>Order, 102 FCC 2d 714, 716-17</w:t>
      </w:r>
      <w:r>
        <w:t>, paras. 6-7</w:t>
      </w:r>
      <w:r w:rsidRPr="00E84CB4">
        <w:t xml:space="preserve"> (1985) (construction delay caused by zoning challenge not a circumstance beyond licensee's control); </w:t>
      </w:r>
      <w:r>
        <w:rPr>
          <w:i/>
        </w:rPr>
        <w:t xml:space="preserve">Application for Review of Specialized Mobile Radio Station WQA-505, Licensed to </w:t>
      </w:r>
      <w:r w:rsidRPr="00E84CB4">
        <w:rPr>
          <w:i/>
        </w:rPr>
        <w:t>Texas Two-Way, Inc.,</w:t>
      </w:r>
      <w:r>
        <w:rPr>
          <w:i/>
        </w:rPr>
        <w:t xml:space="preserve"> Fort Worth, Texas</w:t>
      </w:r>
      <w:r w:rsidRPr="00E84CB4">
        <w:rPr>
          <w:i/>
        </w:rPr>
        <w:t xml:space="preserve">, </w:t>
      </w:r>
      <w:r>
        <w:t>Memorandum Opinion and</w:t>
      </w:r>
      <w:r w:rsidRPr="00E84CB4">
        <w:rPr>
          <w:i/>
        </w:rPr>
        <w:t xml:space="preserve"> </w:t>
      </w:r>
      <w:r w:rsidRPr="00E84CB4">
        <w:t>Order, 98 FCC 2d 1300, 1303</w:t>
      </w:r>
      <w:r>
        <w:t>, para. 8</w:t>
      </w:r>
      <w:r w:rsidRPr="00E84CB4">
        <w:t xml:space="preserve"> (1984), </w:t>
      </w:r>
      <w:r w:rsidRPr="00E84CB4">
        <w:rPr>
          <w:i/>
        </w:rPr>
        <w:t>aff'd sub nom</w:t>
      </w:r>
      <w:r w:rsidRPr="00E84CB4">
        <w:t xml:space="preserve">., </w:t>
      </w:r>
      <w:r w:rsidRPr="00E84CB4">
        <w:rPr>
          <w:i/>
        </w:rPr>
        <w:t>Texas Two-Way, Inc. v. FCC</w:t>
      </w:r>
      <w:r w:rsidRPr="00E84CB4">
        <w:t>, 762 F.2d 138</w:t>
      </w:r>
      <w:r>
        <w:t xml:space="preserve"> </w:t>
      </w:r>
      <w:r w:rsidRPr="00E84CB4">
        <w:t>(D.C. Cir. 1985) (</w:t>
      </w:r>
      <w:r w:rsidRPr="00A21993">
        <w:t>licensee is responsible for the delay resulting from interference caused by construction adjacent to construction site because site selection was an independent business decision</w:t>
      </w:r>
      <w:r w:rsidRPr="00E84CB4">
        <w:t>).</w:t>
      </w:r>
    </w:p>
  </w:footnote>
  <w:footnote w:id="54">
    <w:p w:rsidR="00CD5787" w:rsidRPr="00051E41" w:rsidP="00CD5787">
      <w:pPr>
        <w:tabs>
          <w:tab w:val="center" w:pos="4680"/>
        </w:tabs>
        <w:suppressAutoHyphens/>
        <w:spacing w:after="120"/>
        <w:rPr>
          <w:spacing w:val="-2"/>
        </w:rPr>
      </w:pPr>
      <w:r>
        <w:rPr>
          <w:rStyle w:val="FootnoteReference"/>
        </w:rPr>
        <w:footnoteRef/>
      </w:r>
      <w:r>
        <w:t xml:space="preserve"> </w:t>
      </w:r>
      <w:r w:rsidRPr="00D12733">
        <w:rPr>
          <w:i/>
          <w:sz w:val="20"/>
        </w:rPr>
        <w:t>Leaco</w:t>
      </w:r>
      <w:r w:rsidRPr="00D12733">
        <w:rPr>
          <w:i/>
          <w:sz w:val="20"/>
        </w:rPr>
        <w:t>/</w:t>
      </w:r>
      <w:r w:rsidRPr="00D12733">
        <w:rPr>
          <w:i/>
          <w:sz w:val="20"/>
        </w:rPr>
        <w:t>Pinebelt</w:t>
      </w:r>
      <w:r w:rsidRPr="00D12733">
        <w:rPr>
          <w:i/>
          <w:sz w:val="20"/>
        </w:rPr>
        <w:t xml:space="preserve"> Order</w:t>
      </w:r>
      <w:r w:rsidRPr="00051E41">
        <w:rPr>
          <w:sz w:val="20"/>
        </w:rPr>
        <w:t xml:space="preserve">, </w:t>
      </w:r>
      <w:r>
        <w:rPr>
          <w:sz w:val="20"/>
        </w:rPr>
        <w:t>31</w:t>
      </w:r>
      <w:r w:rsidRPr="00051E41">
        <w:rPr>
          <w:sz w:val="20"/>
        </w:rPr>
        <w:t xml:space="preserve"> FCC </w:t>
      </w:r>
      <w:r w:rsidRPr="00051E41">
        <w:rPr>
          <w:sz w:val="20"/>
        </w:rPr>
        <w:t>Rcd</w:t>
      </w:r>
      <w:r w:rsidRPr="0036377A">
        <w:rPr>
          <w:sz w:val="20"/>
        </w:rPr>
        <w:t xml:space="preserve"> </w:t>
      </w:r>
      <w:r>
        <w:rPr>
          <w:sz w:val="20"/>
        </w:rPr>
        <w:t>at</w:t>
      </w:r>
      <w:r w:rsidRPr="00051E41">
        <w:rPr>
          <w:sz w:val="20"/>
        </w:rPr>
        <w:t xml:space="preserve"> </w:t>
      </w:r>
      <w:r>
        <w:rPr>
          <w:sz w:val="20"/>
        </w:rPr>
        <w:t xml:space="preserve">9006, para. 16.  </w:t>
      </w:r>
    </w:p>
  </w:footnote>
  <w:footnote w:id="55">
    <w:p w:rsidR="00CD5787" w:rsidRPr="00E84CB4" w:rsidP="00CD5787">
      <w:pPr>
        <w:pStyle w:val="FootnoteText"/>
      </w:pPr>
      <w:r w:rsidRPr="00E84CB4">
        <w:rPr>
          <w:rStyle w:val="FootnoteReference"/>
        </w:rPr>
        <w:footnoteRef/>
      </w:r>
      <w:r w:rsidRPr="00E84CB4">
        <w:t xml:space="preserve"> </w:t>
      </w:r>
      <w:r w:rsidRPr="00E84CB4">
        <w:rPr>
          <w:i/>
        </w:rPr>
        <w:t xml:space="preserve">See </w:t>
      </w:r>
      <w:r w:rsidRPr="00E84CB4">
        <w:t>February 2018 Amended Waiver Request at 10.</w:t>
      </w:r>
      <w:r>
        <w:t xml:space="preserve">  We note that generally routine delays in the delivery of equipment do not provide grounds sufficient to support a waiver.  </w:t>
      </w:r>
      <w:r w:rsidRPr="00051E41">
        <w:rPr>
          <w:i/>
        </w:rPr>
        <w:t>See</w:t>
      </w:r>
      <w:r>
        <w:rPr>
          <w:i/>
        </w:rPr>
        <w:t>,</w:t>
      </w:r>
      <w:r w:rsidRPr="00051E41">
        <w:rPr>
          <w:i/>
        </w:rPr>
        <w:t xml:space="preserve"> e.g.</w:t>
      </w:r>
      <w:r>
        <w:t xml:space="preserve">, </w:t>
      </w:r>
      <w:r w:rsidRPr="00CE7589">
        <w:rPr>
          <w:i/>
        </w:rPr>
        <w:t>Bristol MAS Partners</w:t>
      </w:r>
      <w:r w:rsidRPr="00E84CB4">
        <w:t xml:space="preserve">, 14 FCC </w:t>
      </w:r>
      <w:r w:rsidRPr="00E84CB4">
        <w:t>Rcd</w:t>
      </w:r>
      <w:r w:rsidRPr="00E84CB4">
        <w:t xml:space="preserve"> </w:t>
      </w:r>
      <w:r>
        <w:t xml:space="preserve">at </w:t>
      </w:r>
      <w:r w:rsidRPr="00E84CB4">
        <w:t>501</w:t>
      </w:r>
      <w:r>
        <w:t>0, para. 8</w:t>
      </w:r>
      <w:r w:rsidRPr="00E84CB4">
        <w:t xml:space="preserve"> (</w:t>
      </w:r>
      <w:r>
        <w:t xml:space="preserve">denying waiver where </w:t>
      </w:r>
      <w:r w:rsidRPr="00E84CB4">
        <w:t xml:space="preserve">equipment installation or delivery </w:t>
      </w:r>
      <w:r>
        <w:t xml:space="preserve">was </w:t>
      </w:r>
      <w:r w:rsidRPr="00E84CB4">
        <w:t>not delayed for some unique reason and licensee</w:t>
      </w:r>
      <w:r>
        <w:t>’s</w:t>
      </w:r>
      <w:r w:rsidRPr="00E84CB4">
        <w:t xml:space="preserve"> fail</w:t>
      </w:r>
      <w:r>
        <w:t>ure</w:t>
      </w:r>
      <w:r w:rsidRPr="00E84CB4">
        <w:t xml:space="preserve"> to obtain equipment was </w:t>
      </w:r>
      <w:r>
        <w:t xml:space="preserve">a </w:t>
      </w:r>
      <w:r w:rsidRPr="00E84CB4">
        <w:t>business decision)</w:t>
      </w:r>
      <w:r>
        <w:t xml:space="preserve">.  Here, however, the protests in the area complicated the delivery of Standing Rock’s antennas and other LTE network equipment to a degree that was beyond its control. </w:t>
      </w:r>
    </w:p>
  </w:footnote>
  <w:footnote w:id="56">
    <w:p w:rsidR="00CD5787" w:rsidRPr="00E84CB4" w:rsidP="00CD5787">
      <w:pPr>
        <w:pStyle w:val="FootnoteText"/>
        <w:rPr>
          <w:i/>
        </w:rPr>
      </w:pPr>
      <w:r w:rsidRPr="00E84CB4">
        <w:rPr>
          <w:rStyle w:val="FootnoteReference"/>
        </w:rPr>
        <w:footnoteRef/>
      </w:r>
      <w:r w:rsidRPr="00E84CB4">
        <w:t xml:space="preserve"> </w:t>
      </w:r>
      <w:r w:rsidRPr="00E84CB4">
        <w:rPr>
          <w:i/>
        </w:rPr>
        <w:t xml:space="preserve">See </w:t>
      </w:r>
      <w:r w:rsidRPr="00E84CB4">
        <w:t>February 2018 Amended Waiver Request at 10</w:t>
      </w:r>
      <w:r>
        <w:t>.</w:t>
      </w:r>
    </w:p>
  </w:footnote>
  <w:footnote w:id="57">
    <w:p w:rsidR="00CD5787" w:rsidP="00CD5787">
      <w:pPr>
        <w:pStyle w:val="FootnoteText"/>
      </w:pPr>
      <w:r>
        <w:rPr>
          <w:rStyle w:val="FootnoteReference"/>
        </w:rPr>
        <w:footnoteRef/>
      </w:r>
      <w:r>
        <w:t xml:space="preserve"> </w:t>
      </w:r>
      <w:r w:rsidRPr="006D4023">
        <w:rPr>
          <w:i/>
        </w:rPr>
        <w:t>Leaco</w:t>
      </w:r>
      <w:r w:rsidRPr="006D4023">
        <w:rPr>
          <w:i/>
        </w:rPr>
        <w:t>/</w:t>
      </w:r>
      <w:r w:rsidRPr="006D4023">
        <w:rPr>
          <w:i/>
        </w:rPr>
        <w:t>Pinebelt</w:t>
      </w:r>
      <w:r w:rsidRPr="006D4023">
        <w:rPr>
          <w:i/>
        </w:rPr>
        <w:t xml:space="preserve"> Order</w:t>
      </w:r>
      <w:r>
        <w:rPr>
          <w:i/>
        </w:rPr>
        <w:t xml:space="preserve">, </w:t>
      </w:r>
      <w:r>
        <w:t>31</w:t>
      </w:r>
      <w:r w:rsidRPr="006D4023">
        <w:t xml:space="preserve"> FCC </w:t>
      </w:r>
      <w:r w:rsidRPr="006D4023">
        <w:t>Rcd</w:t>
      </w:r>
      <w:r>
        <w:t xml:space="preserve"> at 9007, para. 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D5787">
      <w:t>DA 19-1094</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19-1094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3BF485F2"/>
    <w:lvl w:ilvl="0">
      <w:start w:val="1"/>
      <w:numFmt w:val="decimal"/>
      <w:pStyle w:val="ParaNum"/>
      <w:lvlText w:val="%1."/>
      <w:lvlJc w:val="left"/>
      <w:pPr>
        <w:tabs>
          <w:tab w:val="num" w:pos="1080"/>
        </w:tabs>
        <w:ind w:left="0" w:firstLine="720"/>
      </w:pPr>
      <w:rPr>
        <w:i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36039"/>
    <w:rsid w:val="00036C97"/>
    <w:rsid w:val="00037F90"/>
    <w:rsid w:val="00051E41"/>
    <w:rsid w:val="00060F14"/>
    <w:rsid w:val="000875BF"/>
    <w:rsid w:val="00091E1A"/>
    <w:rsid w:val="00096D8C"/>
    <w:rsid w:val="000C0B65"/>
    <w:rsid w:val="000C297A"/>
    <w:rsid w:val="000C54C8"/>
    <w:rsid w:val="000E05FE"/>
    <w:rsid w:val="000E3D42"/>
    <w:rsid w:val="00103DB0"/>
    <w:rsid w:val="00122BD5"/>
    <w:rsid w:val="00133F79"/>
    <w:rsid w:val="0016178F"/>
    <w:rsid w:val="00194A66"/>
    <w:rsid w:val="001C52E4"/>
    <w:rsid w:val="001D6BCF"/>
    <w:rsid w:val="001E01CA"/>
    <w:rsid w:val="00251D9D"/>
    <w:rsid w:val="00275CF5"/>
    <w:rsid w:val="0028301F"/>
    <w:rsid w:val="00285017"/>
    <w:rsid w:val="002A2D2E"/>
    <w:rsid w:val="002A70CC"/>
    <w:rsid w:val="002C00E8"/>
    <w:rsid w:val="00304CD5"/>
    <w:rsid w:val="0031218D"/>
    <w:rsid w:val="00312D6E"/>
    <w:rsid w:val="00343749"/>
    <w:rsid w:val="0036377A"/>
    <w:rsid w:val="003660ED"/>
    <w:rsid w:val="003712CC"/>
    <w:rsid w:val="00371773"/>
    <w:rsid w:val="003966E8"/>
    <w:rsid w:val="003B0550"/>
    <w:rsid w:val="003B694F"/>
    <w:rsid w:val="003F171C"/>
    <w:rsid w:val="003F3A11"/>
    <w:rsid w:val="00412FC5"/>
    <w:rsid w:val="00420481"/>
    <w:rsid w:val="00422276"/>
    <w:rsid w:val="004242F1"/>
    <w:rsid w:val="00445A00"/>
    <w:rsid w:val="00451B0F"/>
    <w:rsid w:val="0046246D"/>
    <w:rsid w:val="00482F4F"/>
    <w:rsid w:val="004C28B5"/>
    <w:rsid w:val="004C2EE3"/>
    <w:rsid w:val="004E4A22"/>
    <w:rsid w:val="00511968"/>
    <w:rsid w:val="0053331C"/>
    <w:rsid w:val="00545D0C"/>
    <w:rsid w:val="0055614C"/>
    <w:rsid w:val="00566D06"/>
    <w:rsid w:val="005D0AC0"/>
    <w:rsid w:val="005D5E72"/>
    <w:rsid w:val="005E14C2"/>
    <w:rsid w:val="00607BA5"/>
    <w:rsid w:val="0061180A"/>
    <w:rsid w:val="006262CB"/>
    <w:rsid w:val="00626EB6"/>
    <w:rsid w:val="00655D03"/>
    <w:rsid w:val="00683388"/>
    <w:rsid w:val="00683F84"/>
    <w:rsid w:val="0069671F"/>
    <w:rsid w:val="006A6A81"/>
    <w:rsid w:val="006D4023"/>
    <w:rsid w:val="006F1CF4"/>
    <w:rsid w:val="006F7393"/>
    <w:rsid w:val="0070224F"/>
    <w:rsid w:val="007115F7"/>
    <w:rsid w:val="00717E4B"/>
    <w:rsid w:val="00726F30"/>
    <w:rsid w:val="00785689"/>
    <w:rsid w:val="0079754B"/>
    <w:rsid w:val="007A1E6D"/>
    <w:rsid w:val="007B0EB2"/>
    <w:rsid w:val="007F4A5D"/>
    <w:rsid w:val="00810B6F"/>
    <w:rsid w:val="00814BB2"/>
    <w:rsid w:val="00822CE0"/>
    <w:rsid w:val="00841AB1"/>
    <w:rsid w:val="00864B66"/>
    <w:rsid w:val="00892021"/>
    <w:rsid w:val="008B061A"/>
    <w:rsid w:val="008C2A06"/>
    <w:rsid w:val="008C68F1"/>
    <w:rsid w:val="00921803"/>
    <w:rsid w:val="00926503"/>
    <w:rsid w:val="00931A7B"/>
    <w:rsid w:val="009726D8"/>
    <w:rsid w:val="00993025"/>
    <w:rsid w:val="009B0A51"/>
    <w:rsid w:val="009B3BCB"/>
    <w:rsid w:val="009D7308"/>
    <w:rsid w:val="009F76DB"/>
    <w:rsid w:val="009F7BD0"/>
    <w:rsid w:val="00A21993"/>
    <w:rsid w:val="00A32C3B"/>
    <w:rsid w:val="00A45F4F"/>
    <w:rsid w:val="00A600A9"/>
    <w:rsid w:val="00A7745E"/>
    <w:rsid w:val="00AA55B7"/>
    <w:rsid w:val="00AA5B9E"/>
    <w:rsid w:val="00AA5CD8"/>
    <w:rsid w:val="00AA785F"/>
    <w:rsid w:val="00AB2407"/>
    <w:rsid w:val="00AB251E"/>
    <w:rsid w:val="00AB53DF"/>
    <w:rsid w:val="00AB5DA3"/>
    <w:rsid w:val="00B07E5C"/>
    <w:rsid w:val="00B40A40"/>
    <w:rsid w:val="00B811F7"/>
    <w:rsid w:val="00BA130A"/>
    <w:rsid w:val="00BA5DC6"/>
    <w:rsid w:val="00BA6196"/>
    <w:rsid w:val="00BB3C3D"/>
    <w:rsid w:val="00BC1434"/>
    <w:rsid w:val="00BC6D8C"/>
    <w:rsid w:val="00BD6244"/>
    <w:rsid w:val="00C34006"/>
    <w:rsid w:val="00C36B4C"/>
    <w:rsid w:val="00C426B1"/>
    <w:rsid w:val="00C66160"/>
    <w:rsid w:val="00C721AC"/>
    <w:rsid w:val="00C820D9"/>
    <w:rsid w:val="00C90D6A"/>
    <w:rsid w:val="00CA247E"/>
    <w:rsid w:val="00CA6D21"/>
    <w:rsid w:val="00CC72B6"/>
    <w:rsid w:val="00CD5787"/>
    <w:rsid w:val="00CE7589"/>
    <w:rsid w:val="00D0218D"/>
    <w:rsid w:val="00D12733"/>
    <w:rsid w:val="00D23692"/>
    <w:rsid w:val="00D25FB5"/>
    <w:rsid w:val="00D44223"/>
    <w:rsid w:val="00D7788D"/>
    <w:rsid w:val="00D77BE7"/>
    <w:rsid w:val="00D866B3"/>
    <w:rsid w:val="00DA18DE"/>
    <w:rsid w:val="00DA2529"/>
    <w:rsid w:val="00DA5ECA"/>
    <w:rsid w:val="00DB130A"/>
    <w:rsid w:val="00DB2EBB"/>
    <w:rsid w:val="00DC10A1"/>
    <w:rsid w:val="00DC2E11"/>
    <w:rsid w:val="00DC655F"/>
    <w:rsid w:val="00DD0B59"/>
    <w:rsid w:val="00DD7EBD"/>
    <w:rsid w:val="00DF5B27"/>
    <w:rsid w:val="00DF62B6"/>
    <w:rsid w:val="00E07225"/>
    <w:rsid w:val="00E10A8E"/>
    <w:rsid w:val="00E1785E"/>
    <w:rsid w:val="00E365C1"/>
    <w:rsid w:val="00E5409F"/>
    <w:rsid w:val="00E625CF"/>
    <w:rsid w:val="00E84CB4"/>
    <w:rsid w:val="00ED4C17"/>
    <w:rsid w:val="00EE6488"/>
    <w:rsid w:val="00F021FA"/>
    <w:rsid w:val="00F560B2"/>
    <w:rsid w:val="00F62E97"/>
    <w:rsid w:val="00F64209"/>
    <w:rsid w:val="00F6751B"/>
    <w:rsid w:val="00F93BF5"/>
    <w:rsid w:val="00FC4AA5"/>
    <w:rsid w:val="00FD65FF"/>
    <w:rsid w:val="00FE02DC"/>
    <w:rsid w:val="00FE1A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169FF99-BEF5-4CBB-BFF9-CBD00696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 Char,Footnote Text Char Char3 Char Char Char Char Char,Footnote Text Char1 Char1 Char Char,Footnote Text Char2 Char,Footnote Text Char3 Char1 Char Char Char Char,Footnote Text Char4 Char Char Char Char,f Char"/>
    <w:link w:val="FootnoteText"/>
    <w:rsid w:val="00CD5787"/>
  </w:style>
  <w:style w:type="character" w:customStyle="1" w:styleId="ParaNumCharChar1">
    <w:name w:val="ParaNum Char Char1"/>
    <w:link w:val="ParaNum"/>
    <w:locked/>
    <w:rsid w:val="00CD5787"/>
    <w:rPr>
      <w:snapToGrid w:val="0"/>
      <w:kern w:val="28"/>
      <w:sz w:val="22"/>
    </w:rPr>
  </w:style>
  <w:style w:type="character" w:styleId="Emphasis">
    <w:name w:val="Emphasis"/>
    <w:uiPriority w:val="20"/>
    <w:qFormat/>
    <w:rsid w:val="00CD5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