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w:t>
      </w:r>
      <w:r w:rsidRPr="00653C2B" w:rsidR="00653C2B">
        <w:rPr>
          <w:b/>
          <w:sz w:val="24"/>
        </w:rPr>
        <w:t>109</w:t>
      </w:r>
    </w:p>
    <w:p w:rsidR="00013A8B" w:rsidRPr="00B20363" w:rsidP="00013A8B">
      <w:pPr>
        <w:spacing w:before="60"/>
        <w:jc w:val="right"/>
        <w:rPr>
          <w:b/>
          <w:sz w:val="24"/>
        </w:rPr>
      </w:pPr>
      <w:r>
        <w:rPr>
          <w:b/>
          <w:sz w:val="24"/>
        </w:rPr>
        <w:t>February 22,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wireless telecommunications bureau establishes</w:t>
      </w:r>
      <w:r w:rsidR="007E4572">
        <w:rPr>
          <w:rFonts w:ascii="Times New Roman Bold" w:hAnsi="Times New Roman Bold"/>
          <w:b/>
          <w:caps/>
          <w:sz w:val="24"/>
        </w:rPr>
        <w:br/>
      </w:r>
      <w:r>
        <w:rPr>
          <w:rFonts w:ascii="Times New Roman Bold" w:hAnsi="Times New Roman Bold"/>
          <w:b/>
          <w:caps/>
          <w:sz w:val="24"/>
        </w:rPr>
        <w:t>wt docket n</w:t>
      </w:r>
      <w:r w:rsidR="007E4572">
        <w:rPr>
          <w:rFonts w:ascii="Times New Roman Bold" w:hAnsi="Times New Roman Bold"/>
          <w:b/>
          <w:caps/>
          <w:sz w:val="24"/>
        </w:rPr>
        <w:t>o</w:t>
      </w:r>
      <w:r>
        <w:rPr>
          <w:rFonts w:ascii="Times New Roman Bold" w:hAnsi="Times New Roman Bold"/>
          <w:b/>
          <w:caps/>
          <w:sz w:val="24"/>
        </w:rPr>
        <w:t>. 19-</w:t>
      </w:r>
      <w:r w:rsidR="007E4572">
        <w:rPr>
          <w:rFonts w:ascii="Times New Roman Bold" w:hAnsi="Times New Roman Bold"/>
          <w:b/>
          <w:caps/>
          <w:sz w:val="24"/>
        </w:rPr>
        <w:t>38</w:t>
      </w:r>
    </w:p>
    <w:p w:rsidR="00013A8B" w:rsidP="00013A8B">
      <w:pPr>
        <w:jc w:val="center"/>
        <w:rPr>
          <w:b/>
          <w:sz w:val="24"/>
        </w:rPr>
      </w:pPr>
      <w:r>
        <w:rPr>
          <w:b/>
          <w:sz w:val="24"/>
        </w:rPr>
        <w:t>WT Docket No. 19</w:t>
      </w:r>
      <w:r w:rsidR="007E4572">
        <w:rPr>
          <w:b/>
          <w:sz w:val="24"/>
        </w:rPr>
        <w:t>-38</w:t>
      </w:r>
    </w:p>
    <w:p w:rsidR="00F96F63" w:rsidRPr="00995124" w:rsidP="00F96F63">
      <w:pPr>
        <w:rPr>
          <w:sz w:val="24"/>
          <w:szCs w:val="24"/>
        </w:rPr>
      </w:pPr>
      <w:bookmarkStart w:id="0" w:name="TOChere"/>
    </w:p>
    <w:bookmarkEnd w:id="0"/>
    <w:p w:rsidR="00F96F63" w:rsidRPr="00995124" w:rsidP="00F96F63">
      <w:pPr>
        <w:rPr>
          <w:sz w:val="24"/>
          <w:szCs w:val="24"/>
        </w:rPr>
      </w:pPr>
    </w:p>
    <w:p w:rsidR="00930ECF" w:rsidRPr="00995124" w:rsidP="00F96F63">
      <w:pPr>
        <w:rPr>
          <w:sz w:val="24"/>
          <w:szCs w:val="24"/>
        </w:rPr>
      </w:pPr>
      <w:r w:rsidRPr="00995124">
        <w:rPr>
          <w:sz w:val="24"/>
          <w:szCs w:val="24"/>
        </w:rPr>
        <w:tab/>
        <w:t>By this Public Notice, the Wireless Telecommunications Bureau establish</w:t>
      </w:r>
      <w:r w:rsidR="00631C3F">
        <w:rPr>
          <w:sz w:val="24"/>
          <w:szCs w:val="24"/>
        </w:rPr>
        <w:t>es</w:t>
      </w:r>
      <w:r w:rsidRPr="00995124">
        <w:rPr>
          <w:sz w:val="24"/>
          <w:szCs w:val="24"/>
        </w:rPr>
        <w:t xml:space="preserve"> WT Docket No. 19-</w:t>
      </w:r>
      <w:r w:rsidR="00631C3F">
        <w:rPr>
          <w:sz w:val="24"/>
          <w:szCs w:val="24"/>
        </w:rPr>
        <w:t>38</w:t>
      </w:r>
      <w:r w:rsidRPr="00995124">
        <w:rPr>
          <w:sz w:val="24"/>
          <w:szCs w:val="24"/>
        </w:rPr>
        <w:t>, which is captioned “</w:t>
      </w:r>
      <w:r w:rsidRPr="007F1C57" w:rsidR="00631C3F">
        <w:rPr>
          <w:sz w:val="24"/>
          <w:szCs w:val="24"/>
        </w:rPr>
        <w:t>Partitioning, Disaggregation, and Spectrum Leasing Rules.</w:t>
      </w:r>
      <w:r w:rsidRPr="00602F43" w:rsidR="00631C3F">
        <w:rPr>
          <w:sz w:val="24"/>
          <w:szCs w:val="24"/>
        </w:rPr>
        <w:t>”</w:t>
      </w:r>
    </w:p>
    <w:p w:rsidR="00995124" w:rsidRPr="00995124" w:rsidP="00F96F63">
      <w:pPr>
        <w:rPr>
          <w:sz w:val="24"/>
          <w:szCs w:val="24"/>
        </w:rPr>
      </w:pPr>
    </w:p>
    <w:p w:rsidR="00995124" w:rsidP="00F96F63">
      <w:pPr>
        <w:rPr>
          <w:sz w:val="24"/>
          <w:szCs w:val="24"/>
        </w:rPr>
      </w:pPr>
      <w:r w:rsidRPr="00995124">
        <w:rPr>
          <w:sz w:val="24"/>
          <w:szCs w:val="24"/>
        </w:rPr>
        <w:tab/>
        <w:t>Presentations are subject to “permit-but-disclose</w:t>
      </w:r>
      <w:r w:rsidR="007F1C57">
        <w:rPr>
          <w:sz w:val="24"/>
          <w:szCs w:val="24"/>
        </w:rPr>
        <w:t>”</w:t>
      </w:r>
      <w:r w:rsidRPr="00995124">
        <w:rPr>
          <w:sz w:val="24"/>
          <w:szCs w:val="24"/>
        </w:rPr>
        <w:t xml:space="preserve"> </w:t>
      </w:r>
      <w:r w:rsidRPr="00995124">
        <w:rPr>
          <w:i/>
          <w:iCs/>
          <w:sz w:val="24"/>
          <w:szCs w:val="24"/>
        </w:rPr>
        <w:t xml:space="preserve">ex </w:t>
      </w:r>
      <w:r w:rsidRPr="00995124">
        <w:rPr>
          <w:i/>
          <w:iCs/>
          <w:sz w:val="24"/>
          <w:szCs w:val="24"/>
        </w:rPr>
        <w:t>parte</w:t>
      </w:r>
      <w:r w:rsidRPr="00995124">
        <w:rPr>
          <w:i/>
          <w:iCs/>
          <w:sz w:val="24"/>
          <w:szCs w:val="24"/>
        </w:rPr>
        <w:t xml:space="preserv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w:t>
      </w:r>
      <w:r w:rsidRPr="00995124">
        <w:rPr>
          <w:i/>
          <w:sz w:val="24"/>
          <w:szCs w:val="24"/>
        </w:rPr>
        <w:t>parte</w:t>
      </w:r>
      <w:r w:rsidRPr="00995124">
        <w:rPr>
          <w:i/>
          <w:sz w:val="24"/>
          <w:szCs w:val="24"/>
        </w:rPr>
        <w:t xml:space="preserve"> </w:t>
      </w:r>
      <w:r w:rsidRPr="00995124">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31C3F">
        <w:rPr>
          <w:i/>
          <w:sz w:val="24"/>
          <w:szCs w:val="24"/>
        </w:rPr>
        <w:t xml:space="preserve">ex </w:t>
      </w:r>
      <w:r w:rsidRPr="00631C3F">
        <w:rPr>
          <w:i/>
          <w:sz w:val="24"/>
          <w:szCs w:val="24"/>
        </w:rPr>
        <w:t>parte</w:t>
      </w:r>
      <w:r w:rsidRPr="00631C3F">
        <w:rPr>
          <w:i/>
          <w:sz w:val="24"/>
          <w:szCs w:val="24"/>
        </w:rPr>
        <w:t xml:space="preserve"> </w:t>
      </w:r>
      <w:r w:rsidRPr="00A5133A">
        <w:rPr>
          <w:sz w:val="24"/>
          <w:szCs w:val="24"/>
        </w:rPr>
        <w:t>rules,</w:t>
      </w:r>
      <w:r w:rsidRPr="00995124">
        <w:rPr>
          <w:sz w:val="24"/>
          <w:szCs w:val="24"/>
        </w:rPr>
        <w:t xml:space="preserve"> including the general prohibition on presentations (written and oral) on matters listed on the Sunshine Agenda, which is typically 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w:t>
      </w:r>
      <w:r w:rsidR="00A5133A">
        <w:rPr>
          <w:sz w:val="24"/>
          <w:szCs w:val="24"/>
        </w:rPr>
        <w:t> </w:t>
      </w:r>
      <w:r w:rsidRPr="00995124">
        <w:rPr>
          <w:sz w:val="24"/>
          <w:szCs w:val="24"/>
        </w:rPr>
        <w:t>CFR</w:t>
      </w:r>
      <w:r w:rsidR="00A5133A">
        <w:rPr>
          <w:sz w:val="24"/>
          <w:szCs w:val="24"/>
        </w:rPr>
        <w:t> </w:t>
      </w:r>
      <w:r w:rsidRPr="00995124">
        <w:rPr>
          <w:sz w:val="24"/>
          <w:szCs w:val="24"/>
        </w:rPr>
        <w:t>§§</w:t>
      </w:r>
      <w:r w:rsidR="00A5133A">
        <w:rPr>
          <w:sz w:val="24"/>
          <w:szCs w:val="24"/>
        </w:rPr>
        <w:t> </w:t>
      </w:r>
      <w:r w:rsidRPr="00995124">
        <w:rPr>
          <w:sz w:val="24"/>
          <w:szCs w:val="24"/>
        </w:rPr>
        <w:t>1.1200(a), 1.1203</w:t>
      </w:r>
      <w:r>
        <w:rPr>
          <w:sz w:val="24"/>
          <w:szCs w:val="24"/>
        </w:rPr>
        <w:t>.</w:t>
      </w:r>
    </w:p>
    <w:p w:rsidR="00995124" w:rsidP="00F96F63">
      <w:pPr>
        <w:rPr>
          <w:sz w:val="24"/>
          <w:szCs w:val="24"/>
        </w:rPr>
      </w:pPr>
    </w:p>
    <w:p w:rsidR="00995124" w:rsidP="00F96F63">
      <w:pPr>
        <w:rPr>
          <w:sz w:val="24"/>
          <w:szCs w:val="24"/>
        </w:rPr>
      </w:pPr>
      <w:r>
        <w:rPr>
          <w:sz w:val="24"/>
          <w:szCs w:val="24"/>
        </w:rPr>
        <w:tab/>
        <w:t>Action by Chief, Wireless Telecommunications Bureau.</w:t>
      </w:r>
    </w:p>
    <w:p w:rsidR="008C352C" w:rsidP="00F96F63">
      <w:pPr>
        <w:rPr>
          <w:sz w:val="24"/>
          <w:szCs w:val="24"/>
        </w:rPr>
      </w:pPr>
    </w:p>
    <w:p w:rsidR="00995124" w:rsidP="00F96F63">
      <w:pPr>
        <w:rPr>
          <w:sz w:val="24"/>
          <w:szCs w:val="24"/>
        </w:rPr>
      </w:pPr>
    </w:p>
    <w:p w:rsidR="00995124" w:rsidRPr="00995124" w:rsidP="00995124">
      <w:pPr>
        <w:jc w:val="center"/>
        <w:rPr>
          <w:sz w:val="24"/>
          <w:szCs w:val="24"/>
        </w:rPr>
      </w:pPr>
      <w:r w:rsidRPr="00995124">
        <w:rPr>
          <w:b/>
          <w:sz w:val="24"/>
          <w:szCs w:val="24"/>
        </w:rPr>
        <w:t>-FCC-</w:t>
      </w:r>
    </w:p>
    <w:sectPr w:rsidSect="000E5884">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pPr>
      <w:pStyle w:val="Footer"/>
      <w:jc w:val="center"/>
    </w:pPr>
    <w:r>
      <w:fldChar w:fldCharType="begin"/>
    </w:r>
    <w:r>
      <w:instrText xml:space="preserve"> PAGE   \* MERGEFORMAT </w:instrText>
    </w:r>
    <w:r>
      <w:fldChar w:fldCharType="separate"/>
    </w:r>
    <w: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0225" cy="530225"/>
          <wp:effectExtent l="0" t="0" r="3175" b="3175"/>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07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13696E">
      <w:rPr>
        <w:rFonts w:ascii="Arial" w:hAnsi="Arial" w:cs="Arial"/>
        <w:b/>
        <w:sz w:val="96"/>
      </w:rPr>
      <w:tab/>
    </w:r>
    <w:bookmarkStart w:id="1" w:name="_GoBack"/>
    <w:bookmarkEnd w:id="1"/>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6D8C"/>
    <w:rsid w:val="000C0B65"/>
    <w:rsid w:val="000E3D42"/>
    <w:rsid w:val="000E5884"/>
    <w:rsid w:val="00122BD5"/>
    <w:rsid w:val="0013696E"/>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2F43"/>
    <w:rsid w:val="00607BA5"/>
    <w:rsid w:val="00626EB6"/>
    <w:rsid w:val="00631C3F"/>
    <w:rsid w:val="006353A3"/>
    <w:rsid w:val="00653C2B"/>
    <w:rsid w:val="00655D03"/>
    <w:rsid w:val="00683F84"/>
    <w:rsid w:val="006A6A81"/>
    <w:rsid w:val="006E26AF"/>
    <w:rsid w:val="006F7393"/>
    <w:rsid w:val="0070224F"/>
    <w:rsid w:val="007115F7"/>
    <w:rsid w:val="00785689"/>
    <w:rsid w:val="0079754B"/>
    <w:rsid w:val="007A1E6D"/>
    <w:rsid w:val="007E4572"/>
    <w:rsid w:val="007F1C57"/>
    <w:rsid w:val="00822CE0"/>
    <w:rsid w:val="00837C62"/>
    <w:rsid w:val="00841AB1"/>
    <w:rsid w:val="008C22FD"/>
    <w:rsid w:val="008C352C"/>
    <w:rsid w:val="00910F12"/>
    <w:rsid w:val="00926503"/>
    <w:rsid w:val="00930ECF"/>
    <w:rsid w:val="009838BC"/>
    <w:rsid w:val="00995124"/>
    <w:rsid w:val="00A45F4F"/>
    <w:rsid w:val="00A5133A"/>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0A78"/>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