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C2EE3" w:rsidRPr="00C83B4D" w14:paraId="6379C346" w14:textId="77777777">
      <w:pPr>
        <w:jc w:val="center"/>
        <w:rPr>
          <w:b/>
          <w:szCs w:val="22"/>
        </w:rPr>
      </w:pPr>
      <w:r w:rsidRPr="00C83B4D">
        <w:rPr>
          <w:b/>
          <w:kern w:val="0"/>
          <w:szCs w:val="22"/>
        </w:rPr>
        <w:t>Before</w:t>
      </w:r>
      <w:r w:rsidRPr="00C83B4D">
        <w:rPr>
          <w:b/>
          <w:szCs w:val="22"/>
        </w:rPr>
        <w:t xml:space="preserve"> the</w:t>
      </w:r>
    </w:p>
    <w:p w:rsidR="00921803" w:rsidRPr="00C83B4D" w:rsidP="00921803" w14:paraId="5145347D" w14:textId="77777777">
      <w:pPr>
        <w:pStyle w:val="StyleBoldCentered"/>
        <w:rPr>
          <w:rFonts w:ascii="Times New Roman" w:hAnsi="Times New Roman"/>
        </w:rPr>
      </w:pPr>
      <w:r w:rsidRPr="00C83B4D">
        <w:rPr>
          <w:rFonts w:ascii="Times New Roman" w:hAnsi="Times New Roman"/>
        </w:rPr>
        <w:t>F</w:t>
      </w:r>
      <w:r w:rsidRPr="00C83B4D">
        <w:rPr>
          <w:rFonts w:ascii="Times New Roman" w:hAnsi="Times New Roman"/>
          <w:caps w:val="0"/>
        </w:rPr>
        <w:t>ederal Communications Commission</w:t>
      </w:r>
    </w:p>
    <w:p w:rsidR="004C2EE3" w:rsidRPr="00C83B4D" w:rsidP="00096D8C" w14:paraId="66FB7401" w14:textId="77777777">
      <w:pPr>
        <w:pStyle w:val="StyleBoldCentered"/>
        <w:rPr>
          <w:rFonts w:ascii="Times New Roman" w:hAnsi="Times New Roman"/>
        </w:rPr>
      </w:pPr>
      <w:r w:rsidRPr="00C83B4D">
        <w:rPr>
          <w:rFonts w:ascii="Times New Roman" w:hAnsi="Times New Roman"/>
          <w:caps w:val="0"/>
        </w:rPr>
        <w:t>Washington, D.C. 20554</w:t>
      </w:r>
    </w:p>
    <w:p w:rsidR="004C2EE3" w:rsidRPr="00C83B4D" w:rsidP="0070224F" w14:paraId="579E26F9" w14:textId="77777777">
      <w:pPr>
        <w:rPr>
          <w:szCs w:val="22"/>
        </w:rPr>
      </w:pPr>
    </w:p>
    <w:p w:rsidR="004C2EE3" w:rsidRPr="00C83B4D" w:rsidP="0070224F" w14:paraId="694A0BC6" w14:textId="77777777">
      <w:pPr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4E26F119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:rsidRPr="00C83B4D" w14:paraId="58B2ABA8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C83B4D">
              <w:rPr>
                <w:spacing w:val="-2"/>
                <w:szCs w:val="22"/>
              </w:rPr>
              <w:t>In the Matter of</w:t>
            </w:r>
          </w:p>
          <w:p w:rsidR="004C2EE3" w:rsidRPr="00C83B4D" w14:paraId="5970281E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7E1F04" w:rsidRPr="00C83B4D" w:rsidP="007E1F04" w14:paraId="599CDD65" w14:textId="1A05AFC3">
            <w:pPr>
              <w:tabs>
                <w:tab w:val="center" w:pos="4680"/>
              </w:tabs>
              <w:suppressAutoHyphens/>
              <w:rPr>
                <w:color w:val="000000" w:themeColor="text1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Livingston W. Fulton</w:t>
            </w:r>
          </w:p>
          <w:p w:rsidR="004C2EE3" w:rsidRPr="00C83B4D" w:rsidP="00913F04" w14:paraId="637954AF" w14:textId="06B0DF3F">
            <w:pPr>
              <w:tabs>
                <w:tab w:val="center" w:pos="4680"/>
              </w:tabs>
              <w:suppressAutoHyphens/>
              <w:rPr>
                <w:color w:val="000000" w:themeColor="text1"/>
                <w:szCs w:val="22"/>
              </w:rPr>
            </w:pPr>
            <w:r w:rsidRPr="00C83B4D">
              <w:rPr>
                <w:color w:val="000000"/>
                <w:spacing w:val="-2"/>
                <w:szCs w:val="22"/>
              </w:rPr>
              <w:t>Licensee of WSRA(AM), Albany, Georgia</w:t>
            </w:r>
          </w:p>
        </w:tc>
        <w:tc>
          <w:tcPr>
            <w:tcW w:w="630" w:type="dxa"/>
          </w:tcPr>
          <w:p w:rsidR="004C2EE3" w:rsidRPr="00C83B4D" w14:paraId="40B2970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83B4D">
              <w:rPr>
                <w:b/>
                <w:spacing w:val="-2"/>
                <w:szCs w:val="22"/>
              </w:rPr>
              <w:t>)</w:t>
            </w:r>
          </w:p>
          <w:p w:rsidR="004C2EE3" w:rsidRPr="00C83B4D" w14:paraId="1E592FD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83B4D">
              <w:rPr>
                <w:b/>
                <w:spacing w:val="-2"/>
                <w:szCs w:val="22"/>
              </w:rPr>
              <w:t>)</w:t>
            </w:r>
          </w:p>
          <w:p w:rsidR="004C2EE3" w:rsidRPr="00C83B4D" w14:paraId="5E8C9FA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83B4D">
              <w:rPr>
                <w:b/>
                <w:spacing w:val="-2"/>
                <w:szCs w:val="22"/>
              </w:rPr>
              <w:t>)</w:t>
            </w:r>
          </w:p>
          <w:p w:rsidR="008C7BA8" w:rsidRPr="00C83B4D" w14:paraId="53D56FA8" w14:textId="18C826D3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83B4D">
              <w:rPr>
                <w:b/>
                <w:spacing w:val="-2"/>
                <w:szCs w:val="22"/>
              </w:rPr>
              <w:t>)</w:t>
            </w:r>
          </w:p>
        </w:tc>
        <w:tc>
          <w:tcPr>
            <w:tcW w:w="4248" w:type="dxa"/>
          </w:tcPr>
          <w:p w:rsidR="004C2EE3" w:rsidRPr="00C83B4D" w14:paraId="3E295D64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54298F" w:rsidRPr="00C83B4D" w:rsidP="0054298F" w14:paraId="5A5C80F8" w14:textId="6ED7D441">
            <w:pPr>
              <w:rPr>
                <w:szCs w:val="22"/>
                <w:highlight w:val="yellow"/>
              </w:rPr>
            </w:pPr>
          </w:p>
          <w:p w:rsidR="0054298F" w:rsidRPr="00C83B4D" w:rsidP="0054298F" w14:paraId="29CCA19B" w14:textId="77777777">
            <w:pPr>
              <w:ind w:left="612" w:hanging="612"/>
              <w:rPr>
                <w:color w:val="000000" w:themeColor="text1"/>
                <w:szCs w:val="22"/>
              </w:rPr>
            </w:pPr>
            <w:r w:rsidRPr="00C83B4D">
              <w:rPr>
                <w:color w:val="000000"/>
                <w:spacing w:val="-2"/>
                <w:szCs w:val="22"/>
              </w:rPr>
              <w:t>FRN:  0014417851</w:t>
            </w:r>
          </w:p>
          <w:p w:rsidR="0054298F" w:rsidRPr="00AE4725" w:rsidP="00913F04" w14:paraId="7D01EE7B" w14:textId="19EC9604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  <w:r w:rsidRPr="00C83B4D">
              <w:rPr>
                <w:color w:val="000000"/>
                <w:spacing w:val="-2"/>
                <w:szCs w:val="22"/>
              </w:rPr>
              <w:t>Fac. ID 37451</w:t>
            </w:r>
          </w:p>
        </w:tc>
      </w:tr>
    </w:tbl>
    <w:p w:rsidR="004C2EE3" w:rsidRPr="00C83B4D" w:rsidP="0070224F" w14:paraId="46FC3535" w14:textId="77777777">
      <w:pPr>
        <w:rPr>
          <w:szCs w:val="22"/>
        </w:rPr>
      </w:pPr>
    </w:p>
    <w:p w:rsidR="00841AB1" w:rsidRPr="00C83B4D" w:rsidP="00F021FA" w14:paraId="54920606" w14:textId="1C21950B">
      <w:pPr>
        <w:pStyle w:val="StyleBoldCentered"/>
        <w:rPr>
          <w:rFonts w:ascii="Times New Roman" w:hAnsi="Times New Roman"/>
        </w:rPr>
      </w:pPr>
      <w:r w:rsidRPr="00C83B4D">
        <w:rPr>
          <w:rFonts w:ascii="Times New Roman" w:hAnsi="Times New Roman"/>
        </w:rPr>
        <w:t>order</w:t>
      </w:r>
    </w:p>
    <w:p w:rsidR="004C2EE3" w:rsidRPr="00C83B4D" w14:paraId="00FDF0DF" w14:textId="77777777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p w:rsidR="004C2EE3" w:rsidRPr="00C83B4D" w:rsidP="00133F79" w14:paraId="290E4293" w14:textId="27D4A8C6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  <w:szCs w:val="22"/>
        </w:rPr>
      </w:pPr>
      <w:r w:rsidRPr="00C83B4D">
        <w:rPr>
          <w:b/>
          <w:spacing w:val="-2"/>
          <w:szCs w:val="22"/>
        </w:rPr>
        <w:t xml:space="preserve">Adopted:  </w:t>
      </w:r>
      <w:r w:rsidR="00F02FFD">
        <w:rPr>
          <w:b/>
          <w:spacing w:val="-2"/>
          <w:szCs w:val="22"/>
        </w:rPr>
        <w:t>October</w:t>
      </w:r>
      <w:r w:rsidRPr="00C83B4D" w:rsidR="008C7BA8">
        <w:rPr>
          <w:b/>
          <w:spacing w:val="-2"/>
          <w:szCs w:val="22"/>
        </w:rPr>
        <w:t xml:space="preserve"> </w:t>
      </w:r>
      <w:r w:rsidR="00B05A64">
        <w:rPr>
          <w:b/>
          <w:spacing w:val="-2"/>
          <w:szCs w:val="22"/>
        </w:rPr>
        <w:t>28,</w:t>
      </w:r>
      <w:r w:rsidRPr="00C83B4D" w:rsidR="00913F04">
        <w:rPr>
          <w:b/>
          <w:spacing w:val="-2"/>
          <w:szCs w:val="22"/>
        </w:rPr>
        <w:t xml:space="preserve"> 2019</w:t>
      </w:r>
      <w:r w:rsidRPr="00C83B4D">
        <w:rPr>
          <w:b/>
          <w:spacing w:val="-2"/>
          <w:szCs w:val="22"/>
        </w:rPr>
        <w:tab/>
      </w:r>
      <w:r w:rsidRPr="00C83B4D" w:rsidR="00822CE0">
        <w:rPr>
          <w:b/>
          <w:spacing w:val="-2"/>
          <w:szCs w:val="22"/>
        </w:rPr>
        <w:t>Released</w:t>
      </w:r>
      <w:r w:rsidRPr="00C83B4D">
        <w:rPr>
          <w:b/>
          <w:spacing w:val="-2"/>
          <w:szCs w:val="22"/>
        </w:rPr>
        <w:t>:</w:t>
      </w:r>
      <w:r w:rsidRPr="00C83B4D" w:rsidR="00822CE0">
        <w:rPr>
          <w:b/>
          <w:spacing w:val="-2"/>
          <w:szCs w:val="22"/>
        </w:rPr>
        <w:t xml:space="preserve"> </w:t>
      </w:r>
      <w:r w:rsidRPr="00C83B4D">
        <w:rPr>
          <w:b/>
          <w:spacing w:val="-2"/>
          <w:szCs w:val="22"/>
        </w:rPr>
        <w:t xml:space="preserve"> </w:t>
      </w:r>
      <w:r w:rsidR="00F02FFD">
        <w:rPr>
          <w:b/>
          <w:spacing w:val="-2"/>
          <w:szCs w:val="22"/>
        </w:rPr>
        <w:t>October</w:t>
      </w:r>
      <w:r w:rsidRPr="00C83B4D" w:rsidR="00913F04">
        <w:rPr>
          <w:b/>
          <w:spacing w:val="-2"/>
          <w:szCs w:val="22"/>
        </w:rPr>
        <w:t xml:space="preserve"> </w:t>
      </w:r>
      <w:r w:rsidR="00B05A64">
        <w:rPr>
          <w:b/>
          <w:spacing w:val="-2"/>
          <w:szCs w:val="22"/>
        </w:rPr>
        <w:t>28,</w:t>
      </w:r>
      <w:r w:rsidRPr="00C83B4D" w:rsidR="00913F04">
        <w:rPr>
          <w:b/>
          <w:spacing w:val="-2"/>
          <w:szCs w:val="22"/>
        </w:rPr>
        <w:t xml:space="preserve"> 2019</w:t>
      </w:r>
    </w:p>
    <w:p w:rsidR="00822CE0" w:rsidRPr="00C83B4D" w14:paraId="231CD7A6" w14:textId="77777777">
      <w:pPr>
        <w:rPr>
          <w:szCs w:val="22"/>
        </w:rPr>
      </w:pPr>
    </w:p>
    <w:p w:rsidR="004C2EE3" w:rsidRPr="00C83B4D" w14:paraId="2489BCE8" w14:textId="77777777">
      <w:pPr>
        <w:rPr>
          <w:spacing w:val="-2"/>
          <w:szCs w:val="22"/>
        </w:rPr>
      </w:pPr>
      <w:r w:rsidRPr="00C83B4D">
        <w:rPr>
          <w:szCs w:val="22"/>
        </w:rPr>
        <w:t xml:space="preserve">By </w:t>
      </w:r>
      <w:r w:rsidRPr="00C83B4D" w:rsidR="004E4A22">
        <w:rPr>
          <w:szCs w:val="22"/>
        </w:rPr>
        <w:t>the</w:t>
      </w:r>
      <w:r w:rsidRPr="00C83B4D" w:rsidR="002A2D2E">
        <w:rPr>
          <w:szCs w:val="22"/>
        </w:rPr>
        <w:t xml:space="preserve"> </w:t>
      </w:r>
      <w:r w:rsidRPr="00C83B4D" w:rsidR="00913F04">
        <w:rPr>
          <w:spacing w:val="-2"/>
          <w:szCs w:val="22"/>
        </w:rPr>
        <w:t>Media Bureau and Office of the Managing Director</w:t>
      </w:r>
      <w:r w:rsidRPr="00C83B4D">
        <w:rPr>
          <w:spacing w:val="-2"/>
          <w:szCs w:val="22"/>
        </w:rPr>
        <w:t>:</w:t>
      </w:r>
    </w:p>
    <w:p w:rsidR="00822CE0" w:rsidRPr="00C83B4D" w14:paraId="5320D7F3" w14:textId="77777777">
      <w:pPr>
        <w:rPr>
          <w:spacing w:val="-2"/>
          <w:szCs w:val="22"/>
        </w:rPr>
      </w:pPr>
    </w:p>
    <w:p w:rsidR="00676FA4" w:rsidRPr="004D34CA" w:rsidP="004D34CA" w14:paraId="046CA2E3" w14:textId="0685D2B8">
      <w:pPr>
        <w:pStyle w:val="ParaNum"/>
        <w:tabs>
          <w:tab w:val="clear" w:pos="1080"/>
        </w:tabs>
        <w:rPr>
          <w:snapToGrid/>
          <w:spacing w:val="-2"/>
          <w:szCs w:val="22"/>
        </w:rPr>
      </w:pPr>
      <w:r w:rsidRPr="00C83B4D">
        <w:rPr>
          <w:snapToGrid/>
          <w:szCs w:val="22"/>
        </w:rPr>
        <w:t xml:space="preserve">By this </w:t>
      </w:r>
      <w:r w:rsidRPr="00C83B4D">
        <w:rPr>
          <w:i/>
          <w:snapToGrid/>
          <w:szCs w:val="22"/>
        </w:rPr>
        <w:t>Order</w:t>
      </w:r>
      <w:r w:rsidRPr="00C83B4D">
        <w:rPr>
          <w:snapToGrid/>
          <w:szCs w:val="22"/>
        </w:rPr>
        <w:t xml:space="preserve">, we </w:t>
      </w:r>
      <w:r w:rsidR="00F02FFD">
        <w:rPr>
          <w:snapToGrid/>
          <w:szCs w:val="22"/>
        </w:rPr>
        <w:t>cancel</w:t>
      </w:r>
      <w:r w:rsidRPr="00C83B4D">
        <w:rPr>
          <w:snapToGrid/>
          <w:szCs w:val="22"/>
        </w:rPr>
        <w:t xml:space="preserve"> the </w:t>
      </w:r>
      <w:r w:rsidRPr="00F25166" w:rsidR="00F02FFD">
        <w:rPr>
          <w:i/>
          <w:snapToGrid/>
          <w:szCs w:val="22"/>
        </w:rPr>
        <w:t>Order to Pay or to Show Cause</w:t>
      </w:r>
      <w:r w:rsidR="00F02FFD">
        <w:rPr>
          <w:snapToGrid/>
          <w:szCs w:val="22"/>
        </w:rPr>
        <w:t xml:space="preserve"> </w:t>
      </w:r>
      <w:r w:rsidR="00C33A59">
        <w:rPr>
          <w:snapToGrid/>
          <w:szCs w:val="22"/>
        </w:rPr>
        <w:t xml:space="preserve">issued </w:t>
      </w:r>
      <w:r w:rsidR="00F25166">
        <w:rPr>
          <w:snapToGrid/>
          <w:szCs w:val="22"/>
        </w:rPr>
        <w:t xml:space="preserve">to Livingston W. Fulton </w:t>
      </w:r>
      <w:r w:rsidR="00C33A59">
        <w:rPr>
          <w:snapToGrid/>
          <w:szCs w:val="22"/>
        </w:rPr>
        <w:t xml:space="preserve">in </w:t>
      </w:r>
      <w:r w:rsidR="002C7DAF">
        <w:rPr>
          <w:snapToGrid/>
          <w:szCs w:val="22"/>
        </w:rPr>
        <w:t>relation</w:t>
      </w:r>
      <w:r w:rsidR="00C932C4">
        <w:rPr>
          <w:snapToGrid/>
          <w:szCs w:val="22"/>
        </w:rPr>
        <w:t xml:space="preserve"> to </w:t>
      </w:r>
      <w:r w:rsidRPr="00C83B4D">
        <w:rPr>
          <w:snapToGrid/>
          <w:szCs w:val="22"/>
        </w:rPr>
        <w:t xml:space="preserve">delinquent regulatory fees </w:t>
      </w:r>
      <w:r w:rsidR="00C932C4">
        <w:rPr>
          <w:snapToGrid/>
          <w:szCs w:val="22"/>
        </w:rPr>
        <w:t xml:space="preserve">owed to the Commission </w:t>
      </w:r>
      <w:r w:rsidRPr="00C83B4D" w:rsidR="00C33A59">
        <w:rPr>
          <w:snapToGrid/>
          <w:szCs w:val="22"/>
        </w:rPr>
        <w:t>for WSRA(AM), Albany, Georgia (Station)</w:t>
      </w:r>
      <w:r w:rsidRPr="00C83B4D">
        <w:rPr>
          <w:snapToGrid/>
          <w:szCs w:val="22"/>
        </w:rPr>
        <w:t>.</w:t>
      </w:r>
      <w:r>
        <w:rPr>
          <w:snapToGrid/>
          <w:szCs w:val="22"/>
          <w:vertAlign w:val="superscript"/>
        </w:rPr>
        <w:footnoteReference w:id="3"/>
      </w:r>
      <w:r w:rsidRPr="00C83B4D">
        <w:rPr>
          <w:snapToGrid/>
          <w:szCs w:val="22"/>
        </w:rPr>
        <w:t xml:space="preserve">  </w:t>
      </w:r>
      <w:r w:rsidR="00E14FF1">
        <w:rPr>
          <w:snapToGrid/>
          <w:spacing w:val="-2"/>
          <w:szCs w:val="22"/>
        </w:rPr>
        <w:t xml:space="preserve">The </w:t>
      </w:r>
      <w:r w:rsidRPr="00676FA4">
        <w:rPr>
          <w:i/>
          <w:snapToGrid/>
          <w:szCs w:val="22"/>
        </w:rPr>
        <w:t>Order to Pay or to Show Cause</w:t>
      </w:r>
      <w:r w:rsidRPr="00676FA4">
        <w:rPr>
          <w:snapToGrid/>
          <w:szCs w:val="22"/>
        </w:rPr>
        <w:t xml:space="preserve"> required </w:t>
      </w:r>
      <w:r w:rsidRPr="00676FA4" w:rsidR="00244E62">
        <w:rPr>
          <w:snapToGrid/>
          <w:szCs w:val="22"/>
        </w:rPr>
        <w:t>Fulton</w:t>
      </w:r>
      <w:r w:rsidRPr="00676FA4">
        <w:rPr>
          <w:snapToGrid/>
          <w:szCs w:val="22"/>
        </w:rPr>
        <w:t xml:space="preserve"> to file with the Bureau documented evidence that full payment of </w:t>
      </w:r>
      <w:r w:rsidRPr="00676FA4" w:rsidR="00C30094">
        <w:rPr>
          <w:snapToGrid/>
          <w:szCs w:val="22"/>
        </w:rPr>
        <w:t>the Station’s outstanding</w:t>
      </w:r>
      <w:r w:rsidRPr="00676FA4">
        <w:rPr>
          <w:snapToGrid/>
          <w:szCs w:val="22"/>
        </w:rPr>
        <w:t xml:space="preserve"> regulatory fees had been made, or to show cause why the fees were inapplicable or should be waived or deferred.</w:t>
      </w:r>
      <w:r>
        <w:rPr>
          <w:snapToGrid/>
          <w:szCs w:val="22"/>
          <w:vertAlign w:val="superscript"/>
        </w:rPr>
        <w:footnoteReference w:id="4"/>
      </w:r>
      <w:r w:rsidRPr="00676FA4">
        <w:rPr>
          <w:snapToGrid/>
          <w:szCs w:val="22"/>
        </w:rPr>
        <w:t xml:space="preserve">  </w:t>
      </w:r>
      <w:r w:rsidRPr="00D178FB" w:rsidR="00DC6876">
        <w:rPr>
          <w:snapToGrid/>
          <w:szCs w:val="22"/>
        </w:rPr>
        <w:t>Fulton responded</w:t>
      </w:r>
      <w:r w:rsidRPr="00D178FB" w:rsidR="00E13DBD">
        <w:rPr>
          <w:snapToGrid/>
          <w:szCs w:val="22"/>
        </w:rPr>
        <w:t xml:space="preserve"> to the Order to Pay or to Show Cause, </w:t>
      </w:r>
      <w:r w:rsidR="00D7549E">
        <w:rPr>
          <w:snapToGrid/>
          <w:szCs w:val="22"/>
        </w:rPr>
        <w:t>alleging</w:t>
      </w:r>
      <w:r w:rsidRPr="00D178FB" w:rsidR="00E13DBD">
        <w:rPr>
          <w:snapToGrid/>
          <w:szCs w:val="22"/>
        </w:rPr>
        <w:t xml:space="preserve"> that </w:t>
      </w:r>
      <w:r w:rsidRPr="00D178FB" w:rsidR="007B77CD">
        <w:rPr>
          <w:snapToGrid/>
          <w:szCs w:val="22"/>
        </w:rPr>
        <w:t>he was not the licensee of the Station, that Agape Life Ministries</w:t>
      </w:r>
      <w:r w:rsidR="004D34CA">
        <w:rPr>
          <w:snapToGrid/>
          <w:szCs w:val="22"/>
        </w:rPr>
        <w:t>, Inc. (Agape)</w:t>
      </w:r>
      <w:r w:rsidRPr="00D178FB" w:rsidR="007B77CD">
        <w:rPr>
          <w:snapToGrid/>
          <w:szCs w:val="22"/>
        </w:rPr>
        <w:t xml:space="preserve">—a non-profit </w:t>
      </w:r>
      <w:r w:rsidRPr="00D178FB" w:rsidR="00A6323D">
        <w:rPr>
          <w:snapToGrid/>
          <w:szCs w:val="22"/>
        </w:rPr>
        <w:t>corporation</w:t>
      </w:r>
      <w:r w:rsidRPr="00D178FB" w:rsidR="007B77CD">
        <w:rPr>
          <w:snapToGrid/>
          <w:szCs w:val="22"/>
        </w:rPr>
        <w:t xml:space="preserve"> organized under the laws of the State of Georgia</w:t>
      </w:r>
      <w:r w:rsidRPr="00D178FB" w:rsidR="00A6323D">
        <w:rPr>
          <w:snapToGrid/>
          <w:szCs w:val="22"/>
        </w:rPr>
        <w:t>—</w:t>
      </w:r>
      <w:r w:rsidRPr="00D178FB" w:rsidR="007B77CD">
        <w:rPr>
          <w:snapToGrid/>
          <w:szCs w:val="22"/>
        </w:rPr>
        <w:t>was the licensee, and thus</w:t>
      </w:r>
      <w:r w:rsidR="00054288">
        <w:rPr>
          <w:snapToGrid/>
          <w:szCs w:val="22"/>
        </w:rPr>
        <w:t>, that</w:t>
      </w:r>
      <w:r w:rsidRPr="00D178FB" w:rsidR="007B77CD">
        <w:rPr>
          <w:snapToGrid/>
          <w:szCs w:val="22"/>
        </w:rPr>
        <w:t xml:space="preserve"> </w:t>
      </w:r>
      <w:r w:rsidRPr="00D178FB" w:rsidR="007865A3">
        <w:rPr>
          <w:snapToGrid/>
          <w:szCs w:val="22"/>
        </w:rPr>
        <w:t>the regulatory fees at issue were inapplicable.</w:t>
      </w:r>
      <w:r w:rsidRPr="00D178FB" w:rsidR="007B77CD">
        <w:rPr>
          <w:snapToGrid/>
          <w:szCs w:val="22"/>
        </w:rPr>
        <w:t xml:space="preserve"> </w:t>
      </w:r>
      <w:r w:rsidR="004D34CA">
        <w:rPr>
          <w:snapToGrid/>
          <w:szCs w:val="22"/>
        </w:rPr>
        <w:t xml:space="preserve"> </w:t>
      </w:r>
      <w:r w:rsidRPr="004D34CA" w:rsidR="0025757F">
        <w:rPr>
          <w:rFonts w:ascii="TimesNewRomanPSMT" w:hAnsi="TimesNewRomanPSMT" w:cs="TimesNewRomanPSMT"/>
          <w:snapToGrid/>
          <w:kern w:val="0"/>
          <w:szCs w:val="22"/>
        </w:rPr>
        <w:t>W</w:t>
      </w:r>
      <w:r w:rsidRPr="004D34CA" w:rsidR="00B664D2">
        <w:rPr>
          <w:rFonts w:ascii="TimesNewRomanPSMT" w:hAnsi="TimesNewRomanPSMT" w:cs="TimesNewRomanPSMT"/>
          <w:snapToGrid/>
          <w:kern w:val="0"/>
          <w:szCs w:val="22"/>
        </w:rPr>
        <w:t>e have verified</w:t>
      </w:r>
      <w:r w:rsidRPr="004D34CA" w:rsidR="0025757F">
        <w:rPr>
          <w:rFonts w:ascii="TimesNewRomanPSMT" w:hAnsi="TimesNewRomanPSMT" w:cs="TimesNewRomanPSMT"/>
          <w:snapToGrid/>
          <w:kern w:val="0"/>
          <w:szCs w:val="22"/>
        </w:rPr>
        <w:t xml:space="preserve"> that Agape </w:t>
      </w:r>
      <w:r w:rsidRPr="004D34CA" w:rsidR="004B3FAF">
        <w:rPr>
          <w:rFonts w:ascii="TimesNewRomanPSMT" w:hAnsi="TimesNewRomanPSMT" w:cs="TimesNewRomanPSMT"/>
          <w:snapToGrid/>
          <w:kern w:val="0"/>
          <w:szCs w:val="22"/>
        </w:rPr>
        <w:t xml:space="preserve">has been the Station’s licensee since </w:t>
      </w:r>
      <w:r w:rsidRPr="004D34CA" w:rsidR="00F376FA">
        <w:rPr>
          <w:rFonts w:ascii="TimesNewRomanPSMT" w:hAnsi="TimesNewRomanPSMT" w:cs="TimesNewRomanPSMT"/>
          <w:snapToGrid/>
          <w:kern w:val="0"/>
          <w:szCs w:val="22"/>
        </w:rPr>
        <w:t>2004,</w:t>
      </w:r>
      <w:r>
        <w:rPr>
          <w:rStyle w:val="FootnoteReference"/>
          <w:rFonts w:cs="TimesNewRomanPSMT"/>
          <w:snapToGrid/>
          <w:kern w:val="0"/>
          <w:szCs w:val="22"/>
        </w:rPr>
        <w:footnoteReference w:id="5"/>
      </w:r>
      <w:r w:rsidRPr="004D34CA" w:rsidR="004B3FAF">
        <w:rPr>
          <w:rFonts w:ascii="TimesNewRomanPSMT" w:hAnsi="TimesNewRomanPSMT" w:cs="TimesNewRomanPSMT"/>
          <w:snapToGrid/>
          <w:kern w:val="0"/>
          <w:szCs w:val="22"/>
        </w:rPr>
        <w:t xml:space="preserve"> and </w:t>
      </w:r>
      <w:r w:rsidRPr="004D34CA" w:rsidR="009A694F">
        <w:rPr>
          <w:rFonts w:ascii="TimesNewRomanPSMT" w:hAnsi="TimesNewRomanPSMT" w:cs="TimesNewRomanPSMT"/>
          <w:snapToGrid/>
          <w:kern w:val="0"/>
          <w:szCs w:val="22"/>
        </w:rPr>
        <w:t xml:space="preserve">modified </w:t>
      </w:r>
      <w:r w:rsidR="00D7549E">
        <w:rPr>
          <w:rFonts w:ascii="TimesNewRomanPSMT" w:hAnsi="TimesNewRomanPSMT" w:cs="TimesNewRomanPSMT"/>
          <w:snapToGrid/>
          <w:kern w:val="0"/>
          <w:szCs w:val="22"/>
        </w:rPr>
        <w:t>the Commission’s</w:t>
      </w:r>
      <w:r w:rsidRPr="004D34CA" w:rsidR="009A694F">
        <w:rPr>
          <w:rFonts w:ascii="TimesNewRomanPSMT" w:hAnsi="TimesNewRomanPSMT" w:cs="TimesNewRomanPSMT"/>
          <w:snapToGrid/>
          <w:kern w:val="0"/>
          <w:szCs w:val="22"/>
        </w:rPr>
        <w:t xml:space="preserve"> records to reflect this.  We also have confirmed that Agape </w:t>
      </w:r>
      <w:r w:rsidRPr="004D34CA" w:rsidR="00B664D2">
        <w:rPr>
          <w:rFonts w:ascii="TimesNewRomanPSMT" w:hAnsi="TimesNewRomanPSMT" w:cs="TimesNewRomanPSMT"/>
          <w:snapToGrid/>
          <w:kern w:val="0"/>
          <w:szCs w:val="22"/>
        </w:rPr>
        <w:t>is a non-pr</w:t>
      </w:r>
      <w:bookmarkStart w:id="1" w:name="_GoBack"/>
      <w:bookmarkEnd w:id="1"/>
      <w:r w:rsidRPr="004D34CA" w:rsidR="00B664D2">
        <w:rPr>
          <w:rFonts w:ascii="TimesNewRomanPSMT" w:hAnsi="TimesNewRomanPSMT" w:cs="TimesNewRomanPSMT"/>
          <w:snapToGrid/>
          <w:kern w:val="0"/>
          <w:szCs w:val="22"/>
        </w:rPr>
        <w:t xml:space="preserve">ofit </w:t>
      </w:r>
      <w:r w:rsidRPr="004D34CA" w:rsidR="00A6323D">
        <w:rPr>
          <w:rFonts w:ascii="TimesNewRomanPSMT" w:hAnsi="TimesNewRomanPSMT" w:cs="TimesNewRomanPSMT"/>
          <w:snapToGrid/>
          <w:kern w:val="0"/>
          <w:szCs w:val="22"/>
        </w:rPr>
        <w:t>corporation</w:t>
      </w:r>
      <w:r w:rsidRPr="004D34CA" w:rsidR="00095CD5">
        <w:rPr>
          <w:rFonts w:ascii="TimesNewRomanPSMT" w:hAnsi="TimesNewRomanPSMT" w:cs="TimesNewRomanPSMT"/>
          <w:snapToGrid/>
          <w:kern w:val="0"/>
          <w:szCs w:val="22"/>
        </w:rPr>
        <w:t xml:space="preserve"> organized under the laws of the State of Georgia</w:t>
      </w:r>
      <w:r w:rsidRPr="004D34CA" w:rsidR="009D16FE">
        <w:rPr>
          <w:rFonts w:ascii="TimesNewRomanPSMT" w:hAnsi="TimesNewRomanPSMT" w:cs="TimesNewRomanPSMT"/>
          <w:snapToGrid/>
          <w:kern w:val="0"/>
          <w:szCs w:val="22"/>
        </w:rPr>
        <w:t xml:space="preserve"> and has operated as such since </w:t>
      </w:r>
      <w:r w:rsidRPr="004D34CA" w:rsidR="00447DBC">
        <w:rPr>
          <w:rFonts w:ascii="TimesNewRomanPSMT" w:hAnsi="TimesNewRomanPSMT" w:cs="TimesNewRomanPSMT"/>
          <w:snapToGrid/>
          <w:kern w:val="0"/>
          <w:szCs w:val="22"/>
        </w:rPr>
        <w:t>1999</w:t>
      </w:r>
      <w:r w:rsidRPr="004D34CA" w:rsidR="00095CD5">
        <w:rPr>
          <w:rFonts w:ascii="TimesNewRomanPSMT" w:hAnsi="TimesNewRomanPSMT" w:cs="TimesNewRomanPSMT"/>
          <w:snapToGrid/>
          <w:kern w:val="0"/>
          <w:szCs w:val="22"/>
        </w:rPr>
        <w:t xml:space="preserve">.  </w:t>
      </w:r>
      <w:r w:rsidRPr="004D34CA" w:rsidR="00447DBC">
        <w:rPr>
          <w:rFonts w:ascii="TimesNewRomanPSMT" w:hAnsi="TimesNewRomanPSMT" w:cs="TimesNewRomanPSMT"/>
          <w:snapToGrid/>
          <w:kern w:val="0"/>
          <w:szCs w:val="22"/>
        </w:rPr>
        <w:t>Because non-profit entities</w:t>
      </w:r>
      <w:r w:rsidRPr="004D34CA" w:rsidR="00095CD5">
        <w:rPr>
          <w:rFonts w:ascii="TimesNewRomanPSMT" w:hAnsi="TimesNewRomanPSMT" w:cs="TimesNewRomanPSMT"/>
          <w:snapToGrid/>
          <w:kern w:val="0"/>
          <w:szCs w:val="22"/>
        </w:rPr>
        <w:t xml:space="preserve"> </w:t>
      </w:r>
      <w:r w:rsidRPr="004D34CA" w:rsidR="00447DBC">
        <w:rPr>
          <w:rFonts w:ascii="TimesNewRomanPSMT" w:hAnsi="TimesNewRomanPSMT" w:cs="TimesNewRomanPSMT"/>
          <w:snapToGrid/>
          <w:kern w:val="0"/>
          <w:szCs w:val="22"/>
        </w:rPr>
        <w:t>are</w:t>
      </w:r>
      <w:r w:rsidRPr="004D34CA" w:rsidR="00095CD5">
        <w:rPr>
          <w:rFonts w:ascii="TimesNewRomanPSMT" w:hAnsi="TimesNewRomanPSMT" w:cs="TimesNewRomanPSMT"/>
          <w:snapToGrid/>
          <w:kern w:val="0"/>
          <w:szCs w:val="22"/>
        </w:rPr>
        <w:t xml:space="preserve"> exempt from regulatory fees</w:t>
      </w:r>
      <w:r w:rsidRPr="004D34CA" w:rsidR="00447DBC">
        <w:rPr>
          <w:rFonts w:ascii="TimesNewRomanPSMT" w:hAnsi="TimesNewRomanPSMT" w:cs="TimesNewRomanPSMT"/>
          <w:snapToGrid/>
          <w:kern w:val="0"/>
          <w:szCs w:val="22"/>
        </w:rPr>
        <w:t>,</w:t>
      </w:r>
      <w:r>
        <w:rPr>
          <w:rStyle w:val="FootnoteReference"/>
          <w:rFonts w:cs="TimesNewRomanPSMT"/>
          <w:snapToGrid/>
          <w:kern w:val="0"/>
          <w:szCs w:val="22"/>
        </w:rPr>
        <w:footnoteReference w:id="6"/>
      </w:r>
      <w:r w:rsidRPr="004D34CA" w:rsidR="00095CD5">
        <w:rPr>
          <w:rFonts w:ascii="TimesNewRomanPSMT" w:hAnsi="TimesNewRomanPSMT" w:cs="TimesNewRomanPSMT"/>
          <w:snapToGrid/>
          <w:kern w:val="0"/>
          <w:szCs w:val="22"/>
        </w:rPr>
        <w:t xml:space="preserve"> </w:t>
      </w:r>
      <w:r w:rsidRPr="004D34CA" w:rsidR="00447DBC">
        <w:rPr>
          <w:rFonts w:ascii="TimesNewRomanPSMT" w:hAnsi="TimesNewRomanPSMT" w:cs="TimesNewRomanPSMT"/>
          <w:snapToGrid/>
          <w:kern w:val="0"/>
          <w:szCs w:val="22"/>
        </w:rPr>
        <w:t>w</w:t>
      </w:r>
      <w:r w:rsidRPr="004D34CA" w:rsidR="001E681A">
        <w:rPr>
          <w:rFonts w:ascii="TimesNewRomanPSMT" w:hAnsi="TimesNewRomanPSMT" w:cs="TimesNewRomanPSMT"/>
          <w:snapToGrid/>
          <w:kern w:val="0"/>
          <w:szCs w:val="22"/>
        </w:rPr>
        <w:t xml:space="preserve">e conclude that </w:t>
      </w:r>
      <w:r w:rsidRPr="004D34CA" w:rsidR="009A694F">
        <w:rPr>
          <w:rFonts w:ascii="TimesNewRomanPSMT" w:hAnsi="TimesNewRomanPSMT" w:cs="TimesNewRomanPSMT"/>
          <w:snapToGrid/>
          <w:kern w:val="0"/>
          <w:szCs w:val="22"/>
        </w:rPr>
        <w:t>Fulton</w:t>
      </w:r>
      <w:r w:rsidRPr="004D34CA" w:rsidR="001E681A">
        <w:rPr>
          <w:rFonts w:ascii="TimesNewRomanPSMT" w:hAnsi="TimesNewRomanPSMT" w:cs="TimesNewRomanPSMT"/>
          <w:snapToGrid/>
          <w:kern w:val="0"/>
          <w:szCs w:val="22"/>
        </w:rPr>
        <w:t xml:space="preserve"> has demonstrated that the </w:t>
      </w:r>
      <w:r w:rsidRPr="004D34CA" w:rsidR="009A694F">
        <w:rPr>
          <w:rFonts w:ascii="TimesNewRomanPSMT" w:hAnsi="TimesNewRomanPSMT" w:cs="TimesNewRomanPSMT"/>
          <w:snapToGrid/>
          <w:kern w:val="0"/>
          <w:szCs w:val="22"/>
        </w:rPr>
        <w:t xml:space="preserve">delinquent </w:t>
      </w:r>
      <w:r w:rsidRPr="004D34CA" w:rsidR="00447DBC">
        <w:rPr>
          <w:rFonts w:ascii="TimesNewRomanPSMT" w:hAnsi="TimesNewRomanPSMT" w:cs="TimesNewRomanPSMT"/>
          <w:snapToGrid/>
          <w:kern w:val="0"/>
          <w:szCs w:val="22"/>
        </w:rPr>
        <w:t xml:space="preserve">regulatory </w:t>
      </w:r>
      <w:r w:rsidRPr="004D34CA" w:rsidR="001E681A">
        <w:rPr>
          <w:rFonts w:ascii="TimesNewRomanPSMT" w:hAnsi="TimesNewRomanPSMT" w:cs="TimesNewRomanPSMT"/>
          <w:snapToGrid/>
          <w:kern w:val="0"/>
          <w:szCs w:val="22"/>
        </w:rPr>
        <w:t>fee</w:t>
      </w:r>
      <w:r w:rsidRPr="004D34CA" w:rsidR="00447DBC">
        <w:rPr>
          <w:rFonts w:ascii="TimesNewRomanPSMT" w:hAnsi="TimesNewRomanPSMT" w:cs="TimesNewRomanPSMT"/>
          <w:snapToGrid/>
          <w:kern w:val="0"/>
          <w:szCs w:val="22"/>
        </w:rPr>
        <w:t>s</w:t>
      </w:r>
      <w:r w:rsidRPr="004D34CA" w:rsidR="00B73328">
        <w:rPr>
          <w:rFonts w:ascii="TimesNewRomanPSMT" w:hAnsi="TimesNewRomanPSMT" w:cs="TimesNewRomanPSMT"/>
          <w:snapToGrid/>
          <w:kern w:val="0"/>
          <w:szCs w:val="22"/>
        </w:rPr>
        <w:t xml:space="preserve"> identified in the </w:t>
      </w:r>
      <w:r w:rsidRPr="004D34CA" w:rsidR="00B73328">
        <w:rPr>
          <w:rFonts w:ascii="TimesNewRomanPSMT" w:hAnsi="TimesNewRomanPSMT" w:cs="TimesNewRomanPSMT"/>
          <w:i/>
          <w:snapToGrid/>
          <w:kern w:val="0"/>
          <w:szCs w:val="22"/>
        </w:rPr>
        <w:t>Order to Pay or to Show Cause</w:t>
      </w:r>
      <w:r w:rsidRPr="004D34CA" w:rsidR="00447DBC">
        <w:rPr>
          <w:rFonts w:ascii="TimesNewRomanPSMT" w:hAnsi="TimesNewRomanPSMT" w:cs="TimesNewRomanPSMT"/>
          <w:snapToGrid/>
          <w:kern w:val="0"/>
          <w:szCs w:val="22"/>
        </w:rPr>
        <w:t xml:space="preserve"> </w:t>
      </w:r>
      <w:r w:rsidRPr="004D34CA" w:rsidR="001E681A">
        <w:rPr>
          <w:rFonts w:ascii="TimesNewRomanPSMT" w:hAnsi="TimesNewRomanPSMT" w:cs="TimesNewRomanPSMT"/>
          <w:snapToGrid/>
          <w:kern w:val="0"/>
          <w:szCs w:val="22"/>
        </w:rPr>
        <w:t xml:space="preserve">are inapplicable.  </w:t>
      </w:r>
    </w:p>
    <w:p w:rsidR="00465600" w:rsidP="00D178FB" w14:paraId="02401450" w14:textId="0F890BC9">
      <w:pPr>
        <w:pStyle w:val="ParaNum"/>
        <w:tabs>
          <w:tab w:val="clear" w:pos="1080"/>
          <w:tab w:val="num" w:pos="1440"/>
        </w:tabs>
        <w:rPr>
          <w:snapToGrid/>
          <w:szCs w:val="22"/>
        </w:rPr>
      </w:pPr>
      <w:r w:rsidRPr="00676FA4">
        <w:rPr>
          <w:snapToGrid/>
          <w:szCs w:val="22"/>
        </w:rPr>
        <w:t xml:space="preserve">Accordingly, </w:t>
      </w:r>
      <w:r w:rsidRPr="00676FA4">
        <w:rPr>
          <w:b/>
          <w:snapToGrid/>
          <w:szCs w:val="22"/>
        </w:rPr>
        <w:t>IT IS ORDERED</w:t>
      </w:r>
      <w:r w:rsidRPr="00676FA4">
        <w:rPr>
          <w:snapToGrid/>
          <w:szCs w:val="22"/>
        </w:rPr>
        <w:t xml:space="preserve"> that, pursuant to </w:t>
      </w:r>
      <w:r w:rsidRPr="004A333D">
        <w:rPr>
          <w:snapToGrid/>
          <w:szCs w:val="22"/>
        </w:rPr>
        <w:t>sections 0.11, 0.61, 0.231,</w:t>
      </w:r>
      <w:r w:rsidRPr="004A333D" w:rsidR="007E7830">
        <w:rPr>
          <w:snapToGrid/>
          <w:szCs w:val="22"/>
        </w:rPr>
        <w:t xml:space="preserve"> and</w:t>
      </w:r>
      <w:r w:rsidRPr="004A333D">
        <w:rPr>
          <w:snapToGrid/>
          <w:szCs w:val="22"/>
        </w:rPr>
        <w:t xml:space="preserve"> 0.283</w:t>
      </w:r>
      <w:r w:rsidRPr="004A333D" w:rsidR="00261EA5">
        <w:rPr>
          <w:snapToGrid/>
          <w:szCs w:val="22"/>
        </w:rPr>
        <w:t xml:space="preserve"> </w:t>
      </w:r>
      <w:r w:rsidRPr="004A333D">
        <w:rPr>
          <w:snapToGrid/>
          <w:szCs w:val="22"/>
        </w:rPr>
        <w:t xml:space="preserve">of the </w:t>
      </w:r>
      <w:r w:rsidRPr="004A333D" w:rsidR="007E7830">
        <w:rPr>
          <w:snapToGrid/>
          <w:szCs w:val="22"/>
        </w:rPr>
        <w:t xml:space="preserve">Commission’s </w:t>
      </w:r>
      <w:r w:rsidRPr="004A333D">
        <w:rPr>
          <w:snapToGrid/>
          <w:szCs w:val="22"/>
        </w:rPr>
        <w:t>Rules,</w:t>
      </w:r>
      <w:r>
        <w:rPr>
          <w:snapToGrid/>
          <w:szCs w:val="22"/>
          <w:vertAlign w:val="superscript"/>
        </w:rPr>
        <w:footnoteReference w:id="7"/>
      </w:r>
      <w:r w:rsidRPr="00676FA4">
        <w:rPr>
          <w:snapToGrid/>
          <w:szCs w:val="22"/>
        </w:rPr>
        <w:t xml:space="preserve"> the </w:t>
      </w:r>
      <w:r w:rsidRPr="00676FA4" w:rsidR="004F5BF8">
        <w:rPr>
          <w:i/>
          <w:snapToGrid/>
          <w:szCs w:val="22"/>
        </w:rPr>
        <w:t>Order to Pay or to Show Cause</w:t>
      </w:r>
      <w:r w:rsidRPr="00676FA4" w:rsidR="004F5BF8">
        <w:rPr>
          <w:snapToGrid/>
          <w:szCs w:val="22"/>
        </w:rPr>
        <w:t xml:space="preserve"> issued</w:t>
      </w:r>
      <w:r w:rsidRPr="00676FA4" w:rsidR="00A13F13">
        <w:rPr>
          <w:snapToGrid/>
          <w:szCs w:val="22"/>
        </w:rPr>
        <w:t xml:space="preserve"> </w:t>
      </w:r>
      <w:r w:rsidR="005E33A3">
        <w:rPr>
          <w:snapToGrid/>
          <w:szCs w:val="22"/>
        </w:rPr>
        <w:t>July 9, 2019</w:t>
      </w:r>
      <w:r w:rsidRPr="00676FA4" w:rsidR="00A13F13">
        <w:rPr>
          <w:snapToGrid/>
          <w:szCs w:val="22"/>
        </w:rPr>
        <w:t>,</w:t>
      </w:r>
      <w:r w:rsidRPr="00676FA4">
        <w:rPr>
          <w:snapToGrid/>
          <w:szCs w:val="22"/>
        </w:rPr>
        <w:t xml:space="preserve"> </w:t>
      </w:r>
      <w:r w:rsidRPr="00676FA4">
        <w:rPr>
          <w:b/>
          <w:snapToGrid/>
          <w:szCs w:val="22"/>
        </w:rPr>
        <w:t>IS HEREBY</w:t>
      </w:r>
      <w:r w:rsidRPr="00676FA4">
        <w:rPr>
          <w:snapToGrid/>
          <w:szCs w:val="22"/>
        </w:rPr>
        <w:t xml:space="preserve"> </w:t>
      </w:r>
      <w:r w:rsidRPr="00676FA4" w:rsidR="00A13F13">
        <w:rPr>
          <w:b/>
          <w:snapToGrid/>
          <w:szCs w:val="22"/>
        </w:rPr>
        <w:t>CANCELLED</w:t>
      </w:r>
      <w:r w:rsidRPr="00676FA4">
        <w:rPr>
          <w:snapToGrid/>
          <w:szCs w:val="22"/>
        </w:rPr>
        <w:t>.</w:t>
      </w:r>
      <w:r w:rsidR="00D178FB">
        <w:rPr>
          <w:snapToGrid/>
          <w:szCs w:val="22"/>
        </w:rPr>
        <w:t xml:space="preserve">  </w:t>
      </w:r>
      <w:r w:rsidRPr="00D178FB">
        <w:rPr>
          <w:b/>
          <w:snapToGrid/>
          <w:szCs w:val="22"/>
        </w:rPr>
        <w:t xml:space="preserve">IT IS FURTHER ORDERED </w:t>
      </w:r>
      <w:r w:rsidRPr="00D178FB">
        <w:rPr>
          <w:snapToGrid/>
          <w:szCs w:val="22"/>
        </w:rPr>
        <w:t xml:space="preserve">that a copy of this </w:t>
      </w:r>
      <w:r w:rsidRPr="00D178FB">
        <w:rPr>
          <w:i/>
          <w:snapToGrid/>
          <w:szCs w:val="22"/>
        </w:rPr>
        <w:t>Order</w:t>
      </w:r>
      <w:r w:rsidRPr="00D178FB">
        <w:rPr>
          <w:snapToGrid/>
          <w:szCs w:val="22"/>
        </w:rPr>
        <w:t xml:space="preserve"> shall be sent by first class mail </w:t>
      </w:r>
    </w:p>
    <w:p w:rsidR="00465600" w14:paraId="1C86ACB8" w14:textId="77777777">
      <w:pPr>
        <w:widowControl/>
        <w:rPr>
          <w:snapToGrid/>
          <w:szCs w:val="22"/>
        </w:rPr>
      </w:pPr>
      <w:r>
        <w:rPr>
          <w:snapToGrid/>
          <w:szCs w:val="22"/>
        </w:rPr>
        <w:br w:type="page"/>
      </w:r>
    </w:p>
    <w:p w:rsidR="00913F04" w:rsidRPr="00D178FB" w:rsidP="00465600" w14:paraId="2B645146" w14:textId="71ABAABF">
      <w:pPr>
        <w:pStyle w:val="ParaNum"/>
        <w:numPr>
          <w:ilvl w:val="0"/>
          <w:numId w:val="0"/>
        </w:numPr>
        <w:rPr>
          <w:snapToGrid/>
          <w:spacing w:val="-2"/>
          <w:szCs w:val="22"/>
        </w:rPr>
      </w:pPr>
      <w:r w:rsidRPr="00D178FB">
        <w:rPr>
          <w:snapToGrid/>
          <w:szCs w:val="22"/>
        </w:rPr>
        <w:t>and registered mail, return receipt requested, t</w:t>
      </w:r>
      <w:r w:rsidRPr="00D178FB" w:rsidR="00F26602">
        <w:rPr>
          <w:snapToGrid/>
          <w:szCs w:val="22"/>
        </w:rPr>
        <w:t>o Agape Life Ministries</w:t>
      </w:r>
      <w:r w:rsidRPr="00D178FB" w:rsidR="00316F46">
        <w:rPr>
          <w:szCs w:val="22"/>
        </w:rPr>
        <w:t xml:space="preserve">, </w:t>
      </w:r>
      <w:r w:rsidR="00054288">
        <w:rPr>
          <w:szCs w:val="22"/>
        </w:rPr>
        <w:t xml:space="preserve">Inc., </w:t>
      </w:r>
      <w:r w:rsidRPr="00D178FB" w:rsidR="00316F46">
        <w:rPr>
          <w:szCs w:val="22"/>
        </w:rPr>
        <w:t>WSRA Radio Station, 816 7</w:t>
      </w:r>
      <w:r w:rsidRPr="00D178FB" w:rsidR="00316F46">
        <w:rPr>
          <w:szCs w:val="22"/>
          <w:vertAlign w:val="superscript"/>
        </w:rPr>
        <w:t>th</w:t>
      </w:r>
      <w:r w:rsidRPr="00D178FB" w:rsidR="00316F46">
        <w:rPr>
          <w:szCs w:val="22"/>
        </w:rPr>
        <w:t xml:space="preserve"> Avenue, Albany, GA 31701</w:t>
      </w:r>
      <w:r w:rsidRPr="00D178FB">
        <w:rPr>
          <w:snapToGrid/>
          <w:szCs w:val="22"/>
        </w:rPr>
        <w:t xml:space="preserve">.  </w:t>
      </w:r>
    </w:p>
    <w:p w:rsidR="00913F04" w:rsidRPr="00C83B4D" w:rsidP="00913F04" w14:paraId="428EBFFF" w14:textId="77777777">
      <w:pPr>
        <w:keepNext/>
        <w:keepLines/>
        <w:spacing w:before="240"/>
        <w:ind w:left="4320"/>
        <w:rPr>
          <w:snapToGrid/>
          <w:color w:val="000000"/>
          <w:szCs w:val="22"/>
        </w:rPr>
      </w:pPr>
      <w:r w:rsidRPr="00C83B4D">
        <w:rPr>
          <w:snapToGrid/>
          <w:color w:val="000000"/>
          <w:szCs w:val="22"/>
        </w:rPr>
        <w:t>FEDERAL COMMUNICATIONS COMMISSION</w:t>
      </w:r>
    </w:p>
    <w:p w:rsidR="00913F04" w:rsidRPr="00C83B4D" w:rsidP="00913F04" w14:paraId="7968841B" w14:textId="77777777">
      <w:pPr>
        <w:keepNext/>
        <w:keepLines/>
        <w:ind w:left="4320"/>
        <w:rPr>
          <w:snapToGrid/>
          <w:color w:val="000000"/>
          <w:szCs w:val="22"/>
        </w:rPr>
      </w:pPr>
    </w:p>
    <w:p w:rsidR="00913F04" w:rsidRPr="00C83B4D" w:rsidP="00913F04" w14:paraId="39A10448" w14:textId="77777777">
      <w:pPr>
        <w:keepNext/>
        <w:keepLines/>
        <w:ind w:left="4320"/>
        <w:rPr>
          <w:snapToGrid/>
          <w:color w:val="000000"/>
          <w:szCs w:val="22"/>
        </w:rPr>
      </w:pPr>
    </w:p>
    <w:p w:rsidR="00913F04" w:rsidRPr="00C83B4D" w:rsidP="00913F04" w14:paraId="712E1D63" w14:textId="77777777">
      <w:pPr>
        <w:keepNext/>
        <w:keepLines/>
        <w:ind w:left="4320"/>
        <w:rPr>
          <w:snapToGrid/>
          <w:color w:val="000000"/>
          <w:szCs w:val="22"/>
        </w:rPr>
      </w:pPr>
      <w:r w:rsidRPr="00C83B4D">
        <w:rPr>
          <w:snapToGrid/>
          <w:color w:val="000000"/>
          <w:szCs w:val="22"/>
        </w:rPr>
        <w:tab/>
      </w:r>
      <w:r w:rsidRPr="00C83B4D">
        <w:rPr>
          <w:snapToGrid/>
          <w:color w:val="000000"/>
          <w:szCs w:val="22"/>
        </w:rPr>
        <w:tab/>
      </w:r>
      <w:r w:rsidRPr="00C83B4D">
        <w:rPr>
          <w:snapToGrid/>
          <w:color w:val="000000"/>
          <w:szCs w:val="22"/>
        </w:rPr>
        <w:tab/>
      </w:r>
      <w:r w:rsidRPr="00C83B4D">
        <w:rPr>
          <w:snapToGrid/>
          <w:color w:val="000000"/>
          <w:szCs w:val="22"/>
        </w:rPr>
        <w:tab/>
      </w:r>
      <w:r w:rsidRPr="00C83B4D">
        <w:rPr>
          <w:snapToGrid/>
          <w:color w:val="000000"/>
          <w:szCs w:val="22"/>
        </w:rPr>
        <w:tab/>
      </w:r>
    </w:p>
    <w:p w:rsidR="00913F04" w:rsidRPr="00C83B4D" w:rsidP="00913F04" w14:paraId="112A5A00" w14:textId="77777777">
      <w:pPr>
        <w:ind w:left="4320"/>
        <w:rPr>
          <w:snapToGrid/>
          <w:szCs w:val="22"/>
        </w:rPr>
      </w:pPr>
      <w:r w:rsidRPr="00C83B4D">
        <w:rPr>
          <w:snapToGrid/>
          <w:szCs w:val="22"/>
        </w:rPr>
        <w:t>Michelle M. Carey</w:t>
      </w:r>
    </w:p>
    <w:p w:rsidR="00913F04" w:rsidRPr="00C83B4D" w:rsidP="00913F04" w14:paraId="20CB6F5E" w14:textId="77777777">
      <w:pPr>
        <w:ind w:left="4320"/>
        <w:rPr>
          <w:snapToGrid/>
          <w:szCs w:val="22"/>
        </w:rPr>
      </w:pPr>
      <w:r w:rsidRPr="00C83B4D">
        <w:rPr>
          <w:snapToGrid/>
          <w:szCs w:val="22"/>
        </w:rPr>
        <w:t>Chief, Media Bureau</w:t>
      </w:r>
    </w:p>
    <w:p w:rsidR="00913F04" w:rsidRPr="00C83B4D" w:rsidP="00913F04" w14:paraId="377C39EC" w14:textId="77777777">
      <w:pPr>
        <w:ind w:left="4320"/>
        <w:rPr>
          <w:i/>
          <w:snapToGrid/>
          <w:szCs w:val="22"/>
        </w:rPr>
      </w:pPr>
    </w:p>
    <w:p w:rsidR="00913F04" w:rsidRPr="00C83B4D" w:rsidP="00913F04" w14:paraId="33C6E53B" w14:textId="77777777">
      <w:pPr>
        <w:ind w:left="4320"/>
        <w:rPr>
          <w:i/>
          <w:snapToGrid/>
          <w:szCs w:val="22"/>
        </w:rPr>
      </w:pPr>
    </w:p>
    <w:p w:rsidR="00913F04" w:rsidRPr="00C83B4D" w:rsidP="00913F04" w14:paraId="7054E1BF" w14:textId="77777777">
      <w:pPr>
        <w:rPr>
          <w:snapToGrid/>
          <w:szCs w:val="22"/>
        </w:rPr>
      </w:pPr>
    </w:p>
    <w:p w:rsidR="00913F04" w:rsidRPr="00C83B4D" w:rsidP="00913F04" w14:paraId="03654A03" w14:textId="77777777">
      <w:pPr>
        <w:ind w:left="3600" w:firstLine="720"/>
        <w:rPr>
          <w:snapToGrid/>
          <w:szCs w:val="22"/>
        </w:rPr>
      </w:pPr>
      <w:r w:rsidRPr="00C83B4D">
        <w:rPr>
          <w:snapToGrid/>
          <w:szCs w:val="22"/>
        </w:rPr>
        <w:t>Mark Stephens</w:t>
      </w:r>
    </w:p>
    <w:p w:rsidR="00412FC5" w:rsidRPr="00C83B4D" w:rsidP="00913F04" w14:paraId="5FD4FEAC" w14:textId="77777777">
      <w:pPr>
        <w:ind w:left="3600" w:firstLine="720"/>
        <w:rPr>
          <w:snapToGrid/>
          <w:szCs w:val="22"/>
        </w:rPr>
      </w:pPr>
      <w:r w:rsidRPr="00C83B4D">
        <w:rPr>
          <w:snapToGrid/>
          <w:szCs w:val="22"/>
        </w:rPr>
        <w:t xml:space="preserve">Managing Director, Office of </w:t>
      </w:r>
      <w:r w:rsidRPr="00C83B4D" w:rsidR="005735C6">
        <w:rPr>
          <w:snapToGrid/>
          <w:szCs w:val="22"/>
        </w:rPr>
        <w:t xml:space="preserve">the </w:t>
      </w:r>
      <w:r w:rsidRPr="00C83B4D">
        <w:rPr>
          <w:snapToGrid/>
          <w:szCs w:val="22"/>
        </w:rPr>
        <w:t>Ma</w:t>
      </w:r>
      <w:r w:rsidRPr="00C83B4D" w:rsidR="00E16DC0">
        <w:rPr>
          <w:snapToGrid/>
          <w:szCs w:val="22"/>
        </w:rPr>
        <w:t>naging Director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179767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BC202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68C38CA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30F7952C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B29FFD9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36CFC" w14:paraId="4390C175" w14:textId="77777777">
      <w:r>
        <w:separator/>
      </w:r>
    </w:p>
  </w:footnote>
  <w:footnote w:type="continuationSeparator" w:id="1">
    <w:p w:rsidR="00F36CFC" w:rsidP="00C721AC" w14:paraId="5EE8C644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36CFC" w:rsidP="00C721AC" w14:paraId="76750399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913F04" w:rsidRPr="00B35627" w:rsidP="00913F04" w14:paraId="4E0C41FA" w14:textId="16156AEF">
      <w:pPr>
        <w:pStyle w:val="FootnoteText"/>
      </w:pPr>
      <w:bookmarkStart w:id="0" w:name="_Hlk513206466"/>
      <w:bookmarkEnd w:id="0"/>
      <w:r w:rsidRPr="00B35627">
        <w:rPr>
          <w:rStyle w:val="FootnoteReference"/>
        </w:rPr>
        <w:footnoteRef/>
      </w:r>
      <w:r w:rsidR="00337D16">
        <w:t xml:space="preserve"> </w:t>
      </w:r>
      <w:r w:rsidRPr="00FC45F3" w:rsidR="00420588">
        <w:rPr>
          <w:i/>
        </w:rPr>
        <w:t>Livingston W. Fulton</w:t>
      </w:r>
      <w:r w:rsidRPr="00FC45F3" w:rsidR="00420588">
        <w:t>, Order to Pay or to Show Cause, DA 19-631 (MB July 9, 2019) (</w:t>
      </w:r>
      <w:r w:rsidRPr="00FC45F3" w:rsidR="00420588">
        <w:rPr>
          <w:i/>
        </w:rPr>
        <w:t>Order</w:t>
      </w:r>
      <w:r w:rsidR="00420588">
        <w:rPr>
          <w:i/>
        </w:rPr>
        <w:t xml:space="preserve"> to Pay or to Show Cause</w:t>
      </w:r>
      <w:r w:rsidRPr="00FC45F3" w:rsidR="00420588">
        <w:t xml:space="preserve">).  </w:t>
      </w:r>
    </w:p>
  </w:footnote>
  <w:footnote w:id="4">
    <w:p w:rsidR="00913F04" w:rsidRPr="00DB121B" w:rsidP="00DB121B" w14:paraId="5DF2C651" w14:textId="7ED4C1E8">
      <w:pPr>
        <w:pStyle w:val="ParaNum"/>
        <w:numPr>
          <w:ilvl w:val="0"/>
          <w:numId w:val="0"/>
        </w:numPr>
        <w:rPr>
          <w:spacing w:val="-2"/>
          <w:szCs w:val="22"/>
        </w:rPr>
      </w:pPr>
      <w:r w:rsidRPr="00174F4C">
        <w:rPr>
          <w:rStyle w:val="FootnoteReference"/>
        </w:rPr>
        <w:footnoteRef/>
      </w:r>
      <w:r w:rsidR="00CE4078">
        <w:t xml:space="preserve"> </w:t>
      </w:r>
      <w:r w:rsidRPr="004A333D" w:rsidR="00026487">
        <w:rPr>
          <w:sz w:val="20"/>
        </w:rPr>
        <w:t>The</w:t>
      </w:r>
      <w:r w:rsidRPr="004A333D" w:rsidR="00026487">
        <w:rPr>
          <w:i/>
          <w:sz w:val="20"/>
        </w:rPr>
        <w:t xml:space="preserve"> Order to Pay or to Show Cause </w:t>
      </w:r>
      <w:r w:rsidRPr="00BE1684" w:rsidR="00026487">
        <w:rPr>
          <w:sz w:val="20"/>
        </w:rPr>
        <w:t>required Fulton to respond within 60 days</w:t>
      </w:r>
      <w:r w:rsidRPr="004A333D" w:rsidR="00DB121B">
        <w:rPr>
          <w:i/>
          <w:sz w:val="20"/>
        </w:rPr>
        <w:t>.  Id</w:t>
      </w:r>
      <w:r w:rsidRPr="004A333D" w:rsidR="00DB121B">
        <w:rPr>
          <w:sz w:val="20"/>
        </w:rPr>
        <w:t xml:space="preserve">. at para. </w:t>
      </w:r>
      <w:r w:rsidR="00BE1684">
        <w:rPr>
          <w:sz w:val="20"/>
        </w:rPr>
        <w:t>5</w:t>
      </w:r>
      <w:r w:rsidRPr="004A333D" w:rsidR="00DB121B">
        <w:rPr>
          <w:i/>
          <w:sz w:val="20"/>
        </w:rPr>
        <w:t xml:space="preserve">. </w:t>
      </w:r>
      <w:r w:rsidRPr="004A333D" w:rsidR="00026487">
        <w:rPr>
          <w:i/>
          <w:sz w:val="20"/>
        </w:rPr>
        <w:t xml:space="preserve"> </w:t>
      </w:r>
      <w:r w:rsidRPr="004A333D" w:rsidR="00026487">
        <w:rPr>
          <w:sz w:val="20"/>
        </w:rPr>
        <w:t>Fulton</w:t>
      </w:r>
      <w:r w:rsidR="0011278C">
        <w:rPr>
          <w:sz w:val="20"/>
        </w:rPr>
        <w:t>’s representative</w:t>
      </w:r>
      <w:r w:rsidRPr="004A333D" w:rsidR="00026487">
        <w:rPr>
          <w:sz w:val="20"/>
        </w:rPr>
        <w:t xml:space="preserve"> respond</w:t>
      </w:r>
      <w:r w:rsidR="0011278C">
        <w:rPr>
          <w:sz w:val="20"/>
        </w:rPr>
        <w:t>ed</w:t>
      </w:r>
      <w:r w:rsidRPr="004A333D" w:rsidR="00026487">
        <w:rPr>
          <w:sz w:val="20"/>
        </w:rPr>
        <w:t xml:space="preserve"> </w:t>
      </w:r>
      <w:r w:rsidR="0011278C">
        <w:rPr>
          <w:sz w:val="20"/>
        </w:rPr>
        <w:t>after</w:t>
      </w:r>
      <w:r w:rsidRPr="004A333D" w:rsidR="0011278C">
        <w:rPr>
          <w:sz w:val="20"/>
        </w:rPr>
        <w:t xml:space="preserve"> </w:t>
      </w:r>
      <w:r w:rsidRPr="004A333D" w:rsidR="00DB121B">
        <w:rPr>
          <w:sz w:val="20"/>
        </w:rPr>
        <w:t>this time period</w:t>
      </w:r>
      <w:r w:rsidR="0011278C">
        <w:rPr>
          <w:sz w:val="20"/>
        </w:rPr>
        <w:t>,</w:t>
      </w:r>
      <w:r w:rsidRPr="004A333D" w:rsidR="00026487">
        <w:rPr>
          <w:sz w:val="20"/>
        </w:rPr>
        <w:t xml:space="preserve"> submi</w:t>
      </w:r>
      <w:r w:rsidR="0011278C">
        <w:rPr>
          <w:sz w:val="20"/>
        </w:rPr>
        <w:t>t</w:t>
      </w:r>
      <w:r w:rsidRPr="004A333D" w:rsidR="00026487">
        <w:rPr>
          <w:sz w:val="20"/>
        </w:rPr>
        <w:t>t</w:t>
      </w:r>
      <w:r w:rsidR="0011278C">
        <w:rPr>
          <w:sz w:val="20"/>
        </w:rPr>
        <w:t>ing</w:t>
      </w:r>
      <w:r w:rsidRPr="004A333D" w:rsidR="00026487">
        <w:rPr>
          <w:sz w:val="20"/>
        </w:rPr>
        <w:t xml:space="preserve"> </w:t>
      </w:r>
      <w:r w:rsidR="00BB275F">
        <w:rPr>
          <w:sz w:val="20"/>
        </w:rPr>
        <w:t>l</w:t>
      </w:r>
      <w:r w:rsidRPr="004A333D" w:rsidR="00026487">
        <w:rPr>
          <w:sz w:val="20"/>
        </w:rPr>
        <w:t>etters to the Commission on</w:t>
      </w:r>
      <w:r w:rsidR="008A6EB2">
        <w:rPr>
          <w:sz w:val="20"/>
        </w:rPr>
        <w:t xml:space="preserve"> September 26, October </w:t>
      </w:r>
      <w:r w:rsidR="00054288">
        <w:rPr>
          <w:sz w:val="20"/>
        </w:rPr>
        <w:t>2</w:t>
      </w:r>
      <w:r w:rsidR="008A6EB2">
        <w:rPr>
          <w:sz w:val="20"/>
        </w:rPr>
        <w:t>, and October 15, 2019</w:t>
      </w:r>
      <w:r w:rsidRPr="004A333D" w:rsidR="00026487">
        <w:rPr>
          <w:sz w:val="20"/>
        </w:rPr>
        <w:t xml:space="preserve">.  </w:t>
      </w:r>
      <w:r w:rsidR="00624BA6">
        <w:rPr>
          <w:sz w:val="20"/>
        </w:rPr>
        <w:t xml:space="preserve">Letter from </w:t>
      </w:r>
      <w:r w:rsidR="00F30163">
        <w:rPr>
          <w:sz w:val="20"/>
        </w:rPr>
        <w:t xml:space="preserve">E. Morgan Skinner, Jr., Managing Partner, Rockwell Media </w:t>
      </w:r>
      <w:r w:rsidR="00164958">
        <w:rPr>
          <w:sz w:val="20"/>
        </w:rPr>
        <w:t>Svcs</w:t>
      </w:r>
      <w:r w:rsidR="003A6C2C">
        <w:rPr>
          <w:sz w:val="20"/>
        </w:rPr>
        <w:t>.</w:t>
      </w:r>
      <w:r w:rsidR="00F30163">
        <w:rPr>
          <w:sz w:val="20"/>
        </w:rPr>
        <w:t xml:space="preserve">, </w:t>
      </w:r>
      <w:r w:rsidR="00753CF5">
        <w:rPr>
          <w:sz w:val="20"/>
        </w:rPr>
        <w:t>LLC, to Marlene H. Dortch, Secretary, FCC (</w:t>
      </w:r>
      <w:r w:rsidR="00CD0BB1">
        <w:rPr>
          <w:sz w:val="20"/>
        </w:rPr>
        <w:t>rec’d Oct. 15, 2019)</w:t>
      </w:r>
      <w:r w:rsidR="00AC16E0">
        <w:rPr>
          <w:sz w:val="20"/>
        </w:rPr>
        <w:t xml:space="preserve">; E-mail </w:t>
      </w:r>
      <w:r w:rsidR="00164958">
        <w:rPr>
          <w:sz w:val="20"/>
        </w:rPr>
        <w:t xml:space="preserve">from E. Morgan Skinner, Jr., Managing Partner, Rockwell Media Svcs., LLC, to </w:t>
      </w:r>
      <w:r w:rsidR="00424FB0">
        <w:rPr>
          <w:sz w:val="20"/>
        </w:rPr>
        <w:t xml:space="preserve">Albert Shuldiner, Chief, Audio Division, </w:t>
      </w:r>
      <w:r w:rsidR="00301454">
        <w:rPr>
          <w:sz w:val="20"/>
        </w:rPr>
        <w:t xml:space="preserve">FCC </w:t>
      </w:r>
      <w:r w:rsidR="00424FB0">
        <w:rPr>
          <w:sz w:val="20"/>
        </w:rPr>
        <w:t>Media Bureau</w:t>
      </w:r>
      <w:r w:rsidR="00301454">
        <w:rPr>
          <w:sz w:val="20"/>
        </w:rPr>
        <w:t xml:space="preserve"> </w:t>
      </w:r>
      <w:r w:rsidR="00424FB0">
        <w:rPr>
          <w:sz w:val="20"/>
        </w:rPr>
        <w:t>(</w:t>
      </w:r>
      <w:r w:rsidR="00301454">
        <w:rPr>
          <w:sz w:val="20"/>
        </w:rPr>
        <w:t xml:space="preserve">Oct. 2, 2019 </w:t>
      </w:r>
      <w:r w:rsidR="00633E78">
        <w:rPr>
          <w:sz w:val="20"/>
        </w:rPr>
        <w:t xml:space="preserve">12:58 PM); </w:t>
      </w:r>
      <w:r w:rsidR="00BB275F">
        <w:rPr>
          <w:sz w:val="20"/>
        </w:rPr>
        <w:t>Letter from E. Morgan Skinner, Jr., Managing Partner, Rockwell Media Svcs</w:t>
      </w:r>
      <w:r w:rsidR="003A6C2C">
        <w:rPr>
          <w:sz w:val="20"/>
        </w:rPr>
        <w:t>.</w:t>
      </w:r>
      <w:r w:rsidR="00BB275F">
        <w:rPr>
          <w:sz w:val="20"/>
        </w:rPr>
        <w:t>, LLC, to Marlene H. Dortch, Secretary, FCC (rec’d Oct. 2, 2019)</w:t>
      </w:r>
      <w:r w:rsidR="00484B1A">
        <w:rPr>
          <w:sz w:val="20"/>
        </w:rPr>
        <w:t>; Letter from E. Morgan Skinner, Jr., Managing Partner, Rockwell Media Svcs</w:t>
      </w:r>
      <w:r w:rsidR="003A6C2C">
        <w:rPr>
          <w:sz w:val="20"/>
        </w:rPr>
        <w:t>.</w:t>
      </w:r>
      <w:r w:rsidR="00484B1A">
        <w:rPr>
          <w:sz w:val="20"/>
        </w:rPr>
        <w:t xml:space="preserve">, LLC, to Marlene H. Dortch, Secretary, FCC (rec’d </w:t>
      </w:r>
      <w:r w:rsidR="006A2F65">
        <w:rPr>
          <w:sz w:val="20"/>
        </w:rPr>
        <w:t>Sept</w:t>
      </w:r>
      <w:r w:rsidR="00484B1A">
        <w:rPr>
          <w:sz w:val="20"/>
        </w:rPr>
        <w:t xml:space="preserve">. </w:t>
      </w:r>
      <w:r w:rsidR="006A2F65">
        <w:rPr>
          <w:sz w:val="20"/>
        </w:rPr>
        <w:t>26</w:t>
      </w:r>
      <w:r w:rsidR="00484B1A">
        <w:rPr>
          <w:sz w:val="20"/>
        </w:rPr>
        <w:t xml:space="preserve">, 2019).  </w:t>
      </w:r>
      <w:r w:rsidR="00164958">
        <w:rPr>
          <w:sz w:val="20"/>
        </w:rPr>
        <w:t xml:space="preserve"> </w:t>
      </w:r>
      <w:r w:rsidRPr="004A333D" w:rsidR="00026487">
        <w:rPr>
          <w:sz w:val="20"/>
        </w:rPr>
        <w:t>Because the validity of the Station’s license is at stake in this proceeding</w:t>
      </w:r>
      <w:r w:rsidR="00054288">
        <w:rPr>
          <w:sz w:val="20"/>
        </w:rPr>
        <w:t xml:space="preserve"> and </w:t>
      </w:r>
      <w:r w:rsidR="00C05774">
        <w:rPr>
          <w:sz w:val="20"/>
        </w:rPr>
        <w:t xml:space="preserve">Fulton alleges </w:t>
      </w:r>
      <w:r w:rsidR="00054288">
        <w:rPr>
          <w:sz w:val="20"/>
        </w:rPr>
        <w:t>the fees are not owed</w:t>
      </w:r>
      <w:r w:rsidRPr="004A333D" w:rsidR="00026487">
        <w:rPr>
          <w:sz w:val="20"/>
        </w:rPr>
        <w:t xml:space="preserve">, we </w:t>
      </w:r>
      <w:r w:rsidR="00313055">
        <w:rPr>
          <w:sz w:val="20"/>
        </w:rPr>
        <w:t xml:space="preserve">find good cause to </w:t>
      </w:r>
      <w:r w:rsidRPr="004A333D" w:rsidR="00026487">
        <w:rPr>
          <w:sz w:val="20"/>
        </w:rPr>
        <w:t>consider the merits of the</w:t>
      </w:r>
      <w:r w:rsidRPr="004A333D" w:rsidR="00DB121B">
        <w:rPr>
          <w:sz w:val="20"/>
        </w:rPr>
        <w:t>se</w:t>
      </w:r>
      <w:r w:rsidRPr="004A333D" w:rsidR="00026487">
        <w:rPr>
          <w:sz w:val="20"/>
        </w:rPr>
        <w:t xml:space="preserve"> late-filed pleadings.</w:t>
      </w:r>
      <w:r w:rsidRPr="00A9648A" w:rsidR="00026487">
        <w:rPr>
          <w:szCs w:val="22"/>
        </w:rPr>
        <w:t xml:space="preserve"> </w:t>
      </w:r>
    </w:p>
  </w:footnote>
  <w:footnote w:id="5">
    <w:p w:rsidR="00F376FA" w:rsidRPr="0013481B" w14:paraId="3ACFFC62" w14:textId="431FE8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481B">
        <w:rPr>
          <w:i/>
        </w:rPr>
        <w:t>See</w:t>
      </w:r>
      <w:r w:rsidRPr="0013481B">
        <w:t xml:space="preserve"> File No. BAL-</w:t>
      </w:r>
      <w:r w:rsidRPr="0013481B" w:rsidR="0013481B">
        <w:t xml:space="preserve"> 20040316ADT; </w:t>
      </w:r>
      <w:r w:rsidRPr="0013481B" w:rsidR="0013481B">
        <w:rPr>
          <w:i/>
        </w:rPr>
        <w:t>Broadcast Actions</w:t>
      </w:r>
      <w:r w:rsidRPr="0013481B" w:rsidR="0013481B">
        <w:t>, Public Notice, Report No. 45799 (MB Aug. 16, 2004) (authorizing assignment of the Station’s license from Lifeline Radio Corp. to Agape).</w:t>
      </w:r>
    </w:p>
  </w:footnote>
  <w:footnote w:id="6">
    <w:p w:rsidR="00095CD5" w14:paraId="699285CA" w14:textId="53D9E6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3ED5">
        <w:t xml:space="preserve">47 CFR </w:t>
      </w:r>
      <w:r w:rsidRPr="00403518" w:rsidR="00EE3ED5">
        <w:rPr>
          <w:color w:val="000000"/>
        </w:rPr>
        <w:t>§</w:t>
      </w:r>
      <w:r w:rsidR="00EE3ED5">
        <w:rPr>
          <w:color w:val="000000"/>
        </w:rPr>
        <w:t xml:space="preserve"> 1.1162</w:t>
      </w:r>
      <w:r w:rsidR="00AD5280">
        <w:rPr>
          <w:color w:val="000000"/>
        </w:rPr>
        <w:t>(</w:t>
      </w:r>
      <w:r w:rsidR="00D013FC">
        <w:rPr>
          <w:color w:val="000000"/>
        </w:rPr>
        <w:t>c</w:t>
      </w:r>
      <w:r w:rsidR="00AD5280">
        <w:rPr>
          <w:color w:val="000000"/>
        </w:rPr>
        <w:t>)</w:t>
      </w:r>
      <w:r w:rsidR="00EE3ED5">
        <w:rPr>
          <w:color w:val="000000"/>
        </w:rPr>
        <w:t xml:space="preserve"> (</w:t>
      </w:r>
      <w:r w:rsidR="00AD5280">
        <w:rPr>
          <w:color w:val="000000"/>
        </w:rPr>
        <w:t xml:space="preserve">specifying that no regulatory fee </w:t>
      </w:r>
      <w:r w:rsidR="00D013FC">
        <w:rPr>
          <w:color w:val="000000"/>
        </w:rPr>
        <w:t>shall be required for</w:t>
      </w:r>
      <w:r w:rsidR="00D013FC">
        <w:t xml:space="preserve"> “</w:t>
      </w:r>
      <w:r w:rsidRPr="00D013FC" w:rsidR="00D013FC">
        <w:t>[a]pplicants</w:t>
      </w:r>
      <w:r w:rsidR="00D013FC">
        <w:t xml:space="preserve"> and permittees who qualify as nonprofit entities</w:t>
      </w:r>
      <w:r w:rsidR="00E54443">
        <w:t>”</w:t>
      </w:r>
      <w:r w:rsidR="00EE3ED5">
        <w:t>).</w:t>
      </w:r>
    </w:p>
  </w:footnote>
  <w:footnote w:id="7">
    <w:p w:rsidR="00913F04" w:rsidP="00913F04" w14:paraId="67457704" w14:textId="77777777">
      <w:pPr>
        <w:pStyle w:val="FootnoteText"/>
      </w:pPr>
      <w:r w:rsidRPr="005E2D50">
        <w:rPr>
          <w:rStyle w:val="FootnoteReference"/>
          <w:color w:val="000000"/>
        </w:rPr>
        <w:footnoteRef/>
      </w:r>
      <w:r w:rsidRPr="00403518">
        <w:rPr>
          <w:color w:val="000000"/>
        </w:rPr>
        <w:t xml:space="preserve"> </w:t>
      </w:r>
      <w:r w:rsidRPr="005E2D50">
        <w:t>47 U.S.C. § 159</w:t>
      </w:r>
      <w:r>
        <w:t>A</w:t>
      </w:r>
      <w:r w:rsidRPr="005E2D50">
        <w:t>(c)(</w:t>
      </w:r>
      <w:r>
        <w:t>4</w:t>
      </w:r>
      <w:r w:rsidRPr="005E2D50">
        <w:t xml:space="preserve">); </w:t>
      </w:r>
      <w:r w:rsidRPr="00403518">
        <w:rPr>
          <w:color w:val="000000"/>
        </w:rPr>
        <w:t xml:space="preserve">47 CFR §§ </w:t>
      </w:r>
      <w:r>
        <w:t>0.11, 0.61, 0.23</w:t>
      </w:r>
      <w:r w:rsidRPr="005E2D50">
        <w:t>1, 0.</w:t>
      </w:r>
      <w:r>
        <w:t>283</w:t>
      </w:r>
      <w:r w:rsidRPr="005E2D50">
        <w:t>, 1.1164(f).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84BBA28" w14:textId="7B5FB65B">
    <w:pPr>
      <w:pStyle w:val="Header"/>
      <w:rPr>
        <w:b w:val="0"/>
      </w:rPr>
    </w:pPr>
    <w:r>
      <w:tab/>
      <w:t>Federal Communications Commission</w:t>
    </w:r>
    <w:r>
      <w:tab/>
    </w:r>
    <w:r w:rsidR="00913F04">
      <w:t>DA 19-</w:t>
    </w:r>
    <w:r w:rsidR="00EE74F4">
      <w:t>1108</w:t>
    </w:r>
  </w:p>
  <w:p w:rsidR="00D25FB5" w14:paraId="4C3153AB" w14:textId="5B07B2A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56B2DF97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71A6059" w14:textId="31B13495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913F04">
      <w:rPr>
        <w:spacing w:val="-2"/>
      </w:rPr>
      <w:t>DA 19-</w:t>
    </w:r>
    <w:r w:rsidR="00EE74F4">
      <w:rPr>
        <w:spacing w:val="-2"/>
      </w:rPr>
      <w:t>1108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04"/>
    <w:rsid w:val="0000095B"/>
    <w:rsid w:val="00026487"/>
    <w:rsid w:val="0003389C"/>
    <w:rsid w:val="00036039"/>
    <w:rsid w:val="00037F90"/>
    <w:rsid w:val="00054288"/>
    <w:rsid w:val="00071619"/>
    <w:rsid w:val="000875BF"/>
    <w:rsid w:val="00095CD5"/>
    <w:rsid w:val="00096D8C"/>
    <w:rsid w:val="00096E26"/>
    <w:rsid w:val="000A5949"/>
    <w:rsid w:val="000C0B65"/>
    <w:rsid w:val="000E05FE"/>
    <w:rsid w:val="000E2FAA"/>
    <w:rsid w:val="000E3D42"/>
    <w:rsid w:val="001069BD"/>
    <w:rsid w:val="0011131B"/>
    <w:rsid w:val="0011278C"/>
    <w:rsid w:val="00122BD5"/>
    <w:rsid w:val="00133F79"/>
    <w:rsid w:val="0013481B"/>
    <w:rsid w:val="00164958"/>
    <w:rsid w:val="00175982"/>
    <w:rsid w:val="00194A66"/>
    <w:rsid w:val="001A2860"/>
    <w:rsid w:val="001D6BCF"/>
    <w:rsid w:val="001E01CA"/>
    <w:rsid w:val="001E681A"/>
    <w:rsid w:val="00244E62"/>
    <w:rsid w:val="0025757F"/>
    <w:rsid w:val="00261EA5"/>
    <w:rsid w:val="00274D24"/>
    <w:rsid w:val="00275CF5"/>
    <w:rsid w:val="0028301F"/>
    <w:rsid w:val="00285017"/>
    <w:rsid w:val="002A2D2E"/>
    <w:rsid w:val="002A578E"/>
    <w:rsid w:val="002C00E8"/>
    <w:rsid w:val="002C7DAF"/>
    <w:rsid w:val="002F1FD2"/>
    <w:rsid w:val="002F428C"/>
    <w:rsid w:val="00301454"/>
    <w:rsid w:val="00313055"/>
    <w:rsid w:val="00316F46"/>
    <w:rsid w:val="00337D16"/>
    <w:rsid w:val="00343749"/>
    <w:rsid w:val="003456BA"/>
    <w:rsid w:val="003660ED"/>
    <w:rsid w:val="003A6C2C"/>
    <w:rsid w:val="003B0550"/>
    <w:rsid w:val="003B694F"/>
    <w:rsid w:val="003F171C"/>
    <w:rsid w:val="00403518"/>
    <w:rsid w:val="00407848"/>
    <w:rsid w:val="00412FC5"/>
    <w:rsid w:val="00420588"/>
    <w:rsid w:val="00422276"/>
    <w:rsid w:val="004242F1"/>
    <w:rsid w:val="00424FB0"/>
    <w:rsid w:val="00432B93"/>
    <w:rsid w:val="00442EC6"/>
    <w:rsid w:val="0044328E"/>
    <w:rsid w:val="00445A00"/>
    <w:rsid w:val="00446704"/>
    <w:rsid w:val="00447DBC"/>
    <w:rsid w:val="00451B0F"/>
    <w:rsid w:val="004577CE"/>
    <w:rsid w:val="00465600"/>
    <w:rsid w:val="0047419D"/>
    <w:rsid w:val="00484B1A"/>
    <w:rsid w:val="004A1374"/>
    <w:rsid w:val="004A333D"/>
    <w:rsid w:val="004B3FAF"/>
    <w:rsid w:val="004C2EE3"/>
    <w:rsid w:val="004D34CA"/>
    <w:rsid w:val="004D6F16"/>
    <w:rsid w:val="004E4A22"/>
    <w:rsid w:val="004F5BF8"/>
    <w:rsid w:val="004F6F17"/>
    <w:rsid w:val="00511968"/>
    <w:rsid w:val="0054298F"/>
    <w:rsid w:val="00543B2D"/>
    <w:rsid w:val="00550437"/>
    <w:rsid w:val="0055614C"/>
    <w:rsid w:val="00566D06"/>
    <w:rsid w:val="005735C6"/>
    <w:rsid w:val="005A7F0A"/>
    <w:rsid w:val="005E14C2"/>
    <w:rsid w:val="005E2D50"/>
    <w:rsid w:val="005E33A3"/>
    <w:rsid w:val="00607BA5"/>
    <w:rsid w:val="0061180A"/>
    <w:rsid w:val="00624BA6"/>
    <w:rsid w:val="00626EB6"/>
    <w:rsid w:val="00633E78"/>
    <w:rsid w:val="00655D03"/>
    <w:rsid w:val="0065609D"/>
    <w:rsid w:val="00676FA4"/>
    <w:rsid w:val="00683388"/>
    <w:rsid w:val="00683F84"/>
    <w:rsid w:val="006A2F65"/>
    <w:rsid w:val="006A6A81"/>
    <w:rsid w:val="006A6BC2"/>
    <w:rsid w:val="006F49BE"/>
    <w:rsid w:val="006F7393"/>
    <w:rsid w:val="0070224F"/>
    <w:rsid w:val="007115F7"/>
    <w:rsid w:val="0071649B"/>
    <w:rsid w:val="00753CF5"/>
    <w:rsid w:val="007646F9"/>
    <w:rsid w:val="00785689"/>
    <w:rsid w:val="007865A3"/>
    <w:rsid w:val="00792600"/>
    <w:rsid w:val="0079542A"/>
    <w:rsid w:val="0079754B"/>
    <w:rsid w:val="007A1E6D"/>
    <w:rsid w:val="007B0EB2"/>
    <w:rsid w:val="007B77CD"/>
    <w:rsid w:val="007E1F04"/>
    <w:rsid w:val="007E7830"/>
    <w:rsid w:val="007F487D"/>
    <w:rsid w:val="00810B6F"/>
    <w:rsid w:val="008170AF"/>
    <w:rsid w:val="00822CE0"/>
    <w:rsid w:val="00841AB1"/>
    <w:rsid w:val="00854EF0"/>
    <w:rsid w:val="00874D92"/>
    <w:rsid w:val="00894186"/>
    <w:rsid w:val="008950DE"/>
    <w:rsid w:val="008A6EB2"/>
    <w:rsid w:val="008C3B5B"/>
    <w:rsid w:val="008C68F1"/>
    <w:rsid w:val="008C7BA8"/>
    <w:rsid w:val="00913F04"/>
    <w:rsid w:val="00921803"/>
    <w:rsid w:val="00924432"/>
    <w:rsid w:val="00926503"/>
    <w:rsid w:val="00940D43"/>
    <w:rsid w:val="009726D8"/>
    <w:rsid w:val="009A694F"/>
    <w:rsid w:val="009D16FE"/>
    <w:rsid w:val="009D7308"/>
    <w:rsid w:val="009F76DB"/>
    <w:rsid w:val="00A13F13"/>
    <w:rsid w:val="00A24511"/>
    <w:rsid w:val="00A32C3B"/>
    <w:rsid w:val="00A34EB6"/>
    <w:rsid w:val="00A45F4F"/>
    <w:rsid w:val="00A600A9"/>
    <w:rsid w:val="00A6323D"/>
    <w:rsid w:val="00A9648A"/>
    <w:rsid w:val="00AA55B7"/>
    <w:rsid w:val="00AA5B9E"/>
    <w:rsid w:val="00AB2407"/>
    <w:rsid w:val="00AB53DF"/>
    <w:rsid w:val="00AC16E0"/>
    <w:rsid w:val="00AC7D94"/>
    <w:rsid w:val="00AD5280"/>
    <w:rsid w:val="00AE4725"/>
    <w:rsid w:val="00B05A64"/>
    <w:rsid w:val="00B07E5C"/>
    <w:rsid w:val="00B267E5"/>
    <w:rsid w:val="00B35627"/>
    <w:rsid w:val="00B664D2"/>
    <w:rsid w:val="00B73328"/>
    <w:rsid w:val="00B811F7"/>
    <w:rsid w:val="00BA49EE"/>
    <w:rsid w:val="00BA5DC6"/>
    <w:rsid w:val="00BA6196"/>
    <w:rsid w:val="00BB275F"/>
    <w:rsid w:val="00BB7B9C"/>
    <w:rsid w:val="00BC6D8C"/>
    <w:rsid w:val="00BE1684"/>
    <w:rsid w:val="00C05774"/>
    <w:rsid w:val="00C1781D"/>
    <w:rsid w:val="00C30094"/>
    <w:rsid w:val="00C33A59"/>
    <w:rsid w:val="00C34006"/>
    <w:rsid w:val="00C36B4C"/>
    <w:rsid w:val="00C426B1"/>
    <w:rsid w:val="00C66160"/>
    <w:rsid w:val="00C721AC"/>
    <w:rsid w:val="00C726AC"/>
    <w:rsid w:val="00C83B4D"/>
    <w:rsid w:val="00C90D6A"/>
    <w:rsid w:val="00C932C4"/>
    <w:rsid w:val="00CA247E"/>
    <w:rsid w:val="00CA5030"/>
    <w:rsid w:val="00CA57C4"/>
    <w:rsid w:val="00CA6D21"/>
    <w:rsid w:val="00CC43D0"/>
    <w:rsid w:val="00CC72B6"/>
    <w:rsid w:val="00CD0BB1"/>
    <w:rsid w:val="00CE4078"/>
    <w:rsid w:val="00CE6DC9"/>
    <w:rsid w:val="00D013FC"/>
    <w:rsid w:val="00D0218D"/>
    <w:rsid w:val="00D178FB"/>
    <w:rsid w:val="00D25FB5"/>
    <w:rsid w:val="00D316C3"/>
    <w:rsid w:val="00D44223"/>
    <w:rsid w:val="00D4722E"/>
    <w:rsid w:val="00D7549E"/>
    <w:rsid w:val="00D90CEE"/>
    <w:rsid w:val="00DA0B0A"/>
    <w:rsid w:val="00DA2529"/>
    <w:rsid w:val="00DB121B"/>
    <w:rsid w:val="00DB130A"/>
    <w:rsid w:val="00DB2EBB"/>
    <w:rsid w:val="00DC10A1"/>
    <w:rsid w:val="00DC655F"/>
    <w:rsid w:val="00DC6876"/>
    <w:rsid w:val="00DD0B59"/>
    <w:rsid w:val="00DD7EBD"/>
    <w:rsid w:val="00DF62B6"/>
    <w:rsid w:val="00DF7351"/>
    <w:rsid w:val="00E07225"/>
    <w:rsid w:val="00E13DBD"/>
    <w:rsid w:val="00E14F3C"/>
    <w:rsid w:val="00E14FF1"/>
    <w:rsid w:val="00E16DC0"/>
    <w:rsid w:val="00E360A1"/>
    <w:rsid w:val="00E5409F"/>
    <w:rsid w:val="00E54443"/>
    <w:rsid w:val="00E672A7"/>
    <w:rsid w:val="00EA1CC7"/>
    <w:rsid w:val="00EE3ED5"/>
    <w:rsid w:val="00EE6488"/>
    <w:rsid w:val="00EE74F4"/>
    <w:rsid w:val="00F021FA"/>
    <w:rsid w:val="00F02FFD"/>
    <w:rsid w:val="00F10720"/>
    <w:rsid w:val="00F25166"/>
    <w:rsid w:val="00F26602"/>
    <w:rsid w:val="00F30163"/>
    <w:rsid w:val="00F332A9"/>
    <w:rsid w:val="00F36CFC"/>
    <w:rsid w:val="00F376FA"/>
    <w:rsid w:val="00F62E97"/>
    <w:rsid w:val="00F64209"/>
    <w:rsid w:val="00F72D6B"/>
    <w:rsid w:val="00F87AE9"/>
    <w:rsid w:val="00F93BF5"/>
    <w:rsid w:val="00FC45F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DB8E9C9-5001-49BB-9C55-94FF0212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uiPriority w:val="9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uiPriority w:val="9"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uiPriority w:val="9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uiPriority w:val="9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uiPriority w:val="9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uiPriority w:val="9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uiPriority w:val="9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uiPriority w:val="9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uiPriority w:val="9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,Footnote Text Char Char Char,Footnote Text Char Char Char Char Char,Footnote Text Char1 Char,Footnote Text Char1 Char Char Char,Footnote Text Char1 Char Char Char Char Char,Styl,Style 5 Char Char,fn,rrfootnote Char Char"/>
    <w:link w:val="FootnoteTextChar1"/>
    <w:uiPriority w:val="99"/>
    <w:rsid w:val="000E3D42"/>
    <w:pPr>
      <w:spacing w:after="120"/>
    </w:pPr>
  </w:style>
  <w:style w:type="character" w:styleId="FootnoteReference">
    <w:name w:val="footnote reference"/>
    <w:aliases w:val="(NECG) Footnote Reference,Appel note de bas de p,FR,Footnote Reference/,Footnote Reference1,Style 12,Style 124,Style 13,Style 17,Style 3,Style 4,Style 6,fr,o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FootnoteTextChar1">
    <w:name w:val="Footnote Text Char1"/>
    <w:aliases w:val="Footnote Text Char Char,Footnote Text Char Char Char Char,Footnote Text Char Char Char Char Char Char,Footnote Text Char1 Char Char,Footnote Text Char1 Char Char Char Char,Style 5 Char Char Char,fn Char,rrfootnote Char Char Char"/>
    <w:link w:val="FootnoteText"/>
    <w:uiPriority w:val="99"/>
    <w:locked/>
    <w:rsid w:val="00913F04"/>
  </w:style>
  <w:style w:type="character" w:customStyle="1" w:styleId="FootnoteTextChar2">
    <w:name w:val="Footnote Text Char2"/>
    <w:aliases w:val="Footnote Text Char Char Char Char Char Char1,Footnote Text Char Char Char Char1,Footnote Text Char Char1,Footnote Text Char1 Char Char Char Char1,Footnote Text Char1 Char Char1,Style 5 Char Char Char1,rrfootnote Char Char Char1"/>
    <w:locked/>
    <w:rsid w:val="004A1374"/>
  </w:style>
  <w:style w:type="character" w:customStyle="1" w:styleId="sssh">
    <w:name w:val="ss_sh"/>
    <w:basedOn w:val="DefaultParagraphFont"/>
    <w:rsid w:val="004A1374"/>
  </w:style>
  <w:style w:type="character" w:styleId="CommentReference">
    <w:name w:val="annotation reference"/>
    <w:basedOn w:val="DefaultParagraphFont"/>
    <w:rsid w:val="005A7F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F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A7F0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A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7F0A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5A7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7F0A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ParaNumChar">
    <w:name w:val="ParaNum Char"/>
    <w:link w:val="ParaNum"/>
    <w:locked/>
    <w:rsid w:val="00A9648A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