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FB5F5B" w:rsidP="00FB5F5B" w14:paraId="5D4686C6" w14:textId="637B5FA6">
      <w:pPr>
        <w:spacing w:after="0"/>
        <w:jc w:val="center"/>
        <w:rPr>
          <w:rFonts w:ascii="Times New Roman" w:hAnsi="Times New Roman" w:cs="Times New Roman"/>
          <w:b/>
        </w:rPr>
      </w:pPr>
      <w:r w:rsidRPr="00FB5F5B">
        <w:rPr>
          <w:rFonts w:ascii="Times New Roman" w:hAnsi="Times New Roman" w:cs="Times New Roman"/>
          <w:b/>
        </w:rPr>
        <w:t>Before the</w:t>
      </w:r>
    </w:p>
    <w:p w:rsidR="00921803" w:rsidP="00921803" w14:paraId="75AD48BF" w14:textId="77777777">
      <w:pPr>
        <w:pStyle w:val="StyleBoldCentered"/>
      </w:pPr>
      <w:r>
        <w:t>F</w:t>
      </w:r>
      <w:r>
        <w:rPr>
          <w:caps w:val="0"/>
        </w:rPr>
        <w:t>ederal Communications Commission</w:t>
      </w:r>
    </w:p>
    <w:p w:rsidR="004C2EE3" w:rsidP="00096D8C" w14:paraId="13CCBA08" w14:textId="77777777">
      <w:pPr>
        <w:pStyle w:val="StyleBoldCentered"/>
      </w:pPr>
      <w:r>
        <w:rPr>
          <w:caps w:val="0"/>
        </w:rPr>
        <w:t>Washington, D.C. 20554</w:t>
      </w:r>
    </w:p>
    <w:p w:rsidR="004C2EE3" w:rsidP="0070224F" w14:paraId="75DD9EF6" w14:textId="77777777"/>
    <w:tbl>
      <w:tblPr>
        <w:tblW w:w="0" w:type="auto"/>
        <w:tblLayout w:type="fixed"/>
        <w:tblLook w:val="0000"/>
      </w:tblPr>
      <w:tblGrid>
        <w:gridCol w:w="4698"/>
        <w:gridCol w:w="630"/>
        <w:gridCol w:w="4248"/>
      </w:tblGrid>
      <w:tr w14:paraId="7D7F7ACD" w14:textId="77777777">
        <w:tblPrEx>
          <w:tblW w:w="0" w:type="auto"/>
          <w:tblLayout w:type="fixed"/>
          <w:tblLook w:val="0000"/>
        </w:tblPrEx>
        <w:tc>
          <w:tcPr>
            <w:tcW w:w="4698" w:type="dxa"/>
          </w:tcPr>
          <w:p w:rsidR="004C2EE3" w:rsidRPr="001326C4" w:rsidP="001326C4" w14:paraId="522838A1" w14:textId="77777777">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In the Matter of</w:t>
            </w:r>
          </w:p>
          <w:p w:rsidR="004C2EE3" w:rsidRPr="001326C4" w:rsidP="001326C4" w14:paraId="6C115CAA" w14:textId="77777777">
            <w:pPr>
              <w:tabs>
                <w:tab w:val="center" w:pos="4680"/>
              </w:tabs>
              <w:suppressAutoHyphens/>
              <w:spacing w:after="0" w:line="240" w:lineRule="auto"/>
              <w:rPr>
                <w:rFonts w:ascii="Times New Roman" w:hAnsi="Times New Roman" w:cs="Times New Roman"/>
                <w:spacing w:val="-2"/>
              </w:rPr>
            </w:pPr>
          </w:p>
          <w:p w:rsidR="004C2EE3" w:rsidRPr="001326C4" w:rsidP="001326C4" w14:paraId="711CE056" w14:textId="77777777">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Liberman Broadcasting, Inc. and LBI Media, Inc.</w:t>
            </w:r>
          </w:p>
          <w:p w:rsidR="00D71BE8" w:rsidRPr="001326C4" w:rsidP="001326C4" w14:paraId="0D34B34D" w14:textId="77777777">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v.</w:t>
            </w:r>
          </w:p>
          <w:p w:rsidR="00D71BE8" w:rsidRPr="001326C4" w:rsidP="001326C4" w14:paraId="605C379E" w14:textId="77777777">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Comcast Corporation and Comcast Cable Communications, LLC</w:t>
            </w:r>
          </w:p>
          <w:p w:rsidR="00D71BE8" w:rsidRPr="001326C4" w:rsidP="001326C4" w14:paraId="2E243942" w14:textId="5748757B">
            <w:pPr>
              <w:tabs>
                <w:tab w:val="center" w:pos="4680"/>
              </w:tabs>
              <w:suppressAutoHyphens/>
              <w:spacing w:after="0" w:line="240" w:lineRule="auto"/>
              <w:rPr>
                <w:rFonts w:ascii="Times New Roman" w:hAnsi="Times New Roman" w:cs="Times New Roman"/>
                <w:spacing w:val="-2"/>
              </w:rPr>
            </w:pPr>
          </w:p>
        </w:tc>
        <w:tc>
          <w:tcPr>
            <w:tcW w:w="630" w:type="dxa"/>
          </w:tcPr>
          <w:p w:rsidR="004C2EE3" w:rsidRPr="001326C4" w:rsidP="001326C4" w14:paraId="3EB565A1" w14:textId="77777777">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rsidR="004C2EE3" w:rsidRPr="001326C4" w:rsidP="001326C4" w14:paraId="5008A45C" w14:textId="77777777">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rsidR="004C2EE3" w:rsidRPr="001326C4" w:rsidP="001326C4" w14:paraId="76963336" w14:textId="77777777">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rsidR="004C2EE3" w:rsidRPr="001326C4" w:rsidP="001326C4" w14:paraId="7B379DFE" w14:textId="77777777">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rsidR="004C2EE3" w:rsidRPr="001326C4" w:rsidP="001326C4" w14:paraId="1FB51163" w14:textId="77777777">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rsidR="004C2EE3" w:rsidRPr="001326C4" w:rsidP="001326C4" w14:paraId="0068BD0A" w14:textId="77777777">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rsidR="00D71BE8" w:rsidRPr="001326C4" w:rsidP="001326C4" w14:paraId="7F4AA797" w14:textId="11CFC52E">
            <w:pPr>
              <w:tabs>
                <w:tab w:val="center" w:pos="4680"/>
              </w:tabs>
              <w:suppressAutoHyphens/>
              <w:spacing w:after="0" w:line="240" w:lineRule="auto"/>
              <w:rPr>
                <w:rFonts w:ascii="Times New Roman" w:hAnsi="Times New Roman" w:cs="Times New Roman"/>
                <w:spacing w:val="-2"/>
              </w:rPr>
            </w:pPr>
          </w:p>
        </w:tc>
        <w:tc>
          <w:tcPr>
            <w:tcW w:w="4248" w:type="dxa"/>
          </w:tcPr>
          <w:p w:rsidR="004C2EE3" w:rsidRPr="001326C4" w14:paraId="38A24598" w14:textId="3BDE7077">
            <w:pPr>
              <w:tabs>
                <w:tab w:val="center" w:pos="4680"/>
              </w:tabs>
              <w:suppressAutoHyphens/>
              <w:rPr>
                <w:rFonts w:ascii="Times New Roman" w:hAnsi="Times New Roman" w:cs="Times New Roman"/>
                <w:spacing w:val="-2"/>
              </w:rPr>
            </w:pPr>
            <w:r>
              <w:rPr>
                <w:rFonts w:ascii="Times New Roman" w:hAnsi="Times New Roman" w:cs="Times New Roman"/>
                <w:spacing w:val="-2"/>
              </w:rPr>
              <w:t>M</w:t>
            </w:r>
            <w:r w:rsidRPr="001326C4" w:rsidR="00D71BE8">
              <w:rPr>
                <w:rFonts w:ascii="Times New Roman" w:hAnsi="Times New Roman" w:cs="Times New Roman"/>
                <w:spacing w:val="-2"/>
              </w:rPr>
              <w:t>B Docket No. 16-121</w:t>
            </w:r>
          </w:p>
          <w:p w:rsidR="00D71BE8" w14:paraId="44549FB3" w14:textId="77777777">
            <w:pPr>
              <w:tabs>
                <w:tab w:val="center" w:pos="4680"/>
              </w:tabs>
              <w:suppressAutoHyphens/>
              <w:rPr>
                <w:spacing w:val="-2"/>
              </w:rPr>
            </w:pPr>
            <w:r w:rsidRPr="001326C4">
              <w:rPr>
                <w:rFonts w:ascii="Times New Roman" w:hAnsi="Times New Roman" w:cs="Times New Roman"/>
                <w:spacing w:val="-2"/>
              </w:rPr>
              <w:t>File No. CSR-8922-P</w:t>
            </w:r>
          </w:p>
        </w:tc>
      </w:tr>
    </w:tbl>
    <w:p w:rsidR="004C2EE3" w:rsidP="001326C4" w14:paraId="2544AC38" w14:textId="4BBB09F8">
      <w:pPr>
        <w:pStyle w:val="StyleBoldCentered"/>
      </w:pPr>
      <w:r>
        <w:t>order</w:t>
      </w:r>
    </w:p>
    <w:p w:rsidR="001326C4" w:rsidP="001326C4" w14:paraId="568F988A" w14:textId="77777777">
      <w:pPr>
        <w:pStyle w:val="StyleBoldCentered"/>
        <w:rPr>
          <w:spacing w:val="-2"/>
        </w:rPr>
      </w:pPr>
    </w:p>
    <w:p w:rsidR="004C2EE3" w:rsidRPr="001326C4" w:rsidP="00133F79" w14:paraId="5DDBC8D0" w14:textId="09562B1D">
      <w:pPr>
        <w:tabs>
          <w:tab w:val="left" w:pos="720"/>
          <w:tab w:val="right" w:pos="9360"/>
        </w:tabs>
        <w:suppressAutoHyphens/>
        <w:spacing w:line="227" w:lineRule="auto"/>
        <w:rPr>
          <w:rFonts w:ascii="Times New Roman" w:hAnsi="Times New Roman" w:cs="Times New Roman"/>
          <w:spacing w:val="-2"/>
        </w:rPr>
      </w:pPr>
      <w:r w:rsidRPr="001326C4">
        <w:rPr>
          <w:rFonts w:ascii="Times New Roman" w:hAnsi="Times New Roman" w:cs="Times New Roman"/>
          <w:b/>
          <w:spacing w:val="-2"/>
        </w:rPr>
        <w:t xml:space="preserve">Adopted:  </w:t>
      </w:r>
      <w:r w:rsidR="001C7E7D">
        <w:rPr>
          <w:rFonts w:ascii="Times New Roman" w:hAnsi="Times New Roman" w:cs="Times New Roman"/>
          <w:b/>
          <w:spacing w:val="-2"/>
        </w:rPr>
        <w:t xml:space="preserve">October </w:t>
      </w:r>
      <w:r w:rsidR="00BE2DF0">
        <w:rPr>
          <w:rFonts w:ascii="Times New Roman" w:hAnsi="Times New Roman" w:cs="Times New Roman"/>
          <w:b/>
          <w:spacing w:val="-2"/>
        </w:rPr>
        <w:t>31</w:t>
      </w:r>
      <w:r w:rsidR="001C7E7D">
        <w:rPr>
          <w:rFonts w:ascii="Times New Roman" w:hAnsi="Times New Roman" w:cs="Times New Roman"/>
          <w:b/>
          <w:spacing w:val="-2"/>
        </w:rPr>
        <w:t>, 2019</w:t>
      </w:r>
      <w:r w:rsidRPr="001326C4">
        <w:rPr>
          <w:rFonts w:ascii="Times New Roman" w:hAnsi="Times New Roman" w:cs="Times New Roman"/>
          <w:b/>
          <w:spacing w:val="-2"/>
        </w:rPr>
        <w:tab/>
      </w:r>
      <w:r w:rsidRPr="001326C4" w:rsidR="00822CE0">
        <w:rPr>
          <w:rFonts w:ascii="Times New Roman" w:hAnsi="Times New Roman" w:cs="Times New Roman"/>
          <w:b/>
          <w:spacing w:val="-2"/>
        </w:rPr>
        <w:t>Released</w:t>
      </w:r>
      <w:r w:rsidRPr="001326C4">
        <w:rPr>
          <w:rFonts w:ascii="Times New Roman" w:hAnsi="Times New Roman" w:cs="Times New Roman"/>
          <w:b/>
          <w:spacing w:val="-2"/>
        </w:rPr>
        <w:t>:</w:t>
      </w:r>
      <w:r w:rsidRPr="001326C4" w:rsidR="00822CE0">
        <w:rPr>
          <w:rFonts w:ascii="Times New Roman" w:hAnsi="Times New Roman" w:cs="Times New Roman"/>
          <w:b/>
          <w:spacing w:val="-2"/>
        </w:rPr>
        <w:t xml:space="preserve"> </w:t>
      </w:r>
      <w:r w:rsidRPr="001326C4">
        <w:rPr>
          <w:rFonts w:ascii="Times New Roman" w:hAnsi="Times New Roman" w:cs="Times New Roman"/>
          <w:b/>
          <w:spacing w:val="-2"/>
        </w:rPr>
        <w:t xml:space="preserve"> </w:t>
      </w:r>
      <w:r w:rsidR="001C7E7D">
        <w:rPr>
          <w:rFonts w:ascii="Times New Roman" w:hAnsi="Times New Roman" w:cs="Times New Roman"/>
          <w:b/>
          <w:spacing w:val="-2"/>
        </w:rPr>
        <w:t xml:space="preserve">October </w:t>
      </w:r>
      <w:r w:rsidR="00BE2DF0">
        <w:rPr>
          <w:rFonts w:ascii="Times New Roman" w:hAnsi="Times New Roman" w:cs="Times New Roman"/>
          <w:b/>
          <w:spacing w:val="-2"/>
        </w:rPr>
        <w:t>31</w:t>
      </w:r>
      <w:r w:rsidR="001C7E7D">
        <w:rPr>
          <w:rFonts w:ascii="Times New Roman" w:hAnsi="Times New Roman" w:cs="Times New Roman"/>
          <w:b/>
          <w:spacing w:val="-2"/>
        </w:rPr>
        <w:t>, 2019</w:t>
      </w:r>
    </w:p>
    <w:p w:rsidR="00822CE0" w:rsidRPr="001326C4" w14:paraId="53B3B5DE" w14:textId="77777777">
      <w:pPr>
        <w:rPr>
          <w:rFonts w:ascii="Times New Roman" w:hAnsi="Times New Roman" w:cs="Times New Roman"/>
          <w:spacing w:val="-2"/>
        </w:rPr>
      </w:pPr>
      <w:r w:rsidRPr="001326C4">
        <w:rPr>
          <w:rFonts w:ascii="Times New Roman" w:hAnsi="Times New Roman" w:cs="Times New Roman"/>
        </w:rPr>
        <w:t xml:space="preserve">By </w:t>
      </w:r>
      <w:r w:rsidRPr="001326C4" w:rsidR="004E4A22">
        <w:rPr>
          <w:rFonts w:ascii="Times New Roman" w:hAnsi="Times New Roman" w:cs="Times New Roman"/>
        </w:rPr>
        <w:t>the</w:t>
      </w:r>
      <w:r w:rsidRPr="001326C4" w:rsidR="002A2D2E">
        <w:rPr>
          <w:rFonts w:ascii="Times New Roman" w:hAnsi="Times New Roman" w:cs="Times New Roman"/>
        </w:rPr>
        <w:t xml:space="preserve"> </w:t>
      </w:r>
      <w:r w:rsidRPr="001326C4" w:rsidR="00D71BE8">
        <w:rPr>
          <w:rFonts w:ascii="Times New Roman" w:hAnsi="Times New Roman" w:cs="Times New Roman"/>
          <w:spacing w:val="-2"/>
        </w:rPr>
        <w:t>Chief, Media Bureau</w:t>
      </w:r>
      <w:r w:rsidRPr="001326C4">
        <w:rPr>
          <w:rFonts w:ascii="Times New Roman" w:hAnsi="Times New Roman" w:cs="Times New Roman"/>
          <w:spacing w:val="-2"/>
        </w:rPr>
        <w:t>:</w:t>
      </w:r>
    </w:p>
    <w:p w:rsidR="002C00E8" w:rsidP="002C00E8" w14:paraId="3054EB7A" w14:textId="77777777">
      <w:pPr>
        <w:pStyle w:val="Heading1"/>
      </w:pPr>
      <w:r>
        <w:t>introduction</w:t>
      </w:r>
    </w:p>
    <w:p w:rsidR="00321060" w:rsidP="00393709" w14:paraId="0CBC7D87" w14:textId="2F0D1F5D">
      <w:pPr>
        <w:pStyle w:val="ParaNum"/>
        <w:numPr>
          <w:ilvl w:val="0"/>
          <w:numId w:val="2"/>
        </w:numPr>
        <w:tabs>
          <w:tab w:val="clear" w:pos="1080"/>
          <w:tab w:val="num" w:pos="1440"/>
        </w:tabs>
      </w:pPr>
      <w:r>
        <w:rPr>
          <w:color w:val="000000"/>
          <w:szCs w:val="22"/>
        </w:rPr>
        <w:t xml:space="preserve">The </w:t>
      </w:r>
      <w:r w:rsidR="00546DE6">
        <w:rPr>
          <w:color w:val="000000"/>
          <w:szCs w:val="22"/>
        </w:rPr>
        <w:t xml:space="preserve">Media </w:t>
      </w:r>
      <w:r>
        <w:rPr>
          <w:color w:val="000000"/>
          <w:szCs w:val="22"/>
        </w:rPr>
        <w:t xml:space="preserve">Bureau </w:t>
      </w:r>
      <w:r w:rsidR="00546DE6">
        <w:rPr>
          <w:color w:val="000000"/>
          <w:szCs w:val="22"/>
        </w:rPr>
        <w:t xml:space="preserve">(Bureau) </w:t>
      </w:r>
      <w:r>
        <w:rPr>
          <w:color w:val="000000"/>
          <w:szCs w:val="22"/>
        </w:rPr>
        <w:t xml:space="preserve">has before it a </w:t>
      </w:r>
      <w:r w:rsidRPr="00393709" w:rsidR="00D455FB">
        <w:rPr>
          <w:color w:val="000000"/>
          <w:szCs w:val="22"/>
        </w:rPr>
        <w:t xml:space="preserve">Petition for Reconsideration </w:t>
      </w:r>
      <w:r w:rsidRPr="00393709" w:rsidR="002D43A9">
        <w:rPr>
          <w:color w:val="000000"/>
          <w:szCs w:val="22"/>
        </w:rPr>
        <w:t xml:space="preserve">filed by Liberman Broadcasting, Inc. and LBI Media, Inc. (LBI) </w:t>
      </w:r>
      <w:r w:rsidRPr="00393709" w:rsidR="00D455FB">
        <w:rPr>
          <w:color w:val="000000"/>
          <w:szCs w:val="22"/>
        </w:rPr>
        <w:t xml:space="preserve">of </w:t>
      </w:r>
      <w:r w:rsidRPr="00393709" w:rsidR="00A37201">
        <w:rPr>
          <w:color w:val="000000"/>
          <w:szCs w:val="22"/>
        </w:rPr>
        <w:t xml:space="preserve">the Bureau’s </w:t>
      </w:r>
      <w:r w:rsidRPr="00393709" w:rsidR="00D455FB">
        <w:rPr>
          <w:color w:val="000000"/>
          <w:szCs w:val="22"/>
        </w:rPr>
        <w:t>order dismissing</w:t>
      </w:r>
      <w:r w:rsidR="008821A3">
        <w:rPr>
          <w:color w:val="000000"/>
          <w:szCs w:val="22"/>
        </w:rPr>
        <w:t>, without prejudice,</w:t>
      </w:r>
      <w:r w:rsidRPr="00393709" w:rsidR="00A37201">
        <w:rPr>
          <w:color w:val="000000"/>
          <w:szCs w:val="22"/>
        </w:rPr>
        <w:t xml:space="preserve"> LBI</w:t>
      </w:r>
      <w:r w:rsidRPr="00393709" w:rsidR="000D2F30">
        <w:rPr>
          <w:color w:val="000000"/>
          <w:szCs w:val="22"/>
        </w:rPr>
        <w:t>’s</w:t>
      </w:r>
      <w:r w:rsidRPr="00393709" w:rsidR="00A37201">
        <w:rPr>
          <w:color w:val="000000"/>
          <w:szCs w:val="22"/>
        </w:rPr>
        <w:t xml:space="preserve"> </w:t>
      </w:r>
      <w:r w:rsidRPr="00393709" w:rsidR="00D455FB">
        <w:rPr>
          <w:color w:val="000000"/>
          <w:szCs w:val="22"/>
        </w:rPr>
        <w:t xml:space="preserve">program carriage complaint </w:t>
      </w:r>
      <w:r w:rsidRPr="00393709" w:rsidR="002D43A9">
        <w:rPr>
          <w:color w:val="000000"/>
          <w:szCs w:val="22"/>
        </w:rPr>
        <w:t>against Comcast Corporation and Comcast Cable Communications, LLC (Comcast).</w:t>
      </w:r>
      <w:r>
        <w:rPr>
          <w:rStyle w:val="FootnoteReference"/>
          <w:szCs w:val="22"/>
        </w:rPr>
        <w:footnoteReference w:id="3"/>
      </w:r>
      <w:r w:rsidRPr="00393709" w:rsidR="00280ABC">
        <w:rPr>
          <w:color w:val="000000"/>
          <w:szCs w:val="22"/>
        </w:rPr>
        <w:t xml:space="preserve"> </w:t>
      </w:r>
      <w:r w:rsidRPr="00393709" w:rsidR="002D43A9">
        <w:rPr>
          <w:color w:val="000000"/>
          <w:szCs w:val="22"/>
        </w:rPr>
        <w:t xml:space="preserve"> </w:t>
      </w:r>
      <w:r w:rsidRPr="00393709" w:rsidR="00F14C83">
        <w:rPr>
          <w:color w:val="000000"/>
          <w:szCs w:val="22"/>
        </w:rPr>
        <w:t>T</w:t>
      </w:r>
      <w:r w:rsidRPr="00393709" w:rsidR="001835A7">
        <w:rPr>
          <w:color w:val="000000"/>
          <w:szCs w:val="22"/>
        </w:rPr>
        <w:t xml:space="preserve">he Bureau </w:t>
      </w:r>
      <w:r w:rsidRPr="00393709" w:rsidR="00F14C83">
        <w:rPr>
          <w:color w:val="000000"/>
          <w:szCs w:val="22"/>
        </w:rPr>
        <w:t xml:space="preserve">dismissed </w:t>
      </w:r>
      <w:r w:rsidRPr="00393709" w:rsidR="002E5D58">
        <w:rPr>
          <w:color w:val="000000"/>
          <w:szCs w:val="22"/>
        </w:rPr>
        <w:t>LBI’s</w:t>
      </w:r>
      <w:r w:rsidRPr="00393709" w:rsidR="00F14C83">
        <w:rPr>
          <w:color w:val="000000"/>
          <w:szCs w:val="22"/>
        </w:rPr>
        <w:t xml:space="preserve"> complaint on the basis that </w:t>
      </w:r>
      <w:r w:rsidRPr="00393709" w:rsidR="001835A7">
        <w:rPr>
          <w:color w:val="000000"/>
          <w:szCs w:val="22"/>
        </w:rPr>
        <w:t xml:space="preserve">LBI failed to put forth evidence sufficient to establish a </w:t>
      </w:r>
      <w:r w:rsidRPr="00393709" w:rsidR="001835A7">
        <w:rPr>
          <w:i/>
          <w:color w:val="000000"/>
          <w:szCs w:val="22"/>
        </w:rPr>
        <w:t xml:space="preserve">prima facie </w:t>
      </w:r>
      <w:r w:rsidRPr="00393709" w:rsidR="001835A7">
        <w:rPr>
          <w:color w:val="000000"/>
          <w:szCs w:val="22"/>
        </w:rPr>
        <w:t>case of program carriage violation</w:t>
      </w:r>
      <w:r>
        <w:rPr>
          <w:color w:val="000000"/>
          <w:szCs w:val="22"/>
        </w:rPr>
        <w:t>s</w:t>
      </w:r>
      <w:r w:rsidRPr="00393709" w:rsidR="001835A7">
        <w:rPr>
          <w:color w:val="000000"/>
          <w:szCs w:val="22"/>
        </w:rPr>
        <w:t>.</w:t>
      </w:r>
      <w:r>
        <w:rPr>
          <w:rStyle w:val="FootnoteReference"/>
          <w:szCs w:val="22"/>
        </w:rPr>
        <w:footnoteReference w:id="4"/>
      </w:r>
      <w:r w:rsidRPr="00393709" w:rsidR="00280ABC">
        <w:rPr>
          <w:color w:val="000000"/>
          <w:szCs w:val="22"/>
        </w:rPr>
        <w:t xml:space="preserve"> </w:t>
      </w:r>
      <w:r w:rsidRPr="00393709" w:rsidR="001835A7">
        <w:rPr>
          <w:color w:val="000000"/>
          <w:szCs w:val="22"/>
        </w:rPr>
        <w:t xml:space="preserve"> In particular, the Bureau found that LBI</w:t>
      </w:r>
      <w:r w:rsidR="00E07554">
        <w:rPr>
          <w:color w:val="000000"/>
          <w:szCs w:val="22"/>
        </w:rPr>
        <w:t xml:space="preserve">, the licensee of several broadcast </w:t>
      </w:r>
      <w:r w:rsidR="00EF6215">
        <w:rPr>
          <w:color w:val="000000"/>
          <w:szCs w:val="22"/>
        </w:rPr>
        <w:t>television</w:t>
      </w:r>
      <w:r w:rsidR="00E07554">
        <w:rPr>
          <w:color w:val="000000"/>
          <w:szCs w:val="22"/>
        </w:rPr>
        <w:t xml:space="preserve"> stations,</w:t>
      </w:r>
      <w:r w:rsidRPr="00393709" w:rsidR="001835A7">
        <w:rPr>
          <w:color w:val="000000"/>
          <w:szCs w:val="22"/>
        </w:rPr>
        <w:t xml:space="preserve"> lacked standing to bring a program carriage complaint because it failed to </w:t>
      </w:r>
      <w:r w:rsidRPr="00393709" w:rsidR="006B68FA">
        <w:rPr>
          <w:color w:val="000000"/>
          <w:szCs w:val="22"/>
        </w:rPr>
        <w:t>show</w:t>
      </w:r>
      <w:r w:rsidRPr="00393709" w:rsidR="001835A7">
        <w:rPr>
          <w:color w:val="000000"/>
          <w:szCs w:val="22"/>
        </w:rPr>
        <w:t xml:space="preserve"> that it</w:t>
      </w:r>
      <w:r w:rsidRPr="00393709" w:rsidR="006B68FA">
        <w:rPr>
          <w:color w:val="000000"/>
          <w:szCs w:val="22"/>
        </w:rPr>
        <w:t xml:space="preserve"> i</w:t>
      </w:r>
      <w:r w:rsidRPr="00393709" w:rsidR="001835A7">
        <w:rPr>
          <w:color w:val="000000"/>
          <w:szCs w:val="22"/>
        </w:rPr>
        <w:t xml:space="preserve">s </w:t>
      </w:r>
      <w:r w:rsidRPr="00393709" w:rsidR="006B68FA">
        <w:rPr>
          <w:color w:val="000000"/>
          <w:szCs w:val="22"/>
        </w:rPr>
        <w:t xml:space="preserve">a </w:t>
      </w:r>
      <w:r w:rsidRPr="00393709" w:rsidR="001835A7">
        <w:rPr>
          <w:color w:val="000000"/>
          <w:szCs w:val="22"/>
        </w:rPr>
        <w:t xml:space="preserve">“video programming vendor” </w:t>
      </w:r>
      <w:r w:rsidRPr="00393709" w:rsidR="002E5D58">
        <w:rPr>
          <w:color w:val="000000"/>
          <w:szCs w:val="22"/>
        </w:rPr>
        <w:t xml:space="preserve">with respect to its request for carriage of certain </w:t>
      </w:r>
      <w:r w:rsidRPr="00393709" w:rsidR="006B68FA">
        <w:rPr>
          <w:color w:val="000000"/>
          <w:szCs w:val="22"/>
        </w:rPr>
        <w:t>full-power television</w:t>
      </w:r>
      <w:r w:rsidRPr="00393709" w:rsidR="002E5D58">
        <w:rPr>
          <w:color w:val="000000"/>
          <w:szCs w:val="22"/>
        </w:rPr>
        <w:t xml:space="preserve"> </w:t>
      </w:r>
      <w:r w:rsidR="005E21BD">
        <w:rPr>
          <w:color w:val="000000"/>
          <w:szCs w:val="22"/>
        </w:rPr>
        <w:t xml:space="preserve">broadcast </w:t>
      </w:r>
      <w:r w:rsidRPr="00393709" w:rsidR="002E5D58">
        <w:rPr>
          <w:color w:val="000000"/>
          <w:szCs w:val="22"/>
        </w:rPr>
        <w:t>signals</w:t>
      </w:r>
      <w:r w:rsidRPr="00393709" w:rsidR="006B68FA">
        <w:rPr>
          <w:color w:val="000000"/>
          <w:szCs w:val="22"/>
        </w:rPr>
        <w:t xml:space="preserve"> under </w:t>
      </w:r>
      <w:r w:rsidRPr="00393709" w:rsidR="005F38FF">
        <w:rPr>
          <w:color w:val="000000"/>
          <w:szCs w:val="22"/>
        </w:rPr>
        <w:t>section 616</w:t>
      </w:r>
      <w:r w:rsidR="000839BC">
        <w:rPr>
          <w:color w:val="000000"/>
          <w:szCs w:val="22"/>
        </w:rPr>
        <w:t xml:space="preserve"> of the Communications Act of 1934, as amended</w:t>
      </w:r>
      <w:r w:rsidR="00586427">
        <w:rPr>
          <w:color w:val="000000"/>
          <w:szCs w:val="22"/>
        </w:rPr>
        <w:t xml:space="preserve"> (Act)</w:t>
      </w:r>
      <w:r w:rsidRPr="00393709" w:rsidR="005F38FF">
        <w:rPr>
          <w:color w:val="000000"/>
          <w:szCs w:val="22"/>
        </w:rPr>
        <w:t xml:space="preserve">, </w:t>
      </w:r>
      <w:r w:rsidR="000839BC">
        <w:rPr>
          <w:color w:val="000000"/>
          <w:szCs w:val="22"/>
        </w:rPr>
        <w:t xml:space="preserve">its implementing </w:t>
      </w:r>
      <w:r w:rsidRPr="00393709" w:rsidR="002E5D58">
        <w:rPr>
          <w:color w:val="000000"/>
          <w:szCs w:val="22"/>
        </w:rPr>
        <w:t>rules</w:t>
      </w:r>
      <w:r w:rsidRPr="00393709" w:rsidR="005F38FF">
        <w:rPr>
          <w:color w:val="000000"/>
          <w:szCs w:val="22"/>
        </w:rPr>
        <w:t xml:space="preserve">, the </w:t>
      </w:r>
      <w:r w:rsidR="001A0C9A">
        <w:rPr>
          <w:color w:val="000000"/>
          <w:szCs w:val="22"/>
        </w:rPr>
        <w:t>Commission’s order approving Comcast’s acquisition of NBCUniversal (NBCU)</w:t>
      </w:r>
      <w:r w:rsidRPr="00393709" w:rsidR="002E5D58">
        <w:rPr>
          <w:color w:val="000000"/>
          <w:szCs w:val="22"/>
        </w:rPr>
        <w:t>,</w:t>
      </w:r>
      <w:r>
        <w:rPr>
          <w:rStyle w:val="FootnoteReference"/>
          <w:szCs w:val="22"/>
        </w:rPr>
        <w:footnoteReference w:id="5"/>
      </w:r>
      <w:r w:rsidRPr="00393709" w:rsidR="005F38FF">
        <w:rPr>
          <w:color w:val="000000"/>
          <w:szCs w:val="22"/>
        </w:rPr>
        <w:t xml:space="preserve"> and </w:t>
      </w:r>
      <w:r w:rsidRPr="00393709" w:rsidR="002E5D58">
        <w:rPr>
          <w:color w:val="000000"/>
          <w:szCs w:val="22"/>
        </w:rPr>
        <w:t xml:space="preserve">the </w:t>
      </w:r>
      <w:r w:rsidRPr="001A0C9A" w:rsidR="002E5D58">
        <w:rPr>
          <w:color w:val="000000"/>
          <w:szCs w:val="22"/>
        </w:rPr>
        <w:t>Comcast-NBCU</w:t>
      </w:r>
      <w:r w:rsidRPr="00393709" w:rsidR="002E5D58">
        <w:rPr>
          <w:i/>
          <w:color w:val="000000"/>
          <w:szCs w:val="22"/>
        </w:rPr>
        <w:t xml:space="preserve"> </w:t>
      </w:r>
      <w:r w:rsidRPr="00393709" w:rsidR="005F38FF">
        <w:rPr>
          <w:color w:val="000000"/>
          <w:szCs w:val="22"/>
        </w:rPr>
        <w:t>conditions.</w:t>
      </w:r>
      <w:r>
        <w:rPr>
          <w:rStyle w:val="FootnoteReference"/>
          <w:szCs w:val="22"/>
        </w:rPr>
        <w:footnoteReference w:id="6"/>
      </w:r>
      <w:r w:rsidRPr="00393709" w:rsidR="001835A7">
        <w:rPr>
          <w:color w:val="000000"/>
          <w:szCs w:val="22"/>
        </w:rPr>
        <w:t xml:space="preserve"> </w:t>
      </w:r>
      <w:r w:rsidRPr="00393709" w:rsidR="005F38FF">
        <w:rPr>
          <w:color w:val="000000"/>
          <w:szCs w:val="22"/>
        </w:rPr>
        <w:t xml:space="preserve"> </w:t>
      </w:r>
      <w:r w:rsidR="00727690">
        <w:rPr>
          <w:color w:val="000000"/>
          <w:szCs w:val="22"/>
        </w:rPr>
        <w:t>For the reasons discussed below, w</w:t>
      </w:r>
      <w:r w:rsidRPr="00393709" w:rsidR="006B68FA">
        <w:rPr>
          <w:color w:val="000000"/>
          <w:szCs w:val="22"/>
        </w:rPr>
        <w:t>e d</w:t>
      </w:r>
      <w:r w:rsidR="00280ABC">
        <w:rPr>
          <w:color w:val="000000"/>
          <w:szCs w:val="22"/>
        </w:rPr>
        <w:t>ismiss</w:t>
      </w:r>
      <w:r w:rsidRPr="00393709" w:rsidR="006B68FA">
        <w:rPr>
          <w:color w:val="000000"/>
          <w:szCs w:val="22"/>
        </w:rPr>
        <w:t xml:space="preserve"> </w:t>
      </w:r>
      <w:r w:rsidR="00D05284">
        <w:rPr>
          <w:color w:val="000000"/>
          <w:szCs w:val="22"/>
        </w:rPr>
        <w:t>LBI’s</w:t>
      </w:r>
      <w:r w:rsidRPr="00393709" w:rsidR="002E5D58">
        <w:rPr>
          <w:color w:val="000000"/>
          <w:szCs w:val="22"/>
        </w:rPr>
        <w:t xml:space="preserve"> </w:t>
      </w:r>
      <w:r w:rsidR="00FC0B82">
        <w:rPr>
          <w:color w:val="000000"/>
          <w:szCs w:val="22"/>
        </w:rPr>
        <w:t>P</w:t>
      </w:r>
      <w:r w:rsidRPr="00393709" w:rsidR="006B68FA">
        <w:rPr>
          <w:color w:val="000000"/>
          <w:szCs w:val="22"/>
        </w:rPr>
        <w:t>etiti</w:t>
      </w:r>
      <w:r w:rsidR="003E512C">
        <w:rPr>
          <w:color w:val="000000"/>
          <w:szCs w:val="22"/>
        </w:rPr>
        <w:t>on</w:t>
      </w:r>
      <w:r w:rsidRPr="00393709" w:rsidR="002E5D58">
        <w:rPr>
          <w:color w:val="000000"/>
          <w:szCs w:val="22"/>
        </w:rPr>
        <w:t>.</w:t>
      </w:r>
      <w:r>
        <w:rPr>
          <w:rStyle w:val="FootnoteReference"/>
          <w:szCs w:val="22"/>
        </w:rPr>
        <w:footnoteReference w:id="7"/>
      </w:r>
      <w:r w:rsidR="00683B34">
        <w:t xml:space="preserve"> </w:t>
      </w:r>
    </w:p>
    <w:p w:rsidR="00061559" w:rsidP="00061559" w14:paraId="3628617C" w14:textId="77777777">
      <w:pPr>
        <w:pStyle w:val="Heading1"/>
      </w:pPr>
      <w:r>
        <w:t>background</w:t>
      </w:r>
    </w:p>
    <w:p w:rsidR="00B014CD" w:rsidRPr="00B014CD" w:rsidP="001B2862" w14:paraId="2F2A295C" w14:textId="5263F596">
      <w:pPr>
        <w:pStyle w:val="ParaNum"/>
        <w:numPr>
          <w:ilvl w:val="0"/>
          <w:numId w:val="2"/>
        </w:numPr>
        <w:tabs>
          <w:tab w:val="clear" w:pos="1080"/>
          <w:tab w:val="num" w:pos="1440"/>
        </w:tabs>
        <w:rPr>
          <w:color w:val="000000"/>
        </w:rPr>
      </w:pPr>
      <w:r>
        <w:t xml:space="preserve">Section 616 of the Act governs “program carriage agreements and related practices </w:t>
      </w:r>
      <w:r>
        <w:t>between [</w:t>
      </w:r>
      <w:r w:rsidR="00F44FBC">
        <w:t>multichannel video programming distributors (</w:t>
      </w:r>
      <w:r>
        <w:t>MVPDs</w:t>
      </w:r>
      <w:r w:rsidR="00F44FBC">
        <w:t>)</w:t>
      </w:r>
      <w:r>
        <w:t>] and video programming vendors.”</w:t>
      </w:r>
      <w:r>
        <w:rPr>
          <w:rStyle w:val="FootnoteReference"/>
        </w:rPr>
        <w:footnoteReference w:id="8"/>
      </w:r>
      <w:r>
        <w:t xml:space="preserve">  </w:t>
      </w:r>
      <w:r w:rsidR="000151E4">
        <w:t xml:space="preserve">Under </w:t>
      </w:r>
      <w:r w:rsidR="00586427">
        <w:t>s</w:t>
      </w:r>
      <w:r w:rsidRPr="009E2F65" w:rsidR="005C3769">
        <w:t>ection</w:t>
      </w:r>
      <w:r w:rsidRPr="001B2862" w:rsidR="005C3769">
        <w:rPr>
          <w:color w:val="000000"/>
          <w:szCs w:val="22"/>
        </w:rPr>
        <w:t xml:space="preserve"> </w:t>
      </w:r>
      <w:r w:rsidRPr="001B2862" w:rsidR="005C3769">
        <w:t>616</w:t>
      </w:r>
      <w:r w:rsidRPr="001B2862" w:rsidR="005C3769">
        <w:rPr>
          <w:color w:val="000000"/>
          <w:szCs w:val="22"/>
        </w:rPr>
        <w:t xml:space="preserve">(a) </w:t>
      </w:r>
      <w:r w:rsidRPr="001B2862" w:rsidR="00CC453F">
        <w:rPr>
          <w:color w:val="000000"/>
          <w:szCs w:val="22"/>
        </w:rPr>
        <w:t>and the Commission’s rules</w:t>
      </w:r>
      <w:r w:rsidR="000151E4">
        <w:rPr>
          <w:color w:val="000000"/>
          <w:szCs w:val="22"/>
        </w:rPr>
        <w:t xml:space="preserve">, </w:t>
      </w:r>
      <w:r w:rsidRPr="001B2862" w:rsidR="00CC453F">
        <w:rPr>
          <w:color w:val="000000"/>
          <w:szCs w:val="22"/>
        </w:rPr>
        <w:t>MVPD</w:t>
      </w:r>
      <w:r w:rsidR="001B2862">
        <w:rPr>
          <w:color w:val="000000"/>
          <w:szCs w:val="22"/>
        </w:rPr>
        <w:t>s</w:t>
      </w:r>
      <w:r w:rsidRPr="001B2862" w:rsidR="00CC453F">
        <w:rPr>
          <w:color w:val="000000"/>
          <w:szCs w:val="22"/>
        </w:rPr>
        <w:t xml:space="preserve"> </w:t>
      </w:r>
      <w:r w:rsidR="000151E4">
        <w:rPr>
          <w:color w:val="000000"/>
          <w:szCs w:val="22"/>
        </w:rPr>
        <w:t xml:space="preserve">are prohibited </w:t>
      </w:r>
      <w:r w:rsidRPr="001B2862" w:rsidR="00CC453F">
        <w:rPr>
          <w:color w:val="000000"/>
          <w:szCs w:val="22"/>
        </w:rPr>
        <w:t xml:space="preserve">from:  (i) </w:t>
      </w:r>
      <w:r w:rsidR="00147AED">
        <w:t xml:space="preserve">requiring a financial </w:t>
      </w:r>
      <w:bookmarkStart w:id="0" w:name="_GoBack"/>
      <w:bookmarkEnd w:id="0"/>
      <w:r w:rsidR="00147AED">
        <w:t>interest in a program service as a condition for carriage</w:t>
      </w:r>
      <w:r w:rsidR="001B2862">
        <w:t xml:space="preserve"> on their systems</w:t>
      </w:r>
      <w:r w:rsidR="008C473A">
        <w:t>;</w:t>
      </w:r>
      <w:r>
        <w:rPr>
          <w:rStyle w:val="FootnoteReference"/>
        </w:rPr>
        <w:footnoteReference w:id="9"/>
      </w:r>
      <w:r w:rsidR="008C473A">
        <w:t xml:space="preserve"> and</w:t>
      </w:r>
      <w:r w:rsidR="001B2862">
        <w:t xml:space="preserve"> (ii) </w:t>
      </w:r>
      <w:r w:rsidR="005C3769">
        <w:t xml:space="preserve">engaging in conduct </w:t>
      </w:r>
      <w:r w:rsidR="001B2862">
        <w:t>“</w:t>
      </w:r>
      <w:r w:rsidR="005C3769">
        <w:t>the effect of which is to unreasonably restrain the ability of an unaffiliated video programming vendor to compete fairly by discriminating in video programming distribution on the basis of affiliation or nonaffiliation of vendors in the selection, terms, or conditions for carriage of video programming</w:t>
      </w:r>
      <w:r w:rsidR="008C473A">
        <w:t>.</w:t>
      </w:r>
      <w:r w:rsidR="001B2862">
        <w:t>”</w:t>
      </w:r>
      <w:r>
        <w:rPr>
          <w:rStyle w:val="FootnoteReference"/>
          <w:color w:val="000000"/>
          <w:szCs w:val="22"/>
        </w:rPr>
        <w:footnoteReference w:id="10"/>
      </w:r>
      <w:r w:rsidR="005C3769">
        <w:t xml:space="preserve"> </w:t>
      </w:r>
      <w:r w:rsidR="001B2862">
        <w:t xml:space="preserve"> </w:t>
      </w:r>
      <w:r w:rsidR="000151E4">
        <w:t>T</w:t>
      </w:r>
      <w:r w:rsidR="001B2862">
        <w:t xml:space="preserve">he Commission’s </w:t>
      </w:r>
      <w:r w:rsidRPr="00B014CD">
        <w:rPr>
          <w:color w:val="000000"/>
        </w:rPr>
        <w:t>rules</w:t>
      </w:r>
      <w:r w:rsidR="000151E4">
        <w:rPr>
          <w:color w:val="000000"/>
        </w:rPr>
        <w:t xml:space="preserve"> permit</w:t>
      </w:r>
      <w:r w:rsidRPr="00B014CD">
        <w:rPr>
          <w:color w:val="000000"/>
        </w:rPr>
        <w:t xml:space="preserve"> “[a]ny video programming vendor </w:t>
      </w:r>
      <w:r w:rsidR="001B2862">
        <w:rPr>
          <w:color w:val="000000"/>
        </w:rPr>
        <w:t xml:space="preserve">. . . </w:t>
      </w:r>
      <w:r w:rsidRPr="00B014CD">
        <w:rPr>
          <w:color w:val="000000"/>
        </w:rPr>
        <w:t>aggrieved by conduct that it believes constitute a violation of the [program carriage provisions]”</w:t>
      </w:r>
      <w:r w:rsidR="001B2862">
        <w:rPr>
          <w:color w:val="000000"/>
        </w:rPr>
        <w:t xml:space="preserve"> </w:t>
      </w:r>
      <w:r w:rsidR="000151E4">
        <w:rPr>
          <w:color w:val="000000"/>
        </w:rPr>
        <w:t xml:space="preserve">to </w:t>
      </w:r>
      <w:r w:rsidR="001B2862">
        <w:rPr>
          <w:color w:val="000000"/>
        </w:rPr>
        <w:t>bring a program carriage complaint to the Commission</w:t>
      </w:r>
      <w:r w:rsidR="00B424C1">
        <w:rPr>
          <w:color w:val="000000"/>
        </w:rPr>
        <w:t xml:space="preserve"> and establish specific procedures for review</w:t>
      </w:r>
      <w:r w:rsidR="001B2862">
        <w:rPr>
          <w:color w:val="000000"/>
        </w:rPr>
        <w:t>.</w:t>
      </w:r>
      <w:r>
        <w:rPr>
          <w:sz w:val="20"/>
          <w:vertAlign w:val="superscript"/>
        </w:rPr>
        <w:footnoteReference w:id="11"/>
      </w:r>
      <w:r w:rsidR="000151E4">
        <w:rPr>
          <w:color w:val="000000"/>
        </w:rPr>
        <w:t xml:space="preserve"> </w:t>
      </w:r>
      <w:r w:rsidRPr="00B014CD">
        <w:rPr>
          <w:color w:val="000000"/>
        </w:rPr>
        <w:t xml:space="preserve">  </w:t>
      </w:r>
    </w:p>
    <w:p w:rsidR="0016617D" w:rsidRPr="00A6774C" w:rsidP="00333585" w14:paraId="22C078C7" w14:textId="5D594035">
      <w:pPr>
        <w:pStyle w:val="ParaNum"/>
        <w:numPr>
          <w:ilvl w:val="0"/>
          <w:numId w:val="2"/>
        </w:numPr>
        <w:tabs>
          <w:tab w:val="clear" w:pos="1080"/>
          <w:tab w:val="num" w:pos="1440"/>
        </w:tabs>
        <w:rPr>
          <w:b/>
        </w:rPr>
      </w:pPr>
      <w:r>
        <w:t>Other provisions of the Act</w:t>
      </w:r>
      <w:r w:rsidR="001F5209">
        <w:t>,</w:t>
      </w:r>
      <w:r>
        <w:t xml:space="preserve"> sections 614 and 325</w:t>
      </w:r>
      <w:r w:rsidR="001F5209">
        <w:t>,</w:t>
      </w:r>
      <w:r w:rsidR="000151E4">
        <w:t xml:space="preserve"> </w:t>
      </w:r>
      <w:r w:rsidR="00C41546">
        <w:t>set forth the mandatory carriage (must carry) and retransmission consent rights of television broadcast</w:t>
      </w:r>
      <w:r w:rsidR="003B4256">
        <w:t xml:space="preserve"> stations</w:t>
      </w:r>
      <w:r>
        <w:t>, respectively</w:t>
      </w:r>
      <w:r w:rsidR="00C41546">
        <w:t xml:space="preserve">.  </w:t>
      </w:r>
      <w:r w:rsidR="00025B93">
        <w:t xml:space="preserve">Under these provisions, </w:t>
      </w:r>
      <w:r w:rsidR="003B4256">
        <w:t xml:space="preserve">a television </w:t>
      </w:r>
      <w:r w:rsidR="00025B93">
        <w:t>broadcast</w:t>
      </w:r>
      <w:r w:rsidR="003B4256">
        <w:t xml:space="preserve"> station</w:t>
      </w:r>
      <w:r w:rsidR="00025B93">
        <w:t xml:space="preserve"> must elect every three years whether to pursue </w:t>
      </w:r>
      <w:r w:rsidR="003B4256">
        <w:t xml:space="preserve">cable </w:t>
      </w:r>
      <w:r w:rsidR="00025B93">
        <w:t xml:space="preserve">carriage of </w:t>
      </w:r>
      <w:r w:rsidR="004B4E68">
        <w:t xml:space="preserve">its </w:t>
      </w:r>
      <w:r w:rsidR="00025B93">
        <w:t>broadcast signal under the retransmission consent requirements of section 325 of the Act, or the must carry requirements of section 614.</w:t>
      </w:r>
      <w:r>
        <w:rPr>
          <w:rStyle w:val="FootnoteReference"/>
        </w:rPr>
        <w:footnoteReference w:id="12"/>
      </w:r>
      <w:r w:rsidR="00025B93">
        <w:t xml:space="preserve">  </w:t>
      </w:r>
      <w:r>
        <w:t>A</w:t>
      </w:r>
      <w:r w:rsidR="001F5036">
        <w:t xml:space="preserve"> broadcast</w:t>
      </w:r>
      <w:r w:rsidR="003B4256">
        <w:t xml:space="preserve"> station</w:t>
      </w:r>
      <w:r w:rsidR="001F5036">
        <w:t xml:space="preserve"> </w:t>
      </w:r>
      <w:r>
        <w:t xml:space="preserve">that </w:t>
      </w:r>
      <w:r w:rsidR="001F5036">
        <w:t>elect</w:t>
      </w:r>
      <w:r>
        <w:t>s</w:t>
      </w:r>
      <w:r w:rsidR="001F5036">
        <w:t xml:space="preserve"> must carry is guaranteed carriage on cable systems in its market</w:t>
      </w:r>
      <w:r>
        <w:t>; however,</w:t>
      </w:r>
      <w:r w:rsidR="001F5036">
        <w:t xml:space="preserve"> </w:t>
      </w:r>
      <w:r>
        <w:t xml:space="preserve">it </w:t>
      </w:r>
      <w:r w:rsidR="006805CA">
        <w:t>is entitled to</w:t>
      </w:r>
      <w:r>
        <w:t xml:space="preserve"> no compensation from </w:t>
      </w:r>
      <w:r w:rsidR="006805CA">
        <w:t>a</w:t>
      </w:r>
      <w:r w:rsidR="001F5036">
        <w:t xml:space="preserve"> cable operator </w:t>
      </w:r>
      <w:r>
        <w:t xml:space="preserve">for </w:t>
      </w:r>
      <w:r w:rsidR="005E21BD">
        <w:t>that</w:t>
      </w:r>
      <w:r>
        <w:t xml:space="preserve"> </w:t>
      </w:r>
      <w:r w:rsidR="001F5036">
        <w:t>carriage.</w:t>
      </w:r>
      <w:r>
        <w:rPr>
          <w:rStyle w:val="FootnoteReference"/>
        </w:rPr>
        <w:footnoteReference w:id="13"/>
      </w:r>
      <w:r w:rsidR="001F5036">
        <w:t xml:space="preserve">  </w:t>
      </w:r>
      <w:r w:rsidR="000839BC">
        <w:t>A</w:t>
      </w:r>
      <w:r w:rsidR="001F5036">
        <w:t xml:space="preserve"> broadcast</w:t>
      </w:r>
      <w:r w:rsidR="004B4E68">
        <w:t xml:space="preserve"> station</w:t>
      </w:r>
      <w:r w:rsidR="001F5036">
        <w:t xml:space="preserve"> </w:t>
      </w:r>
      <w:r>
        <w:t xml:space="preserve">that </w:t>
      </w:r>
      <w:r w:rsidR="001F5036">
        <w:t>elect</w:t>
      </w:r>
      <w:r>
        <w:t>s</w:t>
      </w:r>
      <w:r w:rsidR="001F5036">
        <w:t xml:space="preserve"> retransmission consent</w:t>
      </w:r>
      <w:r w:rsidR="000839BC">
        <w:t>, by contrast,</w:t>
      </w:r>
      <w:r w:rsidR="001F5036">
        <w:t xml:space="preserve"> </w:t>
      </w:r>
      <w:r w:rsidR="006805CA">
        <w:t xml:space="preserve">may </w:t>
      </w:r>
      <w:r w:rsidR="001F5036">
        <w:t xml:space="preserve">negotiate with </w:t>
      </w:r>
      <w:r w:rsidR="006805CA">
        <w:t>a</w:t>
      </w:r>
      <w:r w:rsidR="001F5036">
        <w:t xml:space="preserve"> cable operator </w:t>
      </w:r>
      <w:r w:rsidR="00585D1B">
        <w:t>(</w:t>
      </w:r>
      <w:r w:rsidR="008C473A">
        <w:t>or satellite provider</w:t>
      </w:r>
      <w:r w:rsidR="00585D1B">
        <w:t>)</w:t>
      </w:r>
      <w:r w:rsidR="008C473A">
        <w:t xml:space="preserve"> </w:t>
      </w:r>
      <w:r w:rsidR="001F5036">
        <w:t>for compensation.</w:t>
      </w:r>
      <w:r>
        <w:rPr>
          <w:rStyle w:val="FootnoteReference"/>
        </w:rPr>
        <w:footnoteReference w:id="14"/>
      </w:r>
      <w:r w:rsidR="001F5036">
        <w:t xml:space="preserve">  </w:t>
      </w:r>
      <w:r w:rsidR="00E953FB">
        <w:t>The Act and the Commission’s rules prohibit MVPDs and television broadcast stations from failing to negotiate retransmission consent in good faith.</w:t>
      </w:r>
      <w:r>
        <w:rPr>
          <w:rStyle w:val="FootnoteReference"/>
        </w:rPr>
        <w:footnoteReference w:id="15"/>
      </w:r>
      <w:r w:rsidR="00E953FB">
        <w:t xml:space="preserve">  </w:t>
      </w:r>
      <w:r w:rsidR="00B424C1">
        <w:t xml:space="preserve">  </w:t>
      </w:r>
    </w:p>
    <w:p w:rsidR="006202B3" w:rsidRPr="00280ABC" w:rsidP="00F02279" w14:paraId="37C829EC" w14:textId="77F980B2">
      <w:pPr>
        <w:pStyle w:val="ParaNum"/>
        <w:numPr>
          <w:ilvl w:val="0"/>
          <w:numId w:val="2"/>
        </w:numPr>
        <w:tabs>
          <w:tab w:val="clear" w:pos="1080"/>
          <w:tab w:val="num" w:pos="1440"/>
        </w:tabs>
        <w:rPr>
          <w:b/>
        </w:rPr>
      </w:pPr>
      <w:r>
        <w:t>LBI</w:t>
      </w:r>
      <w:r w:rsidR="00333585">
        <w:t xml:space="preserve"> is </w:t>
      </w:r>
      <w:r>
        <w:t xml:space="preserve">a television </w:t>
      </w:r>
      <w:r w:rsidRPr="006D5D6D">
        <w:t>broadcast</w:t>
      </w:r>
      <w:r>
        <w:t xml:space="preserve"> station licensee</w:t>
      </w:r>
      <w:r w:rsidR="00333585">
        <w:t xml:space="preserve"> whose Spanish language television network,</w:t>
      </w:r>
      <w:r>
        <w:t xml:space="preserve"> Estrella TV</w:t>
      </w:r>
      <w:r w:rsidR="00333585">
        <w:t xml:space="preserve">, is distributed </w:t>
      </w:r>
      <w:r w:rsidR="00B424C1">
        <w:t xml:space="preserve">on </w:t>
      </w:r>
      <w:r w:rsidR="00261B3B">
        <w:t>both LBI-</w:t>
      </w:r>
      <w:r w:rsidR="00321674">
        <w:t xml:space="preserve">owned and non-owned </w:t>
      </w:r>
      <w:r w:rsidR="004B7649">
        <w:t xml:space="preserve">television station </w:t>
      </w:r>
      <w:r w:rsidR="00321674">
        <w:t>affiliates</w:t>
      </w:r>
      <w:r w:rsidR="007B3759">
        <w:t xml:space="preserve"> </w:t>
      </w:r>
      <w:r w:rsidR="00B424C1">
        <w:t xml:space="preserve">and MVPD systems </w:t>
      </w:r>
      <w:r w:rsidR="00321674">
        <w:t>in various markets nationwide</w:t>
      </w:r>
      <w:r>
        <w:t>.</w:t>
      </w:r>
      <w:r>
        <w:rPr>
          <w:rStyle w:val="FootnoteReference"/>
        </w:rPr>
        <w:footnoteReference w:id="16"/>
      </w:r>
      <w:r>
        <w:t xml:space="preserve">  </w:t>
      </w:r>
      <w:r>
        <w:t>Comcast is the largest cable-only MVPD in the U.S</w:t>
      </w:r>
      <w:r w:rsidR="00F2382B">
        <w:t>.</w:t>
      </w:r>
      <w:r>
        <w:rPr>
          <w:rStyle w:val="FootnoteReference"/>
        </w:rPr>
        <w:footnoteReference w:id="17"/>
      </w:r>
      <w:r>
        <w:t xml:space="preserve">  Comcast has an ownership interest in several programming networks</w:t>
      </w:r>
      <w:r w:rsidR="004B7649">
        <w:t>,</w:t>
      </w:r>
      <w:r>
        <w:t xml:space="preserve"> including </w:t>
      </w:r>
      <w:r w:rsidR="00B57124">
        <w:t xml:space="preserve">the </w:t>
      </w:r>
      <w:r>
        <w:t>two Spanish language networks</w:t>
      </w:r>
      <w:r w:rsidR="00B57124">
        <w:t xml:space="preserve"> relevant to this proceeding</w:t>
      </w:r>
      <w:r>
        <w:t>, Telemundo and NBC Universo</w:t>
      </w:r>
      <w:r w:rsidR="00B57124">
        <w:t xml:space="preserve">.  Comcast </w:t>
      </w:r>
      <w:r>
        <w:t xml:space="preserve">distributes </w:t>
      </w:r>
      <w:r w:rsidR="00B57124">
        <w:t xml:space="preserve">Telemundo </w:t>
      </w:r>
      <w:r w:rsidR="00B57124">
        <w:t xml:space="preserve">and NBC Universo </w:t>
      </w:r>
      <w:r>
        <w:t xml:space="preserve">on its </w:t>
      </w:r>
      <w:r w:rsidR="00F2382B">
        <w:t xml:space="preserve">own </w:t>
      </w:r>
      <w:r>
        <w:t>systems</w:t>
      </w:r>
      <w:r w:rsidR="008C473A">
        <w:t xml:space="preserve"> </w:t>
      </w:r>
      <w:r w:rsidR="00F2382B">
        <w:t xml:space="preserve">as well as </w:t>
      </w:r>
      <w:r w:rsidR="00D97DE5">
        <w:t>th</w:t>
      </w:r>
      <w:r w:rsidR="004B4E68">
        <w:t>ose</w:t>
      </w:r>
      <w:r w:rsidR="00D97DE5">
        <w:t xml:space="preserve"> of other MVPDs</w:t>
      </w:r>
      <w:r>
        <w:t>.</w:t>
      </w:r>
      <w:r>
        <w:rPr>
          <w:rStyle w:val="FootnoteReference"/>
        </w:rPr>
        <w:footnoteReference w:id="18"/>
      </w:r>
      <w:r>
        <w:t xml:space="preserve">  </w:t>
      </w:r>
    </w:p>
    <w:p w:rsidR="00A458F4" w:rsidRPr="00A458F4" w:rsidP="009E2F65" w14:paraId="023FC588" w14:textId="3A2F147F">
      <w:pPr>
        <w:pStyle w:val="ParaNum"/>
        <w:numPr>
          <w:ilvl w:val="0"/>
          <w:numId w:val="2"/>
        </w:numPr>
        <w:tabs>
          <w:tab w:val="clear" w:pos="1080"/>
          <w:tab w:val="num" w:pos="1440"/>
        </w:tabs>
        <w:rPr>
          <w:b/>
        </w:rPr>
      </w:pPr>
      <w:r>
        <w:t xml:space="preserve">Prior to </w:t>
      </w:r>
      <w:r w:rsidR="00EA6B43">
        <w:t>2015</w:t>
      </w:r>
      <w:r w:rsidR="00BE3EAA">
        <w:t>,</w:t>
      </w:r>
      <w:r w:rsidR="000C7633">
        <w:t xml:space="preserve"> Comcast </w:t>
      </w:r>
      <w:r w:rsidR="00705668">
        <w:t xml:space="preserve">distributed </w:t>
      </w:r>
      <w:r w:rsidR="000C7633">
        <w:t xml:space="preserve">Estrella TV </w:t>
      </w:r>
      <w:r w:rsidR="00BE3EAA">
        <w:t>in the Houston, Denver, and Salt Lake City markets</w:t>
      </w:r>
      <w:r w:rsidR="00DB085B">
        <w:t>, which are</w:t>
      </w:r>
      <w:r w:rsidR="00BE3EAA">
        <w:t xml:space="preserve"> </w:t>
      </w:r>
      <w:r w:rsidR="007A01D2">
        <w:t>the core markets at issue in</w:t>
      </w:r>
      <w:r w:rsidR="00BE3EAA">
        <w:t xml:space="preserve"> </w:t>
      </w:r>
      <w:r>
        <w:t>LBI’s program carriage complaint</w:t>
      </w:r>
      <w:r w:rsidR="00DB085B">
        <w:t>,</w:t>
      </w:r>
      <w:r>
        <w:t xml:space="preserve"> </w:t>
      </w:r>
      <w:r w:rsidR="00705668">
        <w:t>pursuant to “must carry</w:t>
      </w:r>
      <w:r w:rsidR="005E2AEE">
        <w:t>.</w:t>
      </w:r>
      <w:r w:rsidR="00705668">
        <w:t>”</w:t>
      </w:r>
      <w:r>
        <w:rPr>
          <w:rStyle w:val="FootnoteReference"/>
        </w:rPr>
        <w:footnoteReference w:id="19"/>
      </w:r>
      <w:r w:rsidR="000C7633">
        <w:t xml:space="preserve">  </w:t>
      </w:r>
      <w:r w:rsidR="00DB085B">
        <w:t>I</w:t>
      </w:r>
      <w:r>
        <w:t>n</w:t>
      </w:r>
      <w:r w:rsidR="000C7633">
        <w:t xml:space="preserve"> </w:t>
      </w:r>
      <w:r w:rsidR="006A4F00">
        <w:t>the autumn of</w:t>
      </w:r>
      <w:r w:rsidR="000C7633">
        <w:t xml:space="preserve"> 2014, LBI </w:t>
      </w:r>
      <w:r w:rsidR="00DB085B">
        <w:t>elected</w:t>
      </w:r>
      <w:r w:rsidR="000C7633">
        <w:t xml:space="preserve"> retransmission consent rather than must-carry </w:t>
      </w:r>
      <w:r w:rsidR="007A01D2">
        <w:t xml:space="preserve">for </w:t>
      </w:r>
      <w:r w:rsidR="00AE5E03">
        <w:t xml:space="preserve">all of </w:t>
      </w:r>
      <w:r w:rsidR="0074791F">
        <w:t>its owned and operated stations</w:t>
      </w:r>
      <w:r w:rsidR="00AE5E03">
        <w:t>, including those in the three markets</w:t>
      </w:r>
      <w:r>
        <w:t xml:space="preserve"> noted above</w:t>
      </w:r>
      <w:r w:rsidR="00AE5E03">
        <w:t>,</w:t>
      </w:r>
      <w:r w:rsidR="007F2116">
        <w:t xml:space="preserve"> </w:t>
      </w:r>
      <w:r w:rsidR="000C7633">
        <w:t xml:space="preserve">for the </w:t>
      </w:r>
      <w:r w:rsidR="00B57124">
        <w:t xml:space="preserve">election </w:t>
      </w:r>
      <w:r w:rsidR="000C7633">
        <w:t xml:space="preserve">cycle </w:t>
      </w:r>
      <w:r w:rsidR="00B57124">
        <w:t xml:space="preserve">that commenced </w:t>
      </w:r>
      <w:r w:rsidR="003427C9">
        <w:t>in</w:t>
      </w:r>
      <w:r w:rsidR="000C7633">
        <w:t xml:space="preserve"> January 2015.</w:t>
      </w:r>
      <w:r>
        <w:rPr>
          <w:rStyle w:val="FootnoteReference"/>
        </w:rPr>
        <w:footnoteReference w:id="20"/>
      </w:r>
      <w:r w:rsidR="000C7633">
        <w:t xml:space="preserve">  </w:t>
      </w:r>
      <w:r w:rsidR="008736AC">
        <w:t xml:space="preserve">The parties </w:t>
      </w:r>
      <w:r w:rsidR="0061182E">
        <w:t>subsequently</w:t>
      </w:r>
      <w:r w:rsidR="007A01D2">
        <w:t xml:space="preserve"> </w:t>
      </w:r>
      <w:r w:rsidR="008736AC">
        <w:t xml:space="preserve">engaged in retransmission consent negotiations, but Comcast </w:t>
      </w:r>
      <w:r w:rsidR="00B57124">
        <w:t xml:space="preserve">declined to </w:t>
      </w:r>
      <w:r w:rsidR="008736AC">
        <w:t>expand its carriage of Estrella TV</w:t>
      </w:r>
      <w:r w:rsidR="00B57124">
        <w:t xml:space="preserve"> </w:t>
      </w:r>
      <w:r w:rsidR="008736AC">
        <w:t>or to compensate LBI for that carriage</w:t>
      </w:r>
      <w:r w:rsidR="007A01D2">
        <w:t>.</w:t>
      </w:r>
      <w:r>
        <w:rPr>
          <w:rStyle w:val="FootnoteReference"/>
        </w:rPr>
        <w:footnoteReference w:id="21"/>
      </w:r>
      <w:r w:rsidR="007109B2">
        <w:t xml:space="preserve"> </w:t>
      </w:r>
      <w:r w:rsidR="008E468B">
        <w:t xml:space="preserve"> </w:t>
      </w:r>
      <w:r w:rsidR="007A01D2">
        <w:t xml:space="preserve">According to Comcast, this decision was </w:t>
      </w:r>
      <w:r w:rsidR="008E468B">
        <w:t>b</w:t>
      </w:r>
      <w:r>
        <w:t xml:space="preserve">ased on its assessment </w:t>
      </w:r>
      <w:r w:rsidR="008E468B">
        <w:t>that Estrella TV “was not a particularly popular network among Hispanic audiences.”</w:t>
      </w:r>
      <w:r>
        <w:rPr>
          <w:rStyle w:val="FootnoteReference"/>
        </w:rPr>
        <w:footnoteReference w:id="22"/>
      </w:r>
      <w:r w:rsidR="008736AC">
        <w:t xml:space="preserve">  </w:t>
      </w:r>
      <w:r w:rsidR="008E468B">
        <w:t>I</w:t>
      </w:r>
      <w:r w:rsidR="008736AC">
        <w:t>n February 2015, Comcast ceased carrying Estrella TV in th</w:t>
      </w:r>
      <w:r w:rsidR="008E468B">
        <w:t>e Houston, Denver, and Salt Lake City markets</w:t>
      </w:r>
      <w:r w:rsidR="008736AC">
        <w:t>.</w:t>
      </w:r>
      <w:r>
        <w:rPr>
          <w:rStyle w:val="FootnoteReference"/>
        </w:rPr>
        <w:footnoteReference w:id="23"/>
      </w:r>
      <w:r w:rsidR="000F3D0A">
        <w:t xml:space="preserve">  </w:t>
      </w:r>
    </w:p>
    <w:p w:rsidR="007E425E" w:rsidRPr="002D43A9" w:rsidP="007E425E" w14:paraId="2105C7B8" w14:textId="6C47476A">
      <w:pPr>
        <w:pStyle w:val="ParaNum"/>
        <w:numPr>
          <w:ilvl w:val="0"/>
          <w:numId w:val="2"/>
        </w:numPr>
        <w:tabs>
          <w:tab w:val="clear" w:pos="1080"/>
          <w:tab w:val="num" w:pos="1440"/>
        </w:tabs>
      </w:pPr>
      <w:r>
        <w:t xml:space="preserve">LBI </w:t>
      </w:r>
      <w:r w:rsidR="007A01D2">
        <w:t xml:space="preserve">filed </w:t>
      </w:r>
      <w:r>
        <w:t>its program carriage complaint in April 2016</w:t>
      </w:r>
      <w:r w:rsidRPr="00C84712" w:rsidR="00C84712">
        <w:rPr>
          <w:color w:val="000000" w:themeColor="text1"/>
        </w:rPr>
        <w:t>, only after the foregoing retransmission consent negotiations had failed to generate carriage</w:t>
      </w:r>
      <w:r>
        <w:t>.</w:t>
      </w:r>
      <w:r>
        <w:rPr>
          <w:rStyle w:val="FootnoteReference"/>
        </w:rPr>
        <w:footnoteReference w:id="24"/>
      </w:r>
      <w:r w:rsidR="00A95A62">
        <w:t xml:space="preserve">  </w:t>
      </w:r>
      <w:r>
        <w:t xml:space="preserve">In its complaint, </w:t>
      </w:r>
      <w:r>
        <w:rPr>
          <w:color w:val="000000"/>
          <w:szCs w:val="22"/>
        </w:rPr>
        <w:t xml:space="preserve">LBI alleged that Comcast discriminated against it in the selection, terms, and conditions of carriage of Estrella TV </w:t>
      </w:r>
      <w:r>
        <w:rPr>
          <w:color w:val="000000"/>
        </w:rPr>
        <w:t>on the basis of affiliation, in violation of s</w:t>
      </w:r>
      <w:r>
        <w:rPr>
          <w:color w:val="000000"/>
          <w:szCs w:val="22"/>
        </w:rPr>
        <w:t xml:space="preserve">ection 616(a)(3) of the Act, section 76.1301(c) of the Commission’s rules, the </w:t>
      </w:r>
      <w:r>
        <w:rPr>
          <w:i/>
          <w:color w:val="000000"/>
          <w:szCs w:val="22"/>
        </w:rPr>
        <w:t xml:space="preserve">Comcast-NBCU </w:t>
      </w:r>
      <w:r w:rsidRPr="007E425E">
        <w:rPr>
          <w:i/>
          <w:color w:val="000000"/>
          <w:szCs w:val="22"/>
        </w:rPr>
        <w:t>Order</w:t>
      </w:r>
      <w:r>
        <w:rPr>
          <w:color w:val="000000"/>
          <w:szCs w:val="22"/>
        </w:rPr>
        <w:t xml:space="preserve">, </w:t>
      </w:r>
      <w:r w:rsidRPr="00173C07">
        <w:rPr>
          <w:color w:val="000000"/>
          <w:szCs w:val="22"/>
        </w:rPr>
        <w:t>and the conditions</w:t>
      </w:r>
      <w:r>
        <w:rPr>
          <w:color w:val="000000"/>
          <w:szCs w:val="22"/>
        </w:rPr>
        <w:t xml:space="preserve"> set forth therein.</w:t>
      </w:r>
      <w:r>
        <w:rPr>
          <w:rStyle w:val="FootnoteReference"/>
          <w:szCs w:val="22"/>
        </w:rPr>
        <w:footnoteReference w:id="25"/>
      </w:r>
      <w:r>
        <w:rPr>
          <w:color w:val="000000"/>
          <w:szCs w:val="22"/>
        </w:rPr>
        <w:t xml:space="preserve">  </w:t>
      </w:r>
      <w:r w:rsidR="004B0A1D">
        <w:rPr>
          <w:color w:val="000000"/>
          <w:szCs w:val="22"/>
        </w:rPr>
        <w:t xml:space="preserve">LBI also alleged that </w:t>
      </w:r>
      <w:r>
        <w:rPr>
          <w:color w:val="000000"/>
          <w:szCs w:val="22"/>
        </w:rPr>
        <w:t xml:space="preserve">Comcast violated section 616(a)(1) of the Act and section 76.1301(a) of the Commission’s rules by requiring </w:t>
      </w:r>
      <w:r w:rsidR="004B0A1D">
        <w:rPr>
          <w:color w:val="000000"/>
          <w:szCs w:val="22"/>
        </w:rPr>
        <w:t>it</w:t>
      </w:r>
      <w:r>
        <w:rPr>
          <w:color w:val="000000"/>
          <w:szCs w:val="22"/>
        </w:rPr>
        <w:t xml:space="preserve"> to provide Comcast with a financial interest in Estrella TV’s digital rights as a condition of carriage.</w:t>
      </w:r>
      <w:r>
        <w:rPr>
          <w:rStyle w:val="FootnoteReference"/>
          <w:szCs w:val="22"/>
        </w:rPr>
        <w:footnoteReference w:id="26"/>
      </w:r>
      <w:r w:rsidR="004B0A1D">
        <w:rPr>
          <w:color w:val="000000"/>
          <w:szCs w:val="22"/>
        </w:rPr>
        <w:t xml:space="preserve">  As relief, </w:t>
      </w:r>
      <w:r w:rsidR="004B0A1D">
        <w:t xml:space="preserve">LBI principally </w:t>
      </w:r>
      <w:r w:rsidR="008821A3">
        <w:t>sought a</w:t>
      </w:r>
      <w:r w:rsidR="004B0A1D">
        <w:t xml:space="preserve"> Commission order </w:t>
      </w:r>
      <w:r w:rsidR="008821A3">
        <w:t xml:space="preserve">directing </w:t>
      </w:r>
      <w:r w:rsidR="004B0A1D">
        <w:t>Comcast “to distribute and compensate Estrella TV on terms comparable to the terms on which Comcast distributes Telemundo.”</w:t>
      </w:r>
      <w:r>
        <w:rPr>
          <w:rStyle w:val="FootnoteReference"/>
        </w:rPr>
        <w:footnoteReference w:id="27"/>
      </w:r>
      <w:r w:rsidR="004B0A1D">
        <w:t xml:space="preserve">  </w:t>
      </w:r>
    </w:p>
    <w:p w:rsidR="004A73EC" w:rsidRPr="004A73EC" w:rsidP="0019305F" w14:paraId="4CD134EB" w14:textId="0CB3831B">
      <w:pPr>
        <w:pStyle w:val="ParaNum"/>
        <w:numPr>
          <w:ilvl w:val="0"/>
          <w:numId w:val="2"/>
        </w:numPr>
        <w:tabs>
          <w:tab w:val="clear" w:pos="1080"/>
          <w:tab w:val="num" w:pos="1440"/>
        </w:tabs>
        <w:rPr>
          <w:b/>
        </w:rPr>
      </w:pPr>
      <w:r>
        <w:t>T</w:t>
      </w:r>
      <w:r w:rsidR="008821A3">
        <w:t xml:space="preserve">he Media Bureau dismissed LBI’s complaint, without prejudice, on the basis that LBI failed to put forth evidence sufficient to establish a </w:t>
      </w:r>
      <w:r w:rsidRPr="004A73EC" w:rsidR="008821A3">
        <w:rPr>
          <w:i/>
        </w:rPr>
        <w:t xml:space="preserve">prima facie </w:t>
      </w:r>
      <w:r w:rsidR="008821A3">
        <w:t>case of</w:t>
      </w:r>
      <w:r>
        <w:t xml:space="preserve"> </w:t>
      </w:r>
      <w:r w:rsidR="008821A3">
        <w:t>program carriage violation</w:t>
      </w:r>
      <w:r>
        <w:t>s</w:t>
      </w:r>
      <w:r w:rsidR="008821A3">
        <w:t>.</w:t>
      </w:r>
      <w:r>
        <w:rPr>
          <w:rStyle w:val="FootnoteReference"/>
        </w:rPr>
        <w:footnoteReference w:id="28"/>
      </w:r>
      <w:r w:rsidR="007E425E">
        <w:t xml:space="preserve">  </w:t>
      </w:r>
      <w:r w:rsidR="00E7171C">
        <w:t>T</w:t>
      </w:r>
      <w:r w:rsidR="004923CD">
        <w:t xml:space="preserve">he Bureau </w:t>
      </w:r>
      <w:r w:rsidR="007E425E">
        <w:t>f</w:t>
      </w:r>
      <w:r w:rsidR="004923CD">
        <w:t>ound</w:t>
      </w:r>
      <w:r w:rsidR="007E425E">
        <w:t xml:space="preserve"> that LBI failed to demonstrate </w:t>
      </w:r>
      <w:r w:rsidR="00054E78">
        <w:t xml:space="preserve">in its complaint </w:t>
      </w:r>
      <w:r w:rsidR="00860EC2">
        <w:t xml:space="preserve">that it has </w:t>
      </w:r>
      <w:r w:rsidR="007E425E">
        <w:t>standing to bring a program carriage complaint because</w:t>
      </w:r>
      <w:r w:rsidR="00875E7C">
        <w:t>, as a broadcast licensee,</w:t>
      </w:r>
      <w:r w:rsidR="007E425E">
        <w:t xml:space="preserve"> </w:t>
      </w:r>
      <w:r w:rsidR="00875E7C">
        <w:t xml:space="preserve">LBI’s </w:t>
      </w:r>
      <w:r w:rsidR="004923CD">
        <w:t xml:space="preserve">owned and operated television </w:t>
      </w:r>
      <w:r w:rsidR="007E425E">
        <w:t xml:space="preserve">broadcast stations </w:t>
      </w:r>
      <w:r w:rsidR="004923CD">
        <w:t>do not constitute</w:t>
      </w:r>
      <w:r w:rsidR="007E425E">
        <w:t xml:space="preserve"> “video programming vendors”</w:t>
      </w:r>
      <w:r w:rsidR="004923CD">
        <w:t xml:space="preserve"> within the meaning of section 616 of the Act</w:t>
      </w:r>
      <w:r>
        <w:rPr>
          <w:rStyle w:val="FootnoteReference"/>
        </w:rPr>
        <w:footnoteReference w:id="29"/>
      </w:r>
      <w:r w:rsidR="004923CD">
        <w:t xml:space="preserve"> </w:t>
      </w:r>
      <w:r w:rsidR="004923CD">
        <w:t>and section 76.1301</w:t>
      </w:r>
      <w:r>
        <w:rPr>
          <w:rStyle w:val="FootnoteReference"/>
        </w:rPr>
        <w:footnoteReference w:id="30"/>
      </w:r>
      <w:r w:rsidR="004923CD">
        <w:t xml:space="preserve"> of the Commission’s rules.</w:t>
      </w:r>
      <w:r>
        <w:rPr>
          <w:rStyle w:val="FootnoteReference"/>
        </w:rPr>
        <w:footnoteReference w:id="31"/>
      </w:r>
      <w:r w:rsidR="007E425E">
        <w:t xml:space="preserve">  For substantially the same reasons, </w:t>
      </w:r>
      <w:r>
        <w:t xml:space="preserve">the Bureau found that </w:t>
      </w:r>
      <w:r w:rsidR="007E425E">
        <w:t xml:space="preserve">LBI failed to </w:t>
      </w:r>
      <w:r w:rsidR="00054E78">
        <w:t xml:space="preserve">establish </w:t>
      </w:r>
      <w:r w:rsidR="007E425E">
        <w:t>that it has standing to bring a program carriage complaint with re</w:t>
      </w:r>
      <w:r>
        <w:t>spect</w:t>
      </w:r>
      <w:r w:rsidR="007E425E">
        <w:t xml:space="preserve"> to its television </w:t>
      </w:r>
      <w:r>
        <w:t xml:space="preserve">broadcast </w:t>
      </w:r>
      <w:r w:rsidR="007E425E">
        <w:t xml:space="preserve">stations under the </w:t>
      </w:r>
      <w:r w:rsidRPr="004A73EC" w:rsidR="007E425E">
        <w:rPr>
          <w:i/>
        </w:rPr>
        <w:t>Comcast-NBCU</w:t>
      </w:r>
      <w:r w:rsidR="007E425E">
        <w:t xml:space="preserve"> </w:t>
      </w:r>
      <w:r w:rsidRPr="004A73EC" w:rsidR="007E425E">
        <w:rPr>
          <w:i/>
        </w:rPr>
        <w:t xml:space="preserve">Order </w:t>
      </w:r>
      <w:r w:rsidR="007E425E">
        <w:t>and conditions.</w:t>
      </w:r>
      <w:r>
        <w:rPr>
          <w:rStyle w:val="FootnoteReference"/>
        </w:rPr>
        <w:footnoteReference w:id="32"/>
      </w:r>
      <w:r w:rsidR="007E425E">
        <w:t xml:space="preserve">  </w:t>
      </w:r>
      <w:r w:rsidR="00B37729">
        <w:rPr>
          <w:color w:val="000000"/>
          <w:szCs w:val="22"/>
        </w:rPr>
        <w:t xml:space="preserve">The Bureau also noted that LBI could bring either a good faith complaint under section 325 of the Act </w:t>
      </w:r>
      <w:r w:rsidRPr="004A73EC" w:rsidR="00B37729">
        <w:rPr>
          <w:color w:val="000000"/>
          <w:szCs w:val="22"/>
        </w:rPr>
        <w:t xml:space="preserve">if it believes that Comcast </w:t>
      </w:r>
      <w:r w:rsidR="00B37729">
        <w:rPr>
          <w:color w:val="000000"/>
          <w:szCs w:val="22"/>
        </w:rPr>
        <w:t xml:space="preserve">has </w:t>
      </w:r>
      <w:r w:rsidRPr="004A73EC" w:rsidR="00B37729">
        <w:rPr>
          <w:color w:val="000000"/>
          <w:szCs w:val="22"/>
        </w:rPr>
        <w:t>fail</w:t>
      </w:r>
      <w:r w:rsidR="00B37729">
        <w:rPr>
          <w:color w:val="000000"/>
          <w:szCs w:val="22"/>
        </w:rPr>
        <w:t>ed</w:t>
      </w:r>
      <w:r w:rsidRPr="004A73EC" w:rsidR="00B37729">
        <w:rPr>
          <w:color w:val="000000"/>
          <w:szCs w:val="22"/>
        </w:rPr>
        <w:t xml:space="preserve"> to negotiate retransmission consent in good faith</w:t>
      </w:r>
      <w:r w:rsidR="00B37729">
        <w:rPr>
          <w:color w:val="000000"/>
          <w:szCs w:val="22"/>
        </w:rPr>
        <w:t xml:space="preserve"> for carriage of </w:t>
      </w:r>
      <w:r w:rsidR="00EF6215">
        <w:rPr>
          <w:color w:val="000000"/>
          <w:szCs w:val="22"/>
        </w:rPr>
        <w:t>its broadcast</w:t>
      </w:r>
      <w:r w:rsidR="00B37729">
        <w:rPr>
          <w:color w:val="000000"/>
          <w:szCs w:val="22"/>
        </w:rPr>
        <w:t xml:space="preserve"> signals, or a program carriage complaint under section 616 with respect to carriage of Estrella TV in non-broadcast markets (including potentially the satellite feed that LBI offers to MVPDs for distribution in “white areas</w:t>
      </w:r>
      <w:r w:rsidR="0037093A">
        <w:rPr>
          <w:color w:val="000000"/>
          <w:szCs w:val="22"/>
        </w:rPr>
        <w:t>,</w:t>
      </w:r>
      <w:r w:rsidR="00B37729">
        <w:rPr>
          <w:color w:val="000000"/>
          <w:szCs w:val="22"/>
        </w:rPr>
        <w:t>”</w:t>
      </w:r>
      <w:r w:rsidR="0037093A">
        <w:rPr>
          <w:color w:val="000000"/>
          <w:szCs w:val="22"/>
        </w:rPr>
        <w:t xml:space="preserve"> areas where </w:t>
      </w:r>
      <w:r w:rsidR="00EF6215">
        <w:rPr>
          <w:color w:val="000000"/>
          <w:szCs w:val="22"/>
        </w:rPr>
        <w:t xml:space="preserve">LBI has neither an </w:t>
      </w:r>
      <w:r w:rsidR="00163F3F">
        <w:rPr>
          <w:color w:val="000000"/>
          <w:szCs w:val="22"/>
        </w:rPr>
        <w:t>owned and operated station nor an affiliate</w:t>
      </w:r>
      <w:r w:rsidR="00B37729">
        <w:rPr>
          <w:color w:val="000000"/>
          <w:szCs w:val="22"/>
        </w:rPr>
        <w:t>).</w:t>
      </w:r>
      <w:r>
        <w:rPr>
          <w:rStyle w:val="FootnoteReference"/>
          <w:szCs w:val="22"/>
        </w:rPr>
        <w:footnoteReference w:id="33"/>
      </w:r>
    </w:p>
    <w:p w:rsidR="00DB671B" w:rsidRPr="00DB4056" w:rsidP="009E2F65" w14:paraId="29F8C718" w14:textId="67C039EA">
      <w:pPr>
        <w:pStyle w:val="ParaNum"/>
        <w:numPr>
          <w:ilvl w:val="0"/>
          <w:numId w:val="2"/>
        </w:numPr>
        <w:tabs>
          <w:tab w:val="clear" w:pos="1080"/>
          <w:tab w:val="num" w:pos="1440"/>
        </w:tabs>
        <w:rPr>
          <w:b/>
        </w:rPr>
      </w:pPr>
      <w:r>
        <w:t xml:space="preserve">LBI </w:t>
      </w:r>
      <w:r w:rsidR="00E7171C">
        <w:t xml:space="preserve">then </w:t>
      </w:r>
      <w:r w:rsidR="00B333D1">
        <w:t xml:space="preserve">filed </w:t>
      </w:r>
      <w:r w:rsidR="00E7171C">
        <w:t xml:space="preserve">the </w:t>
      </w:r>
      <w:r w:rsidR="005E2AEE">
        <w:t xml:space="preserve">instant </w:t>
      </w:r>
      <w:r w:rsidR="00E7171C">
        <w:t>Petitio</w:t>
      </w:r>
      <w:r w:rsidR="00EB6D06">
        <w:t>n.</w:t>
      </w:r>
      <w:r>
        <w:t xml:space="preserve">  </w:t>
      </w:r>
      <w:r w:rsidR="00D63510">
        <w:t xml:space="preserve">LBI </w:t>
      </w:r>
      <w:r w:rsidR="002751EC">
        <w:t>asserts that reconsideration is justified because the Bureau</w:t>
      </w:r>
      <w:r w:rsidR="001E1C27">
        <w:t>’</w:t>
      </w:r>
      <w:r w:rsidR="002751EC">
        <w:t>s finding that LBI</w:t>
      </w:r>
      <w:r w:rsidR="007D1719">
        <w:t xml:space="preserve">, in its capacity as a </w:t>
      </w:r>
      <w:r w:rsidR="006E0B36">
        <w:t xml:space="preserve">television </w:t>
      </w:r>
      <w:r w:rsidR="007D1719">
        <w:t>broadcast</w:t>
      </w:r>
      <w:r w:rsidR="006E0B36">
        <w:t xml:space="preserve"> licensee</w:t>
      </w:r>
      <w:r w:rsidR="007D1719">
        <w:t xml:space="preserve">, </w:t>
      </w:r>
      <w:r w:rsidR="002751EC">
        <w:t xml:space="preserve">is not a “video programming vendor” </w:t>
      </w:r>
      <w:r w:rsidR="009828C5">
        <w:t xml:space="preserve">and thus lacks standing to bring a </w:t>
      </w:r>
      <w:r w:rsidR="002751EC">
        <w:t xml:space="preserve">program carriage </w:t>
      </w:r>
      <w:r w:rsidR="009828C5">
        <w:t>complaint</w:t>
      </w:r>
      <w:r w:rsidR="00726A25">
        <w:t>,</w:t>
      </w:r>
      <w:r w:rsidR="00A524FF">
        <w:t xml:space="preserve"> </w:t>
      </w:r>
      <w:r w:rsidR="002751EC">
        <w:t xml:space="preserve">is contrary to the Act, Commission precedent, and </w:t>
      </w:r>
      <w:r w:rsidR="00C328DE">
        <w:t xml:space="preserve">the factual </w:t>
      </w:r>
      <w:r w:rsidR="002751EC">
        <w:t>record.</w:t>
      </w:r>
      <w:r>
        <w:rPr>
          <w:rStyle w:val="FootnoteReference"/>
        </w:rPr>
        <w:footnoteReference w:id="34"/>
      </w:r>
      <w:r w:rsidR="001E1C27">
        <w:t xml:space="preserve">  </w:t>
      </w:r>
      <w:r w:rsidR="00D4511B">
        <w:t>LBI asserts</w:t>
      </w:r>
      <w:r w:rsidR="00452FD4">
        <w:t>, moreover,</w:t>
      </w:r>
      <w:r w:rsidR="00D4511B">
        <w:t xml:space="preserve"> that the Bureau erred in declining to consider its case in</w:t>
      </w:r>
      <w:r w:rsidR="006E32E8">
        <w:t xml:space="preserve"> white</w:t>
      </w:r>
      <w:r w:rsidR="0009156B">
        <w:t xml:space="preserve"> </w:t>
      </w:r>
      <w:r w:rsidR="00D4511B">
        <w:t>area</w:t>
      </w:r>
      <w:r w:rsidR="006E32E8">
        <w:t xml:space="preserve"> market</w:t>
      </w:r>
      <w:r w:rsidR="00D4511B">
        <w:t>s</w:t>
      </w:r>
      <w:r w:rsidR="0037093A">
        <w:t xml:space="preserve"> </w:t>
      </w:r>
      <w:r w:rsidR="00D4511B">
        <w:t>where Estrella TV is not broadcast</w:t>
      </w:r>
      <w:r w:rsidR="006E32E8">
        <w:t>ed</w:t>
      </w:r>
      <w:r w:rsidR="00865DD4">
        <w:t xml:space="preserve"> </w:t>
      </w:r>
      <w:r w:rsidRPr="00F44FBC" w:rsidR="00865DD4">
        <w:t xml:space="preserve">but is </w:t>
      </w:r>
      <w:r w:rsidR="006E32E8">
        <w:t xml:space="preserve">carried by </w:t>
      </w:r>
      <w:r w:rsidR="00B20875">
        <w:t>an</w:t>
      </w:r>
      <w:r w:rsidR="0009156B">
        <w:t xml:space="preserve"> </w:t>
      </w:r>
      <w:r w:rsidRPr="00F44FBC" w:rsidR="00865DD4">
        <w:t>MVPD</w:t>
      </w:r>
      <w:r w:rsidR="00D4511B">
        <w:t>.</w:t>
      </w:r>
      <w:r>
        <w:rPr>
          <w:rStyle w:val="FootnoteReference"/>
        </w:rPr>
        <w:footnoteReference w:id="35"/>
      </w:r>
      <w:r w:rsidR="00D4511B">
        <w:t xml:space="preserve"> </w:t>
      </w:r>
      <w:r w:rsidR="00FC698D">
        <w:t xml:space="preserve"> </w:t>
      </w:r>
      <w:r w:rsidR="001D3EB9">
        <w:t>LBI a</w:t>
      </w:r>
      <w:r w:rsidR="00614AA9">
        <w:t xml:space="preserve">sks </w:t>
      </w:r>
      <w:r w:rsidR="00B333D1">
        <w:t xml:space="preserve">that </w:t>
      </w:r>
      <w:r w:rsidR="001D3EB9">
        <w:t xml:space="preserve">the Bureau </w:t>
      </w:r>
      <w:r w:rsidR="00614AA9">
        <w:t>vacate</w:t>
      </w:r>
      <w:r w:rsidR="00E7171C">
        <w:t xml:space="preserve"> the </w:t>
      </w:r>
      <w:r w:rsidR="00E7171C">
        <w:rPr>
          <w:i/>
        </w:rPr>
        <w:t>Bureau Order</w:t>
      </w:r>
      <w:r w:rsidR="00614AA9">
        <w:t xml:space="preserve">, find that </w:t>
      </w:r>
      <w:r w:rsidR="00E7171C">
        <w:t>LBI</w:t>
      </w:r>
      <w:r w:rsidR="00614AA9">
        <w:t xml:space="preserve"> has made a </w:t>
      </w:r>
      <w:r w:rsidR="00614AA9">
        <w:rPr>
          <w:i/>
        </w:rPr>
        <w:t xml:space="preserve">prima facie </w:t>
      </w:r>
      <w:r w:rsidR="00614AA9">
        <w:t>case under section 616</w:t>
      </w:r>
      <w:r w:rsidRPr="00B333D1" w:rsidR="00B333D1">
        <w:t xml:space="preserve"> both in </w:t>
      </w:r>
      <w:r w:rsidR="002848D7">
        <w:t>markets</w:t>
      </w:r>
      <w:r w:rsidRPr="00B333D1" w:rsidR="002848D7">
        <w:t xml:space="preserve"> </w:t>
      </w:r>
      <w:r w:rsidRPr="00B333D1" w:rsidR="00B333D1">
        <w:t xml:space="preserve">where Estrella TV is </w:t>
      </w:r>
      <w:r w:rsidR="002433D8">
        <w:t xml:space="preserve">delivered via </w:t>
      </w:r>
      <w:r w:rsidRPr="00B333D1" w:rsidR="00B333D1">
        <w:t xml:space="preserve">broadcast </w:t>
      </w:r>
      <w:r w:rsidR="002433D8">
        <w:t xml:space="preserve">signals </w:t>
      </w:r>
      <w:r w:rsidRPr="00B333D1" w:rsidR="00B333D1">
        <w:t xml:space="preserve">and </w:t>
      </w:r>
      <w:r w:rsidR="002433D8">
        <w:t>those where it is not,</w:t>
      </w:r>
      <w:r w:rsidR="00614AA9">
        <w:t xml:space="preserve"> and </w:t>
      </w:r>
      <w:r w:rsidR="00B333D1">
        <w:t xml:space="preserve">designate the </w:t>
      </w:r>
      <w:r w:rsidR="00614AA9">
        <w:t xml:space="preserve">matter </w:t>
      </w:r>
      <w:r w:rsidR="00B333D1">
        <w:t xml:space="preserve">for hearing before </w:t>
      </w:r>
      <w:r w:rsidR="00614AA9">
        <w:t>an Administrative Law Judge.</w:t>
      </w:r>
      <w:r>
        <w:rPr>
          <w:rStyle w:val="FootnoteReference"/>
        </w:rPr>
        <w:footnoteReference w:id="36"/>
      </w:r>
      <w:r w:rsidR="00614AA9">
        <w:t xml:space="preserve">  </w:t>
      </w:r>
    </w:p>
    <w:p w:rsidR="00061559" w:rsidP="00061559" w14:paraId="4C804D9C" w14:textId="77777777">
      <w:pPr>
        <w:pStyle w:val="Heading1"/>
      </w:pPr>
      <w:r>
        <w:t>discussion</w:t>
      </w:r>
    </w:p>
    <w:p w:rsidR="00C862C0" w:rsidP="0038012D" w14:paraId="4404202A" w14:textId="63F7DEBA">
      <w:pPr>
        <w:pStyle w:val="ParaNum"/>
        <w:numPr>
          <w:ilvl w:val="0"/>
          <w:numId w:val="2"/>
        </w:numPr>
        <w:tabs>
          <w:tab w:val="clear" w:pos="1080"/>
          <w:tab w:val="num" w:pos="1440"/>
        </w:tabs>
      </w:pPr>
      <w:r>
        <w:t>We d</w:t>
      </w:r>
      <w:r w:rsidR="00DB4056">
        <w:t xml:space="preserve">ismiss </w:t>
      </w:r>
      <w:r w:rsidR="00726A25">
        <w:t xml:space="preserve">LBI’s </w:t>
      </w:r>
      <w:r w:rsidR="00FC0B82">
        <w:t>P</w:t>
      </w:r>
      <w:r>
        <w:t xml:space="preserve">etition.  </w:t>
      </w:r>
      <w:r w:rsidRPr="00E54175" w:rsidR="00DB4056">
        <w:t xml:space="preserve">Section </w:t>
      </w:r>
      <w:r w:rsidRPr="008E2CA6" w:rsidR="00DB4056">
        <w:t>1.106(p)</w:t>
      </w:r>
      <w:r w:rsidRPr="00E54175" w:rsidR="00DB4056">
        <w:t xml:space="preserve"> of the </w:t>
      </w:r>
      <w:r w:rsidR="00DB4056">
        <w:t>Commission’s r</w:t>
      </w:r>
      <w:r w:rsidRPr="00E54175" w:rsidR="00DB4056">
        <w:t xml:space="preserve">ules </w:t>
      </w:r>
      <w:r w:rsidR="008E2CA6">
        <w:t xml:space="preserve">permits the Bureau to dismiss or deny </w:t>
      </w:r>
      <w:r w:rsidRPr="00E54175" w:rsidR="00DB4056">
        <w:t xml:space="preserve">“[p]etitions for reconsideration </w:t>
      </w:r>
      <w:r w:rsidR="00DB4056">
        <w:t>. . .</w:t>
      </w:r>
      <w:r w:rsidRPr="00E54175" w:rsidR="00DB4056">
        <w:t xml:space="preserve"> that </w:t>
      </w:r>
      <w:r w:rsidR="00DB4056">
        <w:t>. . .</w:t>
      </w:r>
      <w:r w:rsidRPr="00E54175" w:rsidR="00DB4056">
        <w:t xml:space="preserve"> do not warrant consideration </w:t>
      </w:r>
      <w:r w:rsidR="008E2CA6">
        <w:t xml:space="preserve">. . . </w:t>
      </w:r>
      <w:r w:rsidRPr="00E54175" w:rsidR="00DB4056">
        <w:t>.”</w:t>
      </w:r>
      <w:r>
        <w:rPr>
          <w:rStyle w:val="FootnoteReference"/>
        </w:rPr>
        <w:footnoteReference w:id="37"/>
      </w:r>
      <w:r w:rsidRPr="00E54175" w:rsidR="00DB4056">
        <w:t xml:space="preserve"> </w:t>
      </w:r>
      <w:r w:rsidR="00DB4056">
        <w:t xml:space="preserve"> Such p</w:t>
      </w:r>
      <w:r w:rsidRPr="00E54175" w:rsidR="00DB4056">
        <w:t xml:space="preserve">etitions include those </w:t>
      </w:r>
      <w:r w:rsidR="00DB4056">
        <w:t xml:space="preserve">that </w:t>
      </w:r>
      <w:r w:rsidR="000F60C4">
        <w:t xml:space="preserve">“fail to identify any material error, omission, or reason warranting </w:t>
      </w:r>
      <w:r w:rsidR="000F60C4">
        <w:t xml:space="preserve">reconsideration” or that </w:t>
      </w:r>
      <w:r w:rsidRPr="00E54175" w:rsidR="00DB4056">
        <w:t>rely on “arguments that have been fully considered and rejected by the Commission within the same proceeding</w:t>
      </w:r>
      <w:r w:rsidR="00DB4056">
        <w:t>.</w:t>
      </w:r>
      <w:r w:rsidRPr="00E54175" w:rsidR="00DB4056">
        <w:t>”</w:t>
      </w:r>
      <w:r>
        <w:rPr>
          <w:rStyle w:val="FootnoteReference"/>
        </w:rPr>
        <w:footnoteReference w:id="38"/>
      </w:r>
      <w:r w:rsidRPr="00E54175" w:rsidR="00DB4056">
        <w:t xml:space="preserve"> </w:t>
      </w:r>
      <w:r w:rsidR="00DB4056">
        <w:t xml:space="preserve"> </w:t>
      </w:r>
      <w:r w:rsidR="007D4D76">
        <w:t>LBI</w:t>
      </w:r>
      <w:r w:rsidR="00DB4056">
        <w:t xml:space="preserve"> </w:t>
      </w:r>
      <w:r w:rsidR="00CD36E6">
        <w:t xml:space="preserve">principally argues in its </w:t>
      </w:r>
      <w:r w:rsidR="00DB085B">
        <w:t>P</w:t>
      </w:r>
      <w:r w:rsidR="00DB4056">
        <w:t>etition</w:t>
      </w:r>
      <w:r w:rsidR="00CD36E6">
        <w:t xml:space="preserve"> </w:t>
      </w:r>
      <w:r w:rsidR="00DB4056">
        <w:t>that the term “video programming vendor” in section 616</w:t>
      </w:r>
      <w:r w:rsidR="00921C8F">
        <w:t xml:space="preserve">(b) of the Act </w:t>
      </w:r>
      <w:r w:rsidR="00DB4056">
        <w:t>encompasses television broadcast stations -- an argument that the Bureau speci</w:t>
      </w:r>
      <w:r w:rsidR="007D4D76">
        <w:t xml:space="preserve">fically </w:t>
      </w:r>
      <w:r w:rsidR="00DB4056">
        <w:t>considered and rejected in dismissing LBI’s program carriage complaint.</w:t>
      </w:r>
      <w:r>
        <w:rPr>
          <w:rStyle w:val="FootnoteReference"/>
        </w:rPr>
        <w:footnoteReference w:id="39"/>
      </w:r>
      <w:r w:rsidR="00DB4056">
        <w:t xml:space="preserve">  </w:t>
      </w:r>
      <w:r w:rsidRPr="007D4D76" w:rsidR="007D4D76">
        <w:t xml:space="preserve">In </w:t>
      </w:r>
      <w:r w:rsidR="007D4D76">
        <w:t>particular</w:t>
      </w:r>
      <w:r w:rsidRPr="007D4D76" w:rsidR="007D4D76">
        <w:t xml:space="preserve">, the </w:t>
      </w:r>
      <w:r w:rsidR="007D4D76">
        <w:t>Bureau c</w:t>
      </w:r>
      <w:r w:rsidRPr="007D4D76" w:rsidR="007D4D76">
        <w:t xml:space="preserve">onsidered and rejected arguments that </w:t>
      </w:r>
      <w:r w:rsidR="00921C8F">
        <w:t>LBI’s proffered</w:t>
      </w:r>
      <w:r>
        <w:t xml:space="preserve"> interpretation </w:t>
      </w:r>
      <w:r w:rsidR="00921C8F">
        <w:t xml:space="preserve">of that term </w:t>
      </w:r>
      <w:r>
        <w:t>is compelled by the language</w:t>
      </w:r>
      <w:r w:rsidR="00921C8F">
        <w:t>, structure, and intent</w:t>
      </w:r>
      <w:r>
        <w:t xml:space="preserve"> of the Act,</w:t>
      </w:r>
      <w:r>
        <w:rPr>
          <w:rStyle w:val="FootnoteReference"/>
        </w:rPr>
        <w:footnoteReference w:id="40"/>
      </w:r>
      <w:r>
        <w:t xml:space="preserve"> Commission precedent,</w:t>
      </w:r>
      <w:r>
        <w:rPr>
          <w:rStyle w:val="FootnoteReference"/>
        </w:rPr>
        <w:footnoteReference w:id="41"/>
      </w:r>
      <w:r>
        <w:t xml:space="preserve"> and the factual record.</w:t>
      </w:r>
      <w:r>
        <w:rPr>
          <w:rStyle w:val="FootnoteReference"/>
        </w:rPr>
        <w:footnoteReference w:id="42"/>
      </w:r>
      <w:r>
        <w:t xml:space="preserve">  </w:t>
      </w:r>
      <w:r w:rsidR="00174215">
        <w:t xml:space="preserve">We conclude that </w:t>
      </w:r>
      <w:r w:rsidR="000F60C4">
        <w:t xml:space="preserve">LBI has failed to demonstrate any material error, omission, or reason warranting reconsideration and </w:t>
      </w:r>
      <w:r w:rsidR="00174215">
        <w:t>t</w:t>
      </w:r>
      <w:r>
        <w:t>he mere fact that LBI disagrees with the Bureau’s findings provides no valid basis for reconsideration.</w:t>
      </w:r>
      <w:r>
        <w:rPr>
          <w:rStyle w:val="FootnoteReference"/>
        </w:rPr>
        <w:footnoteReference w:id="43"/>
      </w:r>
      <w:r>
        <w:t xml:space="preserve">  </w:t>
      </w:r>
    </w:p>
    <w:p w:rsidR="00DB4056" w:rsidP="0038012D" w14:paraId="2A6CEDDA" w14:textId="3F1ACB42">
      <w:pPr>
        <w:pStyle w:val="ParaNum"/>
        <w:numPr>
          <w:ilvl w:val="0"/>
          <w:numId w:val="2"/>
        </w:numPr>
        <w:tabs>
          <w:tab w:val="clear" w:pos="1080"/>
          <w:tab w:val="num" w:pos="1440"/>
        </w:tabs>
      </w:pPr>
      <w:r w:rsidRPr="007D4D76">
        <w:t xml:space="preserve">Moreover, </w:t>
      </w:r>
      <w:r w:rsidR="00C862C0">
        <w:t>insofar as</w:t>
      </w:r>
      <w:r w:rsidRPr="007D4D76">
        <w:t xml:space="preserve"> </w:t>
      </w:r>
      <w:r>
        <w:t xml:space="preserve">LBI </w:t>
      </w:r>
      <w:r w:rsidR="00C862C0">
        <w:t xml:space="preserve">in </w:t>
      </w:r>
      <w:r w:rsidR="00726A25">
        <w:t xml:space="preserve">its </w:t>
      </w:r>
      <w:r w:rsidR="00FC0B82">
        <w:t>P</w:t>
      </w:r>
      <w:r w:rsidR="00C862C0">
        <w:t xml:space="preserve">etition has </w:t>
      </w:r>
      <w:bookmarkStart w:id="1" w:name="_Hlk21700591"/>
      <w:r w:rsidRPr="007D4D76">
        <w:t>introduce</w:t>
      </w:r>
      <w:r w:rsidR="00C862C0">
        <w:t>d</w:t>
      </w:r>
      <w:r w:rsidRPr="007D4D76">
        <w:t xml:space="preserve"> new facts or arguments not previously </w:t>
      </w:r>
      <w:r w:rsidR="00726A25">
        <w:t xml:space="preserve">brought </w:t>
      </w:r>
      <w:r w:rsidRPr="007D4D76">
        <w:t xml:space="preserve">to the </w:t>
      </w:r>
      <w:r w:rsidR="00C862C0">
        <w:t>Bureau</w:t>
      </w:r>
      <w:r w:rsidRPr="007D4D76">
        <w:t xml:space="preserve">, we find that </w:t>
      </w:r>
      <w:r w:rsidR="00474588">
        <w:t>these</w:t>
      </w:r>
      <w:r w:rsidRPr="007D4D76">
        <w:t xml:space="preserve"> facts and arguments could have been presented earlier but were not</w:t>
      </w:r>
      <w:r w:rsidR="00DB085B">
        <w:t>.</w:t>
      </w:r>
      <w:bookmarkEnd w:id="1"/>
      <w:r>
        <w:rPr>
          <w:rStyle w:val="FootnoteReference"/>
        </w:rPr>
        <w:footnoteReference w:id="44"/>
      </w:r>
      <w:r w:rsidRPr="007D4D76">
        <w:t xml:space="preserve"> </w:t>
      </w:r>
      <w:r w:rsidR="00DB085B">
        <w:t xml:space="preserve"> </w:t>
      </w:r>
      <w:r w:rsidR="0001166C">
        <w:t>For example</w:t>
      </w:r>
      <w:r w:rsidR="00F822D4">
        <w:t xml:space="preserve">, </w:t>
      </w:r>
      <w:r w:rsidR="003A4389">
        <w:t xml:space="preserve">although LBI </w:t>
      </w:r>
      <w:r w:rsidR="0090783D">
        <w:t xml:space="preserve">in its </w:t>
      </w:r>
      <w:r w:rsidR="00865DD4">
        <w:t>P</w:t>
      </w:r>
      <w:r w:rsidR="0090783D">
        <w:t xml:space="preserve">etition </w:t>
      </w:r>
      <w:r w:rsidR="0001166C">
        <w:t xml:space="preserve">contends </w:t>
      </w:r>
      <w:r w:rsidR="003A4389">
        <w:t>that it meets each of the elements needed to establis</w:t>
      </w:r>
      <w:r w:rsidR="00FB590A">
        <w:t>h</w:t>
      </w:r>
      <w:r w:rsidR="003A4389">
        <w:t xml:space="preserve"> a </w:t>
      </w:r>
      <w:r w:rsidR="003A4389">
        <w:rPr>
          <w:i/>
        </w:rPr>
        <w:t xml:space="preserve">prima facie </w:t>
      </w:r>
      <w:r w:rsidR="003A4389">
        <w:t xml:space="preserve">case of program carriage violations in </w:t>
      </w:r>
      <w:r w:rsidR="00FB590A">
        <w:t xml:space="preserve">both its broadcast and </w:t>
      </w:r>
      <w:r w:rsidR="003A4389">
        <w:t>white area</w:t>
      </w:r>
      <w:r w:rsidR="00FB590A">
        <w:t xml:space="preserve"> markets</w:t>
      </w:r>
      <w:r w:rsidR="003A4389">
        <w:t>,</w:t>
      </w:r>
      <w:r>
        <w:rPr>
          <w:rStyle w:val="FootnoteReference"/>
        </w:rPr>
        <w:footnoteReference w:id="45"/>
      </w:r>
      <w:r w:rsidR="003A4389">
        <w:t xml:space="preserve"> </w:t>
      </w:r>
      <w:r w:rsidR="00C46F88">
        <w:t xml:space="preserve">neither the </w:t>
      </w:r>
      <w:r w:rsidR="0001166C">
        <w:t xml:space="preserve">facts </w:t>
      </w:r>
      <w:r w:rsidR="00C46F88">
        <w:t xml:space="preserve">nor </w:t>
      </w:r>
      <w:r w:rsidR="0001166C">
        <w:t xml:space="preserve">arguments </w:t>
      </w:r>
      <w:r w:rsidR="00C46F88">
        <w:t xml:space="preserve">presented in </w:t>
      </w:r>
      <w:r w:rsidR="0001166C">
        <w:t>its</w:t>
      </w:r>
      <w:r w:rsidR="00FB590A">
        <w:t xml:space="preserve"> </w:t>
      </w:r>
      <w:r w:rsidR="00C46F88">
        <w:t xml:space="preserve">complaint focused on the </w:t>
      </w:r>
      <w:r w:rsidR="000317D2">
        <w:t xml:space="preserve">white area </w:t>
      </w:r>
      <w:r w:rsidR="00FB590A">
        <w:t>markets</w:t>
      </w:r>
      <w:r w:rsidR="00C46F88">
        <w:t>.</w:t>
      </w:r>
      <w:r>
        <w:rPr>
          <w:rStyle w:val="FootnoteReference"/>
        </w:rPr>
        <w:footnoteReference w:id="46"/>
      </w:r>
      <w:r w:rsidR="00C46F88">
        <w:t xml:space="preserve">  </w:t>
      </w:r>
      <w:r w:rsidRPr="00F44FBC" w:rsidR="00865DD4">
        <w:t>If LBI wanted the Bureau to consider these markets separately from the broadcast markets, it could and should have made that clear in its complaint</w:t>
      </w:r>
      <w:r w:rsidR="00865DD4">
        <w:t xml:space="preserve">.  </w:t>
      </w:r>
      <w:r w:rsidR="003C702E">
        <w:t xml:space="preserve">Although </w:t>
      </w:r>
      <w:r w:rsidR="00A76D35">
        <w:t>s</w:t>
      </w:r>
      <w:r w:rsidR="003C702E">
        <w:t xml:space="preserve">ection 1.106(c)(2) allows the Bureau to consider such facts or arguments if it determines that doing so is required in the public interest, LBI does not provide any reason for its failure to submit such </w:t>
      </w:r>
      <w:r w:rsidRPr="007D4D76" w:rsidR="003C702E">
        <w:t xml:space="preserve">facts or arguments </w:t>
      </w:r>
      <w:r w:rsidR="003C702E">
        <w:t xml:space="preserve">earlier or claim that the public interest requires consideration of these </w:t>
      </w:r>
      <w:r w:rsidRPr="007D4D76" w:rsidR="003C702E">
        <w:t>facts or arguments</w:t>
      </w:r>
      <w:r w:rsidR="003C702E">
        <w:t xml:space="preserve"> here rather </w:t>
      </w:r>
      <w:r w:rsidR="00640311">
        <w:t xml:space="preserve">than </w:t>
      </w:r>
      <w:r w:rsidR="003C702E">
        <w:t xml:space="preserve">in connection with a subsequent </w:t>
      </w:r>
      <w:r w:rsidR="000907B5">
        <w:t>complaint pertaining to white area markets</w:t>
      </w:r>
      <w:r w:rsidR="003C702E">
        <w:t>.</w:t>
      </w:r>
      <w:r>
        <w:rPr>
          <w:rStyle w:val="FootnoteReference"/>
        </w:rPr>
        <w:footnoteReference w:id="47"/>
      </w:r>
      <w:r w:rsidRPr="007D4D76" w:rsidR="00640311">
        <w:t xml:space="preserve"> </w:t>
      </w:r>
      <w:r w:rsidR="003C702E">
        <w:t xml:space="preserve"> </w:t>
      </w:r>
      <w:r w:rsidR="00FA79A3">
        <w:t>T</w:t>
      </w:r>
      <w:r w:rsidRPr="007D4D76">
        <w:t>herefore</w:t>
      </w:r>
      <w:r w:rsidR="00FA79A3">
        <w:t>, these facts and arguments</w:t>
      </w:r>
      <w:r w:rsidRPr="007D4D76">
        <w:t xml:space="preserve"> </w:t>
      </w:r>
      <w:r w:rsidR="00C862C0">
        <w:t xml:space="preserve">are </w:t>
      </w:r>
      <w:r w:rsidRPr="007D4D76">
        <w:t xml:space="preserve">subject to dismissal under </w:t>
      </w:r>
      <w:r w:rsidR="00C862C0">
        <w:t>s</w:t>
      </w:r>
      <w:r w:rsidRPr="007D4D76">
        <w:t xml:space="preserve">ection </w:t>
      </w:r>
      <w:r w:rsidRPr="00BC0A12">
        <w:t>1.106(</w:t>
      </w:r>
      <w:r w:rsidR="00BC0A12">
        <w:t>c</w:t>
      </w:r>
      <w:r w:rsidRPr="00BC0A12">
        <w:t>)</w:t>
      </w:r>
      <w:r w:rsidRPr="007D4D76">
        <w:t xml:space="preserve"> of the </w:t>
      </w:r>
      <w:r w:rsidR="00C862C0">
        <w:t>Commission’s r</w:t>
      </w:r>
      <w:r w:rsidRPr="007D4D76">
        <w:t>ules.</w:t>
      </w:r>
      <w:r>
        <w:rPr>
          <w:rStyle w:val="FootnoteReference"/>
        </w:rPr>
        <w:footnoteReference w:id="48"/>
      </w:r>
      <w:r w:rsidRPr="007D4D76">
        <w:t xml:space="preserve"> </w:t>
      </w:r>
      <w:r>
        <w:t xml:space="preserve"> We, t</w:t>
      </w:r>
      <w:r w:rsidRPr="007D4D76">
        <w:t xml:space="preserve">herefore, dismiss the Petition to the extent that it relies upon </w:t>
      </w:r>
      <w:r w:rsidR="00474588">
        <w:t>such</w:t>
      </w:r>
      <w:r w:rsidRPr="007D4D76">
        <w:t xml:space="preserve"> facts and arguments.</w:t>
      </w:r>
      <w:r>
        <w:t xml:space="preserve"> </w:t>
      </w:r>
    </w:p>
    <w:p w:rsidR="00061559" w:rsidP="00061559" w14:paraId="4553A4AF" w14:textId="456732AF">
      <w:pPr>
        <w:pStyle w:val="Heading1"/>
      </w:pPr>
      <w:r>
        <w:t xml:space="preserve">ordering </w:t>
      </w:r>
      <w:r w:rsidR="00C90E0D">
        <w:t>clause</w:t>
      </w:r>
    </w:p>
    <w:p w:rsidR="00061559" w:rsidRPr="00223DE7" w:rsidP="00ED2E2D" w14:paraId="34E1A265" w14:textId="61198178">
      <w:pPr>
        <w:pStyle w:val="ParaNum"/>
        <w:numPr>
          <w:ilvl w:val="0"/>
          <w:numId w:val="2"/>
        </w:numPr>
        <w:tabs>
          <w:tab w:val="clear" w:pos="1080"/>
          <w:tab w:val="num" w:pos="1440"/>
        </w:tabs>
        <w:rPr>
          <w:b/>
        </w:rPr>
      </w:pPr>
      <w:r w:rsidRPr="00ED2E2D">
        <w:t>Accordingly</w:t>
      </w:r>
      <w:r>
        <w:rPr>
          <w:color w:val="000000"/>
        </w:rPr>
        <w:t xml:space="preserve">, </w:t>
      </w:r>
      <w:r>
        <w:rPr>
          <w:b/>
          <w:color w:val="000000"/>
        </w:rPr>
        <w:t>IT IS ORDERED</w:t>
      </w:r>
      <w:r>
        <w:rPr>
          <w:color w:val="000000"/>
        </w:rPr>
        <w:t xml:space="preserve">, that </w:t>
      </w:r>
      <w:r>
        <w:rPr>
          <w:snapToGrid/>
          <w:color w:val="000000"/>
        </w:rPr>
        <w:t>pursuant to sections 4(i)</w:t>
      </w:r>
      <w:r w:rsidR="00E46EA0">
        <w:rPr>
          <w:snapToGrid/>
          <w:color w:val="000000"/>
        </w:rPr>
        <w:t xml:space="preserve">, </w:t>
      </w:r>
      <w:r>
        <w:rPr>
          <w:snapToGrid/>
          <w:color w:val="000000"/>
        </w:rPr>
        <w:t xml:space="preserve">4(j) </w:t>
      </w:r>
      <w:r w:rsidR="00E46EA0">
        <w:rPr>
          <w:snapToGrid/>
          <w:color w:val="000000"/>
        </w:rPr>
        <w:t xml:space="preserve">and 405(a) </w:t>
      </w:r>
      <w:r>
        <w:rPr>
          <w:snapToGrid/>
          <w:color w:val="000000"/>
        </w:rPr>
        <w:t xml:space="preserve">of the Communications Act of 1934, as amended, 47 U.S.C. §§ 154(i), 154(j), </w:t>
      </w:r>
      <w:r w:rsidR="00AD5594">
        <w:rPr>
          <w:snapToGrid/>
          <w:color w:val="000000"/>
        </w:rPr>
        <w:t xml:space="preserve">405(a), </w:t>
      </w:r>
      <w:r>
        <w:rPr>
          <w:snapToGrid/>
          <w:color w:val="000000"/>
        </w:rPr>
        <w:t xml:space="preserve">and </w:t>
      </w:r>
      <w:r w:rsidR="008562CA">
        <w:rPr>
          <w:snapToGrid/>
          <w:color w:val="000000"/>
        </w:rPr>
        <w:t>s</w:t>
      </w:r>
      <w:r w:rsidR="00F972AC">
        <w:rPr>
          <w:snapToGrid/>
          <w:color w:val="000000"/>
        </w:rPr>
        <w:t>ection</w:t>
      </w:r>
      <w:r w:rsidR="00CE3653">
        <w:rPr>
          <w:snapToGrid/>
          <w:color w:val="000000"/>
        </w:rPr>
        <w:t xml:space="preserve"> 1.106 </w:t>
      </w:r>
      <w:r w:rsidR="00F972AC">
        <w:rPr>
          <w:snapToGrid/>
          <w:color w:val="000000"/>
        </w:rPr>
        <w:t xml:space="preserve">of </w:t>
      </w:r>
      <w:r w:rsidR="009C6E5B">
        <w:rPr>
          <w:snapToGrid/>
          <w:color w:val="000000"/>
        </w:rPr>
        <w:t>the Commission’s Rules, 47 C</w:t>
      </w:r>
      <w:r>
        <w:rPr>
          <w:snapToGrid/>
          <w:color w:val="000000"/>
        </w:rPr>
        <w:t xml:space="preserve">FR </w:t>
      </w:r>
      <w:r w:rsidR="00CE3653">
        <w:rPr>
          <w:snapToGrid/>
          <w:color w:val="000000"/>
        </w:rPr>
        <w:t>§ 1.106</w:t>
      </w:r>
      <w:r>
        <w:rPr>
          <w:snapToGrid/>
          <w:color w:val="000000"/>
        </w:rPr>
        <w:t xml:space="preserve">, </w:t>
      </w:r>
      <w:r w:rsidR="00BF6D40">
        <w:rPr>
          <w:snapToGrid/>
          <w:color w:val="000000"/>
        </w:rPr>
        <w:t xml:space="preserve">LBI’s </w:t>
      </w:r>
      <w:r w:rsidR="00CE3653">
        <w:rPr>
          <w:snapToGrid/>
          <w:color w:val="000000"/>
        </w:rPr>
        <w:t xml:space="preserve">Petition for Reconsideration is </w:t>
      </w:r>
      <w:r w:rsidR="00583477">
        <w:rPr>
          <w:b/>
          <w:color w:val="000000"/>
        </w:rPr>
        <w:t>D</w:t>
      </w:r>
      <w:r w:rsidR="00B07A3F">
        <w:rPr>
          <w:b/>
          <w:color w:val="000000"/>
        </w:rPr>
        <w:t>ISMISSED</w:t>
      </w:r>
      <w:r w:rsidR="00F972AC">
        <w:rPr>
          <w:color w:val="000000"/>
        </w:rPr>
        <w:t>.</w:t>
      </w:r>
      <w:r w:rsidR="0017062B">
        <w:rPr>
          <w:color w:val="000000"/>
        </w:rPr>
        <w:t xml:space="preserve">  This action is taken pursuant to the authority delegated in section </w:t>
      </w:r>
      <w:r w:rsidR="005E7646">
        <w:rPr>
          <w:color w:val="000000"/>
        </w:rPr>
        <w:t xml:space="preserve">0.283 </w:t>
      </w:r>
      <w:r w:rsidR="0017062B">
        <w:rPr>
          <w:color w:val="000000"/>
        </w:rPr>
        <w:t>of the Commission’s rules.</w:t>
      </w:r>
    </w:p>
    <w:p w:rsidR="00061559" w:rsidP="00061559" w14:paraId="4F1FC7D8" w14:textId="77777777">
      <w:pPr>
        <w:pStyle w:val="ParaNum"/>
        <w:ind w:left="720"/>
      </w:pPr>
    </w:p>
    <w:p w:rsidR="00061559" w:rsidRPr="009E2F65" w:rsidP="00061559" w14:paraId="11428A6E" w14:textId="77777777">
      <w:pPr>
        <w:keepNext/>
        <w:keepLines/>
        <w:ind w:left="4320"/>
        <w:rPr>
          <w:rFonts w:ascii="Times New Roman" w:hAnsi="Times New Roman" w:cs="Times New Roman"/>
          <w:color w:val="000000"/>
        </w:rPr>
      </w:pPr>
      <w:r w:rsidRPr="009E2F65">
        <w:rPr>
          <w:rFonts w:ascii="Times New Roman" w:hAnsi="Times New Roman" w:cs="Times New Roman"/>
          <w:color w:val="000000"/>
        </w:rPr>
        <w:t>FEDERAL COMMUNICATIONS COMMISSION</w:t>
      </w:r>
    </w:p>
    <w:p w:rsidR="00061559" w:rsidRPr="009E2F65" w:rsidP="00061559" w14:paraId="40C55316" w14:textId="77777777">
      <w:pPr>
        <w:keepNext/>
        <w:keepLines/>
        <w:ind w:left="4320"/>
        <w:rPr>
          <w:rFonts w:ascii="Times New Roman" w:hAnsi="Times New Roman" w:cs="Times New Roman"/>
          <w:color w:val="000000"/>
        </w:rPr>
      </w:pPr>
    </w:p>
    <w:p w:rsidR="00061559" w:rsidRPr="009E2F65" w:rsidP="009E2F65" w14:paraId="6D114483" w14:textId="5FEEEC5E">
      <w:pPr>
        <w:keepNext/>
        <w:keepLines/>
        <w:spacing w:after="0"/>
        <w:ind w:left="4320"/>
        <w:rPr>
          <w:rFonts w:ascii="Times New Roman" w:hAnsi="Times New Roman" w:cs="Times New Roman"/>
          <w:color w:val="000000"/>
        </w:rPr>
      </w:pPr>
      <w:r>
        <w:rPr>
          <w:rFonts w:ascii="Times New Roman" w:hAnsi="Times New Roman" w:cs="Times New Roman"/>
          <w:color w:val="000000"/>
        </w:rPr>
        <w:t xml:space="preserve">Michelle </w:t>
      </w:r>
      <w:r w:rsidR="007D0D0F">
        <w:rPr>
          <w:rFonts w:ascii="Times New Roman" w:hAnsi="Times New Roman" w:cs="Times New Roman"/>
          <w:color w:val="000000"/>
        </w:rPr>
        <w:t xml:space="preserve">M. </w:t>
      </w:r>
      <w:r>
        <w:rPr>
          <w:rFonts w:ascii="Times New Roman" w:hAnsi="Times New Roman" w:cs="Times New Roman"/>
          <w:color w:val="000000"/>
        </w:rPr>
        <w:t>Carey</w:t>
      </w:r>
    </w:p>
    <w:p w:rsidR="00061559" w:rsidRPr="009E2F65" w:rsidP="00061559" w14:paraId="4A7E4768" w14:textId="77777777">
      <w:pPr>
        <w:keepNext/>
        <w:keepLines/>
        <w:ind w:left="4320"/>
        <w:rPr>
          <w:rFonts w:ascii="Times New Roman" w:hAnsi="Times New Roman" w:cs="Times New Roman"/>
          <w:color w:val="000000"/>
        </w:rPr>
      </w:pPr>
      <w:r w:rsidRPr="009E2F65">
        <w:rPr>
          <w:rFonts w:ascii="Times New Roman" w:hAnsi="Times New Roman" w:cs="Times New Roman"/>
          <w:color w:val="000000"/>
        </w:rPr>
        <w:t>Chief, Media Bureau</w:t>
      </w:r>
    </w:p>
    <w:p w:rsidR="009E2F65" w:rsidRPr="009E2F65" w14:paraId="69863752" w14:textId="77777777">
      <w:pPr>
        <w:keepNext/>
        <w:keepLines/>
        <w:ind w:left="4320"/>
        <w:rPr>
          <w:rFonts w:ascii="Times New Roman" w:hAnsi="Times New Roman" w:cs="Times New Roman"/>
          <w:color w:val="000000"/>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FED" w:rsidP="0055614C" w14:paraId="288A83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0FED" w14:paraId="64D6AD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FED" w:rsidP="0055614C" w14:paraId="2637614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10FED" w14:paraId="359B17B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FED" w14:paraId="17E9E6C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766" w14:paraId="7D929F1D" w14:textId="77777777">
      <w:r>
        <w:separator/>
      </w:r>
    </w:p>
  </w:footnote>
  <w:footnote w:type="continuationSeparator" w:id="1">
    <w:p w:rsidR="00E43766" w:rsidP="00C721AC" w14:paraId="7CC5AADE" w14:textId="77777777">
      <w:pPr>
        <w:spacing w:before="120"/>
        <w:rPr>
          <w:sz w:val="20"/>
        </w:rPr>
      </w:pPr>
      <w:r>
        <w:rPr>
          <w:sz w:val="20"/>
        </w:rPr>
        <w:t xml:space="preserve">(Continued from previous page)  </w:t>
      </w:r>
      <w:r>
        <w:rPr>
          <w:sz w:val="20"/>
        </w:rPr>
        <w:separator/>
      </w:r>
    </w:p>
  </w:footnote>
  <w:footnote w:type="continuationNotice" w:id="2">
    <w:p w:rsidR="00E43766" w:rsidP="00C721AC" w14:paraId="15416583" w14:textId="77777777">
      <w:pPr>
        <w:jc w:val="right"/>
        <w:rPr>
          <w:sz w:val="20"/>
        </w:rPr>
      </w:pPr>
      <w:r>
        <w:rPr>
          <w:sz w:val="20"/>
        </w:rPr>
        <w:t>(continued….)</w:t>
      </w:r>
    </w:p>
  </w:footnote>
  <w:footnote w:id="3">
    <w:p w:rsidR="00280ABC" w:rsidP="00280ABC" w14:paraId="6A7D9169" w14:textId="6B2A3A1B">
      <w:pPr>
        <w:pStyle w:val="FootnoteText"/>
      </w:pPr>
      <w:r>
        <w:rPr>
          <w:rStyle w:val="FootnoteReference"/>
        </w:rPr>
        <w:footnoteRef/>
      </w:r>
      <w:r>
        <w:t xml:space="preserve"> Liberman Broadcasting and LBI Media Petition for Reconsideration, MB Docket No. 16-121, File No. CSR-8922-P (filed Sept. 26, 2016) (</w:t>
      </w:r>
      <w:r w:rsidR="00DB085B">
        <w:t>P</w:t>
      </w:r>
      <w:r>
        <w:t>etition).</w:t>
      </w:r>
    </w:p>
  </w:footnote>
  <w:footnote w:id="4">
    <w:p w:rsidR="00280ABC" w:rsidP="00280ABC" w14:paraId="54D3113D" w14:textId="6466FD65">
      <w:pPr>
        <w:pStyle w:val="FootnoteText"/>
      </w:pPr>
      <w:r>
        <w:rPr>
          <w:rStyle w:val="FootnoteReference"/>
        </w:rPr>
        <w:footnoteRef/>
      </w:r>
      <w:r>
        <w:t xml:space="preserve"> </w:t>
      </w:r>
      <w:r w:rsidRPr="00A37201">
        <w:rPr>
          <w:i/>
        </w:rPr>
        <w:t>Liberman Broadcasting, Inc. and LBI Media, Inc. v. Comcast Corp. and Comcast Cable Communications, LLC</w:t>
      </w:r>
      <w:r>
        <w:t>, Memorandum Opinion and Order, MB Docket No. 16-121, File No. CSR-8922-P, 31 FCC Rcd 9551 (</w:t>
      </w:r>
      <w:r w:rsidR="00F62284">
        <w:t xml:space="preserve">MB </w:t>
      </w:r>
      <w:r>
        <w:t>2016) (</w:t>
      </w:r>
      <w:r w:rsidRPr="00A37201">
        <w:rPr>
          <w:i/>
        </w:rPr>
        <w:t>Bureau Order</w:t>
      </w:r>
      <w:r>
        <w:t xml:space="preserve">).  </w:t>
      </w:r>
    </w:p>
  </w:footnote>
  <w:footnote w:id="5">
    <w:p w:rsidR="00310FED" w:rsidP="007E425E" w14:paraId="46D0EC92" w14:textId="77777777">
      <w:pPr>
        <w:pStyle w:val="FootnoteText"/>
      </w:pPr>
      <w:r>
        <w:rPr>
          <w:rStyle w:val="FootnoteReference"/>
        </w:rPr>
        <w:footnoteRef/>
      </w:r>
      <w:r>
        <w:t xml:space="preserve"> </w:t>
      </w:r>
      <w:r w:rsidRPr="003A133F">
        <w:rPr>
          <w:i/>
        </w:rPr>
        <w:t>See Applications of Comcast Corporation, General Electric Company and NBC Universal, Inc. for Consent to Assign Licenses and Transfer Control of Licensees</w:t>
      </w:r>
      <w:r w:rsidRPr="003A133F">
        <w:t>, Memorandum Opinion and Order, 26 FCC Rcd 4238</w:t>
      </w:r>
      <w:r>
        <w:t>, 4355 &amp; App. A (2011) (</w:t>
      </w:r>
      <w:r>
        <w:rPr>
          <w:i/>
        </w:rPr>
        <w:t>Comcast-NBCU Order</w:t>
      </w:r>
      <w:r>
        <w:t>).</w:t>
      </w:r>
    </w:p>
  </w:footnote>
  <w:footnote w:id="6">
    <w:p w:rsidR="00280ABC" w:rsidRPr="00280ABC" w14:paraId="123A8CE2" w14:textId="7DFBBA8C">
      <w:pPr>
        <w:pStyle w:val="FootnoteText"/>
      </w:pPr>
      <w:r>
        <w:rPr>
          <w:rStyle w:val="FootnoteReference"/>
        </w:rPr>
        <w:footnoteRef/>
      </w:r>
      <w:r>
        <w:t xml:space="preserve"> </w:t>
      </w:r>
      <w:r>
        <w:rPr>
          <w:i/>
        </w:rPr>
        <w:t>See Bureau Order</w:t>
      </w:r>
      <w:r>
        <w:t xml:space="preserve">.  </w:t>
      </w:r>
    </w:p>
  </w:footnote>
  <w:footnote w:id="7">
    <w:p w:rsidR="00310FED" w14:paraId="3ADABA22" w14:textId="48E839F2">
      <w:pPr>
        <w:pStyle w:val="FootnoteText"/>
      </w:pPr>
      <w:r>
        <w:rPr>
          <w:rStyle w:val="FootnoteReference"/>
        </w:rPr>
        <w:footnoteRef/>
      </w:r>
      <w:r>
        <w:t xml:space="preserve"> LBI has requested that we convert the </w:t>
      </w:r>
      <w:r>
        <w:rPr>
          <w:i/>
        </w:rPr>
        <w:t xml:space="preserve">ex parte </w:t>
      </w:r>
      <w:r>
        <w:t xml:space="preserve">status of its </w:t>
      </w:r>
      <w:r w:rsidR="00FC0B82">
        <w:t>P</w:t>
      </w:r>
      <w:r>
        <w:t>etition to “permit but disclose.”  Petition at 18.  Because we find that LBI has not met its burden of showing that “the public interest so requires,” we decline to grant LBI’s request.</w:t>
      </w:r>
      <w:r w:rsidR="005E2AEE">
        <w:t xml:space="preserve"> </w:t>
      </w:r>
      <w:r w:rsidR="0090783D">
        <w:t xml:space="preserve"> </w:t>
      </w:r>
      <w:r w:rsidRPr="0090783D" w:rsidR="005E2AEE">
        <w:rPr>
          <w:i/>
        </w:rPr>
        <w:t>S</w:t>
      </w:r>
      <w:r w:rsidR="005E2AEE">
        <w:rPr>
          <w:i/>
        </w:rPr>
        <w:t xml:space="preserve">ee </w:t>
      </w:r>
      <w:r w:rsidR="005E2AEE">
        <w:t xml:space="preserve">Comcast Opposition to Petition for Reconsideration, MB Docket No. 16-121, File No. CSR-8922-P, at 20-22 (Oct. 6, 2016), </w:t>
      </w:r>
      <w:r w:rsidR="005E2AEE">
        <w:rPr>
          <w:i/>
        </w:rPr>
        <w:t xml:space="preserve">citing </w:t>
      </w:r>
      <w:r w:rsidR="005E2AEE">
        <w:t xml:space="preserve">47 CFR </w:t>
      </w:r>
      <w:r w:rsidR="00FC0B82">
        <w:t xml:space="preserve">§ </w:t>
      </w:r>
      <w:r w:rsidR="005E2AEE">
        <w:t xml:space="preserve">1.1200(a); </w:t>
      </w:r>
      <w:r w:rsidR="005E2AEE">
        <w:rPr>
          <w:i/>
        </w:rPr>
        <w:t>id.</w:t>
      </w:r>
      <w:r w:rsidR="005E2AEE">
        <w:t xml:space="preserve"> </w:t>
      </w:r>
      <w:r w:rsidR="00FC0B82">
        <w:t xml:space="preserve">§ </w:t>
      </w:r>
      <w:r w:rsidR="005E2AEE">
        <w:t>1.1208 note 2.</w:t>
      </w:r>
    </w:p>
  </w:footnote>
  <w:footnote w:id="8">
    <w:p w:rsidR="00310FED" w14:paraId="76A97D2E" w14:textId="2B799B78">
      <w:pPr>
        <w:pStyle w:val="FootnoteText"/>
      </w:pPr>
      <w:r>
        <w:rPr>
          <w:rStyle w:val="FootnoteReference"/>
        </w:rPr>
        <w:footnoteRef/>
      </w:r>
      <w:r>
        <w:t xml:space="preserve"> </w:t>
      </w:r>
      <w:r>
        <w:rPr>
          <w:color w:val="000000"/>
        </w:rPr>
        <w:t xml:space="preserve">47 U.S.C. § 536(a).  </w:t>
      </w:r>
      <w:r w:rsidRPr="00E03913">
        <w:rPr>
          <w:color w:val="000000"/>
        </w:rPr>
        <w:t xml:space="preserve">A more </w:t>
      </w:r>
      <w:r>
        <w:rPr>
          <w:color w:val="000000"/>
        </w:rPr>
        <w:t>extensive</w:t>
      </w:r>
      <w:r w:rsidRPr="00E03913">
        <w:rPr>
          <w:color w:val="000000"/>
        </w:rPr>
        <w:t xml:space="preserve"> discussion of the </w:t>
      </w:r>
      <w:r>
        <w:rPr>
          <w:color w:val="000000"/>
        </w:rPr>
        <w:t xml:space="preserve">relevant regulatory frameworks and </w:t>
      </w:r>
      <w:r w:rsidRPr="00E03913">
        <w:rPr>
          <w:color w:val="000000"/>
        </w:rPr>
        <w:t xml:space="preserve">factual background is set forth in the </w:t>
      </w:r>
      <w:r w:rsidRPr="00811E2C">
        <w:rPr>
          <w:i/>
          <w:color w:val="000000"/>
        </w:rPr>
        <w:t>Bureau Order</w:t>
      </w:r>
      <w:r w:rsidRPr="00E03913">
        <w:rPr>
          <w:color w:val="000000"/>
        </w:rPr>
        <w:t xml:space="preserve"> and thus is not reiterated at length here.  </w:t>
      </w:r>
      <w:r w:rsidRPr="00811E2C">
        <w:rPr>
          <w:i/>
          <w:color w:val="000000"/>
        </w:rPr>
        <w:t>See Bureau Order</w:t>
      </w:r>
      <w:r>
        <w:rPr>
          <w:color w:val="000000"/>
        </w:rPr>
        <w:t>, 31 FCC Rcd at 9552-9555,</w:t>
      </w:r>
      <w:r w:rsidRPr="00E03913">
        <w:rPr>
          <w:color w:val="000000"/>
        </w:rPr>
        <w:t xml:space="preserve"> </w:t>
      </w:r>
      <w:r>
        <w:rPr>
          <w:color w:val="000000"/>
        </w:rPr>
        <w:t>paras.</w:t>
      </w:r>
      <w:r w:rsidRPr="00E03913">
        <w:rPr>
          <w:color w:val="000000"/>
        </w:rPr>
        <w:t xml:space="preserve"> </w:t>
      </w:r>
      <w:r>
        <w:rPr>
          <w:color w:val="000000"/>
        </w:rPr>
        <w:t>3-8</w:t>
      </w:r>
      <w:r w:rsidRPr="00E03913">
        <w:rPr>
          <w:color w:val="000000"/>
        </w:rPr>
        <w:t xml:space="preserve">.  </w:t>
      </w:r>
    </w:p>
  </w:footnote>
  <w:footnote w:id="9">
    <w:p w:rsidR="00310FED" w:rsidRPr="005C3769" w:rsidP="00147AED" w14:paraId="65F36AFA" w14:textId="2F737805">
      <w:pPr>
        <w:pStyle w:val="FootnoteText"/>
        <w:rPr>
          <w:i/>
        </w:rPr>
      </w:pPr>
      <w:r>
        <w:rPr>
          <w:rStyle w:val="FootnoteReference"/>
        </w:rPr>
        <w:footnoteRef/>
      </w:r>
      <w:r>
        <w:t xml:space="preserve"> 47 U.S.C.</w:t>
      </w:r>
      <w:r>
        <w:rPr>
          <w:i/>
        </w:rPr>
        <w:t xml:space="preserve"> </w:t>
      </w:r>
      <w:r>
        <w:rPr>
          <w:color w:val="000000"/>
        </w:rPr>
        <w:t>§ 536(a)(1); 47 CFR § 76.1301(a).</w:t>
      </w:r>
    </w:p>
  </w:footnote>
  <w:footnote w:id="10">
    <w:p w:rsidR="00310FED" w:rsidP="005C3769" w14:paraId="465BDC7A" w14:textId="6B4AE8E5">
      <w:pPr>
        <w:pStyle w:val="FootnoteText"/>
        <w:rPr>
          <w:color w:val="000000"/>
        </w:rPr>
      </w:pPr>
      <w:r>
        <w:rPr>
          <w:rStyle w:val="FootnoteReference"/>
          <w:color w:val="000000"/>
        </w:rPr>
        <w:footnoteRef/>
      </w:r>
      <w:r>
        <w:rPr>
          <w:color w:val="000000"/>
        </w:rPr>
        <w:t xml:space="preserve"> 47 U.S.C. § 536(a)(3); 47 CFR § 76.1301(c).</w:t>
      </w:r>
    </w:p>
  </w:footnote>
  <w:footnote w:id="11">
    <w:p w:rsidR="00310FED" w:rsidRPr="000616D2" w:rsidP="000151E4" w14:paraId="2E1BBD52" w14:textId="672C0594">
      <w:pPr>
        <w:pStyle w:val="FootnoteText"/>
      </w:pPr>
      <w:r>
        <w:rPr>
          <w:rStyle w:val="FootnoteReference"/>
        </w:rPr>
        <w:footnoteRef/>
      </w:r>
      <w:r>
        <w:t xml:space="preserve"> 47 CFR § 76.1302(a).  </w:t>
      </w:r>
      <w:r w:rsidR="00D05284">
        <w:t>T</w:t>
      </w:r>
      <w:r>
        <w:t xml:space="preserve">he Commission in 2011 imposed separate but similar program carriage requirements on Comcast as a condition of approving of </w:t>
      </w:r>
      <w:r w:rsidRPr="006C4F14">
        <w:t>Comcast’s acquisition of NBC</w:t>
      </w:r>
      <w:r w:rsidR="00D05284">
        <w:t xml:space="preserve"> </w:t>
      </w:r>
      <w:r w:rsidRPr="006C4F14">
        <w:t>U</w:t>
      </w:r>
      <w:r w:rsidR="00D05284">
        <w:t>niversal</w:t>
      </w:r>
      <w:r>
        <w:t xml:space="preserve">.  </w:t>
      </w:r>
      <w:r w:rsidRPr="00811E2C">
        <w:rPr>
          <w:i/>
          <w:color w:val="000000"/>
        </w:rPr>
        <w:t>Bureau Order</w:t>
      </w:r>
      <w:r>
        <w:rPr>
          <w:color w:val="000000"/>
        </w:rPr>
        <w:t xml:space="preserve">, 31 FCC Rcd at </w:t>
      </w:r>
      <w:r w:rsidR="00D05284">
        <w:rPr>
          <w:color w:val="000000"/>
        </w:rPr>
        <w:t>9553</w:t>
      </w:r>
      <w:r>
        <w:rPr>
          <w:color w:val="000000"/>
        </w:rPr>
        <w:t>,</w:t>
      </w:r>
      <w:r w:rsidRPr="00E03913">
        <w:rPr>
          <w:color w:val="000000"/>
        </w:rPr>
        <w:t xml:space="preserve"> </w:t>
      </w:r>
      <w:r>
        <w:rPr>
          <w:color w:val="000000"/>
        </w:rPr>
        <w:t>para.</w:t>
      </w:r>
      <w:r w:rsidRPr="00E03913">
        <w:rPr>
          <w:color w:val="000000"/>
        </w:rPr>
        <w:t xml:space="preserve"> </w:t>
      </w:r>
      <w:r>
        <w:rPr>
          <w:color w:val="000000"/>
        </w:rPr>
        <w:t>5</w:t>
      </w:r>
      <w:r w:rsidRPr="00E03913">
        <w:rPr>
          <w:color w:val="000000"/>
        </w:rPr>
        <w:t>.</w:t>
      </w:r>
      <w:r w:rsidRPr="006C4F14">
        <w:t xml:space="preserve"> </w:t>
      </w:r>
      <w:r>
        <w:t xml:space="preserve"> Complaints alleging a </w:t>
      </w:r>
      <w:r w:rsidRPr="006C4F14">
        <w:t>violation of th</w:t>
      </w:r>
      <w:r>
        <w:t xml:space="preserve">ose program carriage </w:t>
      </w:r>
      <w:r w:rsidRPr="006C4F14">
        <w:t>condition</w:t>
      </w:r>
      <w:r>
        <w:t>s</w:t>
      </w:r>
      <w:r w:rsidRPr="006C4F14">
        <w:t xml:space="preserve"> </w:t>
      </w:r>
      <w:r>
        <w:t xml:space="preserve">were required to be brought </w:t>
      </w:r>
      <w:r w:rsidRPr="006C4F14">
        <w:t xml:space="preserve">pursuant to the </w:t>
      </w:r>
      <w:r>
        <w:t xml:space="preserve">Commission’s </w:t>
      </w:r>
      <w:r w:rsidRPr="006C4F14">
        <w:t>program carriage compl</w:t>
      </w:r>
      <w:r>
        <w:t xml:space="preserve">aint </w:t>
      </w:r>
      <w:r w:rsidRPr="006C4F14">
        <w:t xml:space="preserve">procedures.  </w:t>
      </w:r>
      <w:r>
        <w:rPr>
          <w:i/>
        </w:rPr>
        <w:t>Id.,</w:t>
      </w:r>
      <w:r>
        <w:t xml:space="preserve"> </w:t>
      </w:r>
      <w:r>
        <w:rPr>
          <w:i/>
        </w:rPr>
        <w:t xml:space="preserve">citing </w:t>
      </w:r>
      <w:r w:rsidR="00F62284">
        <w:rPr>
          <w:i/>
        </w:rPr>
        <w:t>Comcast-NBCU Order</w:t>
      </w:r>
      <w:r w:rsidR="00F62284">
        <w:t>,</w:t>
      </w:r>
      <w:r w:rsidRPr="003A133F" w:rsidR="00F62284">
        <w:rPr>
          <w:i/>
        </w:rPr>
        <w:t xml:space="preserve"> </w:t>
      </w:r>
      <w:r w:rsidRPr="003A133F">
        <w:t xml:space="preserve">26 FCC Rcd </w:t>
      </w:r>
      <w:r w:rsidR="00F62284">
        <w:t>at</w:t>
      </w:r>
      <w:r>
        <w:t xml:space="preserve"> 435</w:t>
      </w:r>
      <w:r w:rsidR="00F62284">
        <w:t>9</w:t>
      </w:r>
      <w:r>
        <w:t xml:space="preserve">.  The conditions imposed in the </w:t>
      </w:r>
      <w:r>
        <w:rPr>
          <w:i/>
        </w:rPr>
        <w:t xml:space="preserve">Comcast-NBCU Order </w:t>
      </w:r>
      <w:r>
        <w:t xml:space="preserve">expired in </w:t>
      </w:r>
      <w:r w:rsidRPr="00D05284">
        <w:t>January 2018.</w:t>
      </w:r>
      <w:r w:rsidR="000616D2">
        <w:t xml:space="preserve">  </w:t>
      </w:r>
      <w:r w:rsidR="000616D2">
        <w:rPr>
          <w:i/>
        </w:rPr>
        <w:t>Comcast-NBCU Order</w:t>
      </w:r>
      <w:r w:rsidR="000616D2">
        <w:t>, 26 FCC Rcd at 4381.</w:t>
      </w:r>
    </w:p>
  </w:footnote>
  <w:footnote w:id="12">
    <w:p w:rsidR="00310FED" w:rsidRPr="00FF63FA" w:rsidP="00025B93" w14:paraId="2AF54908" w14:textId="0770CFCB">
      <w:pPr>
        <w:pStyle w:val="FootnoteText"/>
      </w:pPr>
      <w:r>
        <w:rPr>
          <w:rStyle w:val="FootnoteReference"/>
        </w:rPr>
        <w:footnoteRef/>
      </w:r>
      <w:r>
        <w:t xml:space="preserve"> 47 U.S.C. §§ 325(b), 534.  The must carry requirements in section 614 apply to cable operators.  Carriage of local broadcast signals by satellite carriers is governed by section 338 of the Act and its implementing rules.  </w:t>
      </w:r>
      <w:r w:rsidR="00D05284">
        <w:rPr>
          <w:i/>
        </w:rPr>
        <w:t>Id.</w:t>
      </w:r>
      <w:r>
        <w:t xml:space="preserve"> § 338; 47 CFR § 76.66.  </w:t>
      </w:r>
    </w:p>
  </w:footnote>
  <w:footnote w:id="13">
    <w:p w:rsidR="00310FED" w:rsidRPr="001F5036" w14:paraId="149728AD" w14:textId="67F0F0D9">
      <w:pPr>
        <w:pStyle w:val="FootnoteText"/>
      </w:pPr>
      <w:r>
        <w:rPr>
          <w:rStyle w:val="FootnoteReference"/>
        </w:rPr>
        <w:footnoteRef/>
      </w:r>
      <w:r>
        <w:t xml:space="preserve"> </w:t>
      </w:r>
      <w:r>
        <w:rPr>
          <w:i/>
        </w:rPr>
        <w:t>See Implementation of the Cable Television Consumer Protection and Competition Act of 1992, Broadcast Signal Carriage Issues</w:t>
      </w:r>
      <w:r>
        <w:t xml:space="preserve">, Report and Order, 8 FCC Rcd 2965, 2992, para. 111 (1993); 47 U.S.C. § 534(b)(10).  </w:t>
      </w:r>
    </w:p>
  </w:footnote>
  <w:footnote w:id="14">
    <w:p w:rsidR="00D05284" w14:paraId="3789424C" w14:textId="30F868AF">
      <w:pPr>
        <w:pStyle w:val="FootnoteText"/>
      </w:pPr>
      <w:r>
        <w:rPr>
          <w:rStyle w:val="FootnoteReference"/>
        </w:rPr>
        <w:footnoteRef/>
      </w:r>
      <w:r>
        <w:t xml:space="preserve"> </w:t>
      </w:r>
      <w:r>
        <w:rPr>
          <w:i/>
        </w:rPr>
        <w:t xml:space="preserve">See </w:t>
      </w:r>
      <w:r w:rsidR="005E2AEE">
        <w:t>47 U.S.C.</w:t>
      </w:r>
      <w:r>
        <w:t xml:space="preserve"> § 325(b)(3).</w:t>
      </w:r>
    </w:p>
  </w:footnote>
  <w:footnote w:id="15">
    <w:p w:rsidR="00E953FB" w:rsidRPr="00E953FB" w14:paraId="30B834EA" w14:textId="27ABBAD0">
      <w:pPr>
        <w:pStyle w:val="FootnoteText"/>
      </w:pPr>
      <w:r>
        <w:rPr>
          <w:rStyle w:val="FootnoteReference"/>
        </w:rPr>
        <w:footnoteRef/>
      </w:r>
      <w:r>
        <w:t xml:space="preserve"> </w:t>
      </w:r>
      <w:r>
        <w:rPr>
          <w:i/>
        </w:rPr>
        <w:t>See id.</w:t>
      </w:r>
      <w:r>
        <w:t xml:space="preserve"> § 325(b)(3)(C)(ii)-(iii); 47 CFR § 76.64, 76.65.</w:t>
      </w:r>
    </w:p>
  </w:footnote>
  <w:footnote w:id="16">
    <w:p w:rsidR="00310FED" w:rsidRPr="00F2382B" w14:paraId="250AC3FD" w14:textId="6A6A9A13">
      <w:pPr>
        <w:pStyle w:val="FootnoteText"/>
        <w:rPr>
          <w:i/>
        </w:rPr>
      </w:pPr>
      <w:r>
        <w:rPr>
          <w:rStyle w:val="FootnoteReference"/>
        </w:rPr>
        <w:footnoteRef/>
      </w:r>
      <w:r>
        <w:t xml:space="preserve"> </w:t>
      </w:r>
      <w:r w:rsidRPr="00811E2C">
        <w:rPr>
          <w:i/>
          <w:color w:val="000000"/>
        </w:rPr>
        <w:t>Bureau Order</w:t>
      </w:r>
      <w:r>
        <w:rPr>
          <w:color w:val="000000"/>
        </w:rPr>
        <w:t xml:space="preserve">, 31 FCC Rcd at </w:t>
      </w:r>
      <w:r w:rsidR="00D05284">
        <w:rPr>
          <w:color w:val="000000"/>
        </w:rPr>
        <w:t>9553-56</w:t>
      </w:r>
      <w:r>
        <w:rPr>
          <w:color w:val="000000"/>
        </w:rPr>
        <w:t>,</w:t>
      </w:r>
      <w:r w:rsidRPr="00E03913">
        <w:rPr>
          <w:color w:val="000000"/>
        </w:rPr>
        <w:t xml:space="preserve"> </w:t>
      </w:r>
      <w:r>
        <w:rPr>
          <w:color w:val="000000"/>
        </w:rPr>
        <w:t>para.</w:t>
      </w:r>
      <w:r w:rsidRPr="00E03913">
        <w:rPr>
          <w:color w:val="000000"/>
        </w:rPr>
        <w:t xml:space="preserve"> </w:t>
      </w:r>
      <w:r>
        <w:rPr>
          <w:color w:val="000000"/>
        </w:rPr>
        <w:t>6</w:t>
      </w:r>
      <w:r w:rsidRPr="00E03913">
        <w:rPr>
          <w:color w:val="000000"/>
        </w:rPr>
        <w:t>.</w:t>
      </w:r>
      <w:r>
        <w:rPr>
          <w:color w:val="000000"/>
        </w:rPr>
        <w:t xml:space="preserve">  </w:t>
      </w:r>
    </w:p>
  </w:footnote>
  <w:footnote w:id="17">
    <w:p w:rsidR="00310FED" w:rsidRPr="006202B3" w14:paraId="0B0AE684" w14:textId="49C53CB7">
      <w:pPr>
        <w:pStyle w:val="FootnoteText"/>
      </w:pPr>
      <w:r>
        <w:rPr>
          <w:rStyle w:val="FootnoteReference"/>
        </w:rPr>
        <w:footnoteRef/>
      </w:r>
      <w:r>
        <w:t xml:space="preserve"> </w:t>
      </w:r>
      <w:r>
        <w:rPr>
          <w:i/>
        </w:rPr>
        <w:t>Id.</w:t>
      </w:r>
      <w:r>
        <w:t xml:space="preserve"> at </w:t>
      </w:r>
      <w:r w:rsidR="00D05284">
        <w:t xml:space="preserve">9554, </w:t>
      </w:r>
      <w:r>
        <w:t>para. 7.</w:t>
      </w:r>
    </w:p>
  </w:footnote>
  <w:footnote w:id="18">
    <w:p w:rsidR="00310FED" w:rsidRPr="00F2382B" w14:paraId="41F1710E" w14:textId="691B3580">
      <w:pPr>
        <w:pStyle w:val="FootnoteText"/>
        <w:rPr>
          <w:i/>
        </w:rPr>
      </w:pPr>
      <w:r>
        <w:rPr>
          <w:rStyle w:val="FootnoteReference"/>
        </w:rPr>
        <w:footnoteRef/>
      </w:r>
      <w:r>
        <w:t xml:space="preserve"> </w:t>
      </w:r>
      <w:r>
        <w:rPr>
          <w:i/>
        </w:rPr>
        <w:t>Id.</w:t>
      </w:r>
    </w:p>
  </w:footnote>
  <w:footnote w:id="19">
    <w:p w:rsidR="00310FED" w:rsidRPr="00D97DE5" w14:paraId="2F60819B" w14:textId="2E3C11F2">
      <w:pPr>
        <w:pStyle w:val="FootnoteText"/>
      </w:pPr>
      <w:r>
        <w:rPr>
          <w:rStyle w:val="FootnoteReference"/>
        </w:rPr>
        <w:footnoteRef/>
      </w:r>
      <w:r>
        <w:t xml:space="preserve"> </w:t>
      </w:r>
      <w:r>
        <w:rPr>
          <w:i/>
        </w:rPr>
        <w:t xml:space="preserve">Id. </w:t>
      </w:r>
      <w:r>
        <w:t xml:space="preserve">at </w:t>
      </w:r>
      <w:r w:rsidR="00D05284">
        <w:t xml:space="preserve">9554-55, </w:t>
      </w:r>
      <w:r>
        <w:t xml:space="preserve">para. 8.  </w:t>
      </w:r>
    </w:p>
  </w:footnote>
  <w:footnote w:id="20">
    <w:p w:rsidR="00310FED" w:rsidRPr="003427C9" w14:paraId="2458F1C0" w14:textId="25F79DCA">
      <w:pPr>
        <w:pStyle w:val="FootnoteText"/>
        <w:rPr>
          <w:i/>
        </w:rPr>
      </w:pPr>
      <w:r>
        <w:rPr>
          <w:rStyle w:val="FootnoteReference"/>
        </w:rPr>
        <w:footnoteRef/>
      </w:r>
      <w:r>
        <w:t xml:space="preserve"> </w:t>
      </w:r>
      <w:r w:rsidR="00D05284">
        <w:rPr>
          <w:i/>
        </w:rPr>
        <w:t>Id.</w:t>
      </w:r>
    </w:p>
  </w:footnote>
  <w:footnote w:id="21">
    <w:p w:rsidR="007109B2" w:rsidRPr="008736AC" w:rsidP="007109B2" w14:paraId="045D1F6B" w14:textId="77777777">
      <w:pPr>
        <w:pStyle w:val="FootnoteText"/>
      </w:pPr>
      <w:r>
        <w:rPr>
          <w:rStyle w:val="FootnoteReference"/>
        </w:rPr>
        <w:footnoteRef/>
      </w:r>
      <w:r>
        <w:t xml:space="preserve"> </w:t>
      </w:r>
      <w:r>
        <w:rPr>
          <w:i/>
        </w:rPr>
        <w:t>Id.</w:t>
      </w:r>
    </w:p>
  </w:footnote>
  <w:footnote w:id="22">
    <w:p w:rsidR="00310FED" w:rsidRPr="008E468B" w14:paraId="2943ACBC" w14:textId="41B7EA26">
      <w:pPr>
        <w:pStyle w:val="FootnoteText"/>
        <w:rPr>
          <w:i/>
        </w:rPr>
      </w:pPr>
      <w:r>
        <w:rPr>
          <w:rStyle w:val="FootnoteReference"/>
        </w:rPr>
        <w:footnoteRef/>
      </w:r>
      <w:r>
        <w:t xml:space="preserve"> </w:t>
      </w:r>
      <w:r>
        <w:rPr>
          <w:i/>
        </w:rPr>
        <w:t>Id.</w:t>
      </w:r>
    </w:p>
  </w:footnote>
  <w:footnote w:id="23">
    <w:p w:rsidR="00310FED" w:rsidRPr="004E57FE" w14:paraId="244672A1" w14:textId="1D888C93">
      <w:pPr>
        <w:pStyle w:val="FootnoteText"/>
      </w:pPr>
      <w:r>
        <w:rPr>
          <w:rStyle w:val="FootnoteReference"/>
        </w:rPr>
        <w:footnoteRef/>
      </w:r>
      <w:r w:rsidR="007D1719">
        <w:t xml:space="preserve"> </w:t>
      </w:r>
      <w:r w:rsidR="00D05284">
        <w:rPr>
          <w:i/>
        </w:rPr>
        <w:t xml:space="preserve">Id.  </w:t>
      </w:r>
      <w:r w:rsidR="00853CAC">
        <w:t>I</w:t>
      </w:r>
      <w:r w:rsidR="00D05284">
        <w:t>n September 2017</w:t>
      </w:r>
      <w:r w:rsidR="00853CAC">
        <w:t>, LBI</w:t>
      </w:r>
      <w:r w:rsidR="00D05284">
        <w:t xml:space="preserve"> elected must carry status for its television broadcast signals in the Houston, Denver, and Salt Lake City markets at issue</w:t>
      </w:r>
      <w:r w:rsidR="00743E27">
        <w:t>.</w:t>
      </w:r>
      <w:r w:rsidR="00D05284">
        <w:t xml:space="preserve"> </w:t>
      </w:r>
      <w:r w:rsidR="00743E27">
        <w:t xml:space="preserve"> Letter from Michael D. Hurwitz, Counsel to Comcast, to Marlene H. Dortch, FCC, File No. CSR-8922-P, MB Docket No. 16-121 (Oct. 10, 2017).  </w:t>
      </w:r>
      <w:r w:rsidR="00D05284">
        <w:t xml:space="preserve">Comcast </w:t>
      </w:r>
      <w:r w:rsidR="004E57FE">
        <w:t xml:space="preserve">stated that it would resume </w:t>
      </w:r>
      <w:r w:rsidR="00D05284">
        <w:t>carr</w:t>
      </w:r>
      <w:r w:rsidR="004E57FE">
        <w:t>iage of</w:t>
      </w:r>
      <w:r w:rsidR="00D05284">
        <w:t xml:space="preserve"> those signals pursuant to must carry </w:t>
      </w:r>
      <w:r w:rsidR="004E57FE">
        <w:t>at</w:t>
      </w:r>
      <w:r w:rsidR="00D05284">
        <w:t xml:space="preserve"> the start of the must carry/retransmission consent election cycle that commenced on January 1, 2018.</w:t>
      </w:r>
      <w:r w:rsidR="004E57FE">
        <w:t xml:space="preserve">  </w:t>
      </w:r>
      <w:r w:rsidR="004E57FE">
        <w:rPr>
          <w:i/>
        </w:rPr>
        <w:t>Id.</w:t>
      </w:r>
      <w:r w:rsidR="004E57FE">
        <w:t xml:space="preserve"> at 1.</w:t>
      </w:r>
    </w:p>
  </w:footnote>
  <w:footnote w:id="24">
    <w:p w:rsidR="00310FED" w14:paraId="74909116" w14:textId="473EE95F">
      <w:pPr>
        <w:pStyle w:val="FootnoteText"/>
      </w:pPr>
      <w:r>
        <w:rPr>
          <w:rStyle w:val="FootnoteReference"/>
        </w:rPr>
        <w:footnoteRef/>
      </w:r>
      <w:r>
        <w:t xml:space="preserve"> Program Carriage Complaint of Liberman Broadcasting, Inc. and LBI Media, Inc., MB Docket No. 16-121, File No. CSR-8922-P (filed Apr. 8, 2016).</w:t>
      </w:r>
    </w:p>
  </w:footnote>
  <w:footnote w:id="25">
    <w:p w:rsidR="007D1719" w14:paraId="22417A6F" w14:textId="3B4DB613">
      <w:pPr>
        <w:pStyle w:val="FootnoteText"/>
      </w:pPr>
      <w:r>
        <w:rPr>
          <w:rStyle w:val="FootnoteReference"/>
        </w:rPr>
        <w:footnoteRef/>
      </w:r>
      <w:r>
        <w:t xml:space="preserve"> </w:t>
      </w:r>
      <w:r w:rsidRPr="00811E2C">
        <w:rPr>
          <w:i/>
          <w:color w:val="000000"/>
        </w:rPr>
        <w:t>Bureau Order</w:t>
      </w:r>
      <w:r>
        <w:rPr>
          <w:color w:val="000000"/>
        </w:rPr>
        <w:t xml:space="preserve">, 31 FCC Rcd at </w:t>
      </w:r>
      <w:r w:rsidR="004E57FE">
        <w:rPr>
          <w:color w:val="000000"/>
        </w:rPr>
        <w:t>9551</w:t>
      </w:r>
      <w:r>
        <w:rPr>
          <w:color w:val="000000"/>
        </w:rPr>
        <w:t>,</w:t>
      </w:r>
      <w:r w:rsidRPr="00E03913">
        <w:rPr>
          <w:color w:val="000000"/>
        </w:rPr>
        <w:t xml:space="preserve"> </w:t>
      </w:r>
      <w:r>
        <w:rPr>
          <w:color w:val="000000"/>
        </w:rPr>
        <w:t>para.</w:t>
      </w:r>
      <w:r w:rsidRPr="00E03913">
        <w:rPr>
          <w:color w:val="000000"/>
        </w:rPr>
        <w:t xml:space="preserve"> </w:t>
      </w:r>
      <w:r>
        <w:rPr>
          <w:color w:val="000000"/>
        </w:rPr>
        <w:t>1</w:t>
      </w:r>
      <w:r w:rsidRPr="00E03913">
        <w:rPr>
          <w:color w:val="000000"/>
        </w:rPr>
        <w:t>.</w:t>
      </w:r>
      <w:r>
        <w:t xml:space="preserve">  </w:t>
      </w:r>
    </w:p>
  </w:footnote>
  <w:footnote w:id="26">
    <w:p w:rsidR="00310FED" w:rsidRPr="004B0A1D" w:rsidP="007E425E" w14:paraId="4E25805D" w14:textId="042245FB">
      <w:pPr>
        <w:pStyle w:val="FootnoteText"/>
        <w:rPr>
          <w:i/>
        </w:rPr>
      </w:pPr>
      <w:r>
        <w:rPr>
          <w:rStyle w:val="FootnoteReference"/>
        </w:rPr>
        <w:footnoteRef/>
      </w:r>
      <w:r>
        <w:t xml:space="preserve"> </w:t>
      </w:r>
      <w:r w:rsidR="004E57FE">
        <w:rPr>
          <w:i/>
        </w:rPr>
        <w:t>Id.</w:t>
      </w:r>
      <w:r>
        <w:t xml:space="preserve">  </w:t>
      </w:r>
    </w:p>
  </w:footnote>
  <w:footnote w:id="27">
    <w:p w:rsidR="00310FED" w:rsidRPr="004E57FE" w14:paraId="0DF6B554" w14:textId="6CBB4749">
      <w:pPr>
        <w:pStyle w:val="FootnoteText"/>
      </w:pPr>
      <w:r>
        <w:rPr>
          <w:rStyle w:val="FootnoteReference"/>
        </w:rPr>
        <w:footnoteRef/>
      </w:r>
      <w:r>
        <w:t xml:space="preserve"> </w:t>
      </w:r>
      <w:r>
        <w:rPr>
          <w:i/>
        </w:rPr>
        <w:t>Id.</w:t>
      </w:r>
      <w:r w:rsidR="004E57FE">
        <w:t>, n.5.</w:t>
      </w:r>
    </w:p>
  </w:footnote>
  <w:footnote w:id="28">
    <w:p w:rsidR="00310FED" w:rsidRPr="002918B5" w:rsidP="007E425E" w14:paraId="0FBA4A01" w14:textId="59655B7E">
      <w:pPr>
        <w:pStyle w:val="FootnoteText"/>
      </w:pPr>
      <w:r>
        <w:rPr>
          <w:rStyle w:val="FootnoteReference"/>
        </w:rPr>
        <w:footnoteRef/>
      </w:r>
      <w:r>
        <w:t xml:space="preserve"> </w:t>
      </w:r>
      <w:r>
        <w:rPr>
          <w:i/>
        </w:rPr>
        <w:t>Id.</w:t>
      </w:r>
      <w:r>
        <w:t xml:space="preserve"> at </w:t>
      </w:r>
      <w:r w:rsidR="004E57FE">
        <w:t xml:space="preserve">9551-52, para. </w:t>
      </w:r>
      <w:r>
        <w:t>2</w:t>
      </w:r>
      <w:r w:rsidR="00E7171C">
        <w:t>.</w:t>
      </w:r>
    </w:p>
  </w:footnote>
  <w:footnote w:id="29">
    <w:p w:rsidR="007109B2" w14:paraId="757EE6DD" w14:textId="5ABC8E15">
      <w:pPr>
        <w:pStyle w:val="FootnoteText"/>
      </w:pPr>
      <w:r>
        <w:rPr>
          <w:rStyle w:val="FootnoteReference"/>
        </w:rPr>
        <w:footnoteRef/>
      </w:r>
      <w:r>
        <w:t xml:space="preserve"> 47 U.S.C.</w:t>
      </w:r>
      <w:r>
        <w:rPr>
          <w:i/>
        </w:rPr>
        <w:t xml:space="preserve"> </w:t>
      </w:r>
      <w:r>
        <w:rPr>
          <w:color w:val="000000"/>
        </w:rPr>
        <w:t>§ 536.</w:t>
      </w:r>
    </w:p>
  </w:footnote>
  <w:footnote w:id="30">
    <w:p w:rsidR="007109B2" w14:paraId="37A96BBD" w14:textId="53210595">
      <w:pPr>
        <w:pStyle w:val="FootnoteText"/>
      </w:pPr>
      <w:r>
        <w:rPr>
          <w:rStyle w:val="FootnoteReference"/>
        </w:rPr>
        <w:footnoteRef/>
      </w:r>
      <w:r>
        <w:t xml:space="preserve"> 47 CFR </w:t>
      </w:r>
      <w:r>
        <w:rPr>
          <w:color w:val="000000"/>
        </w:rPr>
        <w:t>§ 76.1301(a), (c).</w:t>
      </w:r>
    </w:p>
  </w:footnote>
  <w:footnote w:id="31">
    <w:p w:rsidR="00310FED" w14:paraId="421B31ED" w14:textId="0C743761">
      <w:pPr>
        <w:pStyle w:val="FootnoteText"/>
      </w:pPr>
      <w:r>
        <w:rPr>
          <w:rStyle w:val="FootnoteReference"/>
        </w:rPr>
        <w:footnoteRef/>
      </w:r>
      <w:r>
        <w:t xml:space="preserve"> </w:t>
      </w:r>
      <w:r w:rsidR="00CD36E6">
        <w:rPr>
          <w:i/>
        </w:rPr>
        <w:t xml:space="preserve">Bureau </w:t>
      </w:r>
      <w:r w:rsidRPr="00CD36E6" w:rsidR="00CD36E6">
        <w:rPr>
          <w:i/>
        </w:rPr>
        <w:t>Order</w:t>
      </w:r>
      <w:r w:rsidR="00CD36E6">
        <w:t xml:space="preserve">, 31 FCC Rcd at </w:t>
      </w:r>
      <w:r w:rsidRPr="00CD36E6" w:rsidR="00CD36E6">
        <w:t>9551-52,</w:t>
      </w:r>
      <w:r w:rsidR="00875E7C">
        <w:t xml:space="preserve"> 9556-57,</w:t>
      </w:r>
      <w:r w:rsidRPr="00CD36E6" w:rsidR="00CD36E6">
        <w:t xml:space="preserve"> para</w:t>
      </w:r>
      <w:r w:rsidR="00875E7C">
        <w:t>s</w:t>
      </w:r>
      <w:r w:rsidRPr="00CD36E6" w:rsidR="00CD36E6">
        <w:t>. 2</w:t>
      </w:r>
      <w:r w:rsidR="00875E7C">
        <w:t>, 12</w:t>
      </w:r>
      <w:r w:rsidR="00A02836">
        <w:t xml:space="preserve"> (“</w:t>
      </w:r>
      <w:r w:rsidRPr="00A02836" w:rsidR="00A02836">
        <w:t xml:space="preserve">LBI </w:t>
      </w:r>
      <w:r w:rsidR="00A02836">
        <w:t xml:space="preserve">. . . </w:t>
      </w:r>
      <w:r w:rsidRPr="00A02836" w:rsidR="00A02836">
        <w:t xml:space="preserve">is in fact negotiating compensation for the retransmission of its television broadcast </w:t>
      </w:r>
      <w:r w:rsidR="00163F3F">
        <w:t>‘</w:t>
      </w:r>
      <w:r w:rsidRPr="00A02836" w:rsidR="00A02836">
        <w:t>signal</w:t>
      </w:r>
      <w:r w:rsidR="00163F3F">
        <w:t>’</w:t>
      </w:r>
      <w:r w:rsidRPr="00A02836" w:rsidR="00A02836">
        <w:t xml:space="preserve"> rather than carriage of the </w:t>
      </w:r>
      <w:r w:rsidR="00163F3F">
        <w:t>‘</w:t>
      </w:r>
      <w:r w:rsidRPr="00A02836" w:rsidR="00A02836">
        <w:t>video programming</w:t>
      </w:r>
      <w:r w:rsidR="00163F3F">
        <w:t>’</w:t>
      </w:r>
      <w:r w:rsidRPr="00A02836" w:rsidR="00A02836">
        <w:t xml:space="preserve"> contained within that signal.</w:t>
      </w:r>
      <w:r w:rsidR="00A02836">
        <w:t>”)</w:t>
      </w:r>
      <w:r w:rsidRPr="00CD36E6" w:rsidR="00CD36E6">
        <w:t>.</w:t>
      </w:r>
      <w:r>
        <w:t xml:space="preserve"> </w:t>
      </w:r>
    </w:p>
  </w:footnote>
  <w:footnote w:id="32">
    <w:p w:rsidR="00310FED" w:rsidRPr="004E57FE" w:rsidP="004A73EC" w14:paraId="35726C85" w14:textId="44ECEAF1">
      <w:pPr>
        <w:pStyle w:val="FootnoteText"/>
      </w:pPr>
      <w:r>
        <w:rPr>
          <w:rStyle w:val="FootnoteReference"/>
        </w:rPr>
        <w:footnoteRef/>
      </w:r>
      <w:r>
        <w:t xml:space="preserve"> </w:t>
      </w:r>
      <w:r w:rsidR="004E57FE">
        <w:t>T</w:t>
      </w:r>
      <w:r>
        <w:t xml:space="preserve">he Bureau’s finding that LBI lacked standing to </w:t>
      </w:r>
      <w:r w:rsidR="000616D2">
        <w:t xml:space="preserve">bring a </w:t>
      </w:r>
      <w:r>
        <w:t xml:space="preserve">program carriage </w:t>
      </w:r>
      <w:r w:rsidR="000616D2">
        <w:t xml:space="preserve">complaint </w:t>
      </w:r>
      <w:r>
        <w:t>applied</w:t>
      </w:r>
      <w:r>
        <w:rPr>
          <w:color w:val="000000"/>
          <w:szCs w:val="22"/>
        </w:rPr>
        <w:t xml:space="preserve"> only to LBI’s claims </w:t>
      </w:r>
      <w:r w:rsidR="000616D2">
        <w:rPr>
          <w:color w:val="000000"/>
          <w:szCs w:val="22"/>
        </w:rPr>
        <w:t>regarding</w:t>
      </w:r>
      <w:r>
        <w:rPr>
          <w:color w:val="000000"/>
          <w:szCs w:val="22"/>
        </w:rPr>
        <w:t xml:space="preserve"> carriage of its television broadcast signals in the Houston, Denver, and Salt Lake City markets.  </w:t>
      </w:r>
      <w:r>
        <w:rPr>
          <w:i/>
          <w:color w:val="000000"/>
          <w:szCs w:val="22"/>
        </w:rPr>
        <w:t xml:space="preserve">Id. </w:t>
      </w:r>
      <w:r>
        <w:rPr>
          <w:color w:val="000000"/>
          <w:szCs w:val="22"/>
        </w:rPr>
        <w:t xml:space="preserve">at </w:t>
      </w:r>
      <w:r w:rsidR="004E57FE">
        <w:rPr>
          <w:color w:val="000000"/>
          <w:szCs w:val="22"/>
        </w:rPr>
        <w:t xml:space="preserve">9552, 9560, </w:t>
      </w:r>
      <w:r>
        <w:rPr>
          <w:color w:val="000000"/>
          <w:szCs w:val="22"/>
        </w:rPr>
        <w:t xml:space="preserve">paras. 2, 19.    </w:t>
      </w:r>
    </w:p>
  </w:footnote>
  <w:footnote w:id="33">
    <w:p w:rsidR="00B37729" w14:paraId="0BDF32E3" w14:textId="01B14624">
      <w:pPr>
        <w:pStyle w:val="FootnoteText"/>
      </w:pPr>
      <w:r>
        <w:rPr>
          <w:rStyle w:val="FootnoteReference"/>
        </w:rPr>
        <w:footnoteRef/>
      </w:r>
      <w:r>
        <w:t xml:space="preserve"> </w:t>
      </w:r>
      <w:r>
        <w:rPr>
          <w:i/>
          <w:color w:val="000000"/>
          <w:szCs w:val="22"/>
        </w:rPr>
        <w:t>Id.</w:t>
      </w:r>
      <w:r>
        <w:rPr>
          <w:color w:val="000000"/>
          <w:szCs w:val="22"/>
        </w:rPr>
        <w:t xml:space="preserve">  The Bureau stated that it would not opine on the likely success of a program carriage complaint relating to distribution of LBI’s satellite feed in “white areas.”  </w:t>
      </w:r>
      <w:r>
        <w:rPr>
          <w:i/>
          <w:color w:val="000000"/>
          <w:szCs w:val="22"/>
        </w:rPr>
        <w:t>Id.</w:t>
      </w:r>
      <w:r>
        <w:rPr>
          <w:color w:val="000000"/>
          <w:szCs w:val="22"/>
        </w:rPr>
        <w:t xml:space="preserve"> at 9560, para. 19, n.77.  We note that LBI, to date, has filed no such complaints with the Commission, and that Comcast presently is carrying Estrella TV in the Houston, Denver, and Salt Lake City markets pursuant to must carry.  </w:t>
      </w:r>
      <w:r>
        <w:rPr>
          <w:i/>
          <w:color w:val="000000"/>
          <w:szCs w:val="22"/>
        </w:rPr>
        <w:t xml:space="preserve">Supra </w:t>
      </w:r>
      <w:r>
        <w:rPr>
          <w:color w:val="000000"/>
          <w:szCs w:val="22"/>
        </w:rPr>
        <w:t xml:space="preserve">note 21.   </w:t>
      </w:r>
    </w:p>
  </w:footnote>
  <w:footnote w:id="34">
    <w:p w:rsidR="00310FED" w:rsidRPr="00FE33FD" w14:paraId="19E1BAD5" w14:textId="677B0C6F">
      <w:pPr>
        <w:pStyle w:val="FootnoteText"/>
      </w:pPr>
      <w:r>
        <w:rPr>
          <w:rStyle w:val="FootnoteReference"/>
        </w:rPr>
        <w:footnoteRef/>
      </w:r>
      <w:r>
        <w:t xml:space="preserve"> Petition at 4-13 (discussing its standing to bring a complaint under section 616 and the Commission’s program carriage rules); </w:t>
      </w:r>
      <w:r>
        <w:rPr>
          <w:i/>
        </w:rPr>
        <w:t>id.</w:t>
      </w:r>
      <w:r>
        <w:t xml:space="preserve"> at 13-14 (discussing its standing to bring a complaint under the </w:t>
      </w:r>
      <w:r>
        <w:rPr>
          <w:i/>
        </w:rPr>
        <w:t>Comcast-NBCU Order</w:t>
      </w:r>
      <w:r>
        <w:t xml:space="preserve"> and conditions).</w:t>
      </w:r>
    </w:p>
  </w:footnote>
  <w:footnote w:id="35">
    <w:p w:rsidR="00D4511B" w:rsidRPr="006B6F96" w14:paraId="38EFC143" w14:textId="51625E44">
      <w:pPr>
        <w:pStyle w:val="FootnoteText"/>
      </w:pPr>
      <w:r>
        <w:rPr>
          <w:rStyle w:val="FootnoteReference"/>
        </w:rPr>
        <w:footnoteRef/>
      </w:r>
      <w:r>
        <w:t xml:space="preserve"> </w:t>
      </w:r>
      <w:r w:rsidR="00452FD4">
        <w:rPr>
          <w:i/>
        </w:rPr>
        <w:t>Id.</w:t>
      </w:r>
      <w:r w:rsidR="00452FD4">
        <w:t xml:space="preserve"> at 14-15.  LBI asserts that its counts for relief “were broadly worded and referred to illegal action </w:t>
      </w:r>
      <w:r w:rsidR="00F44FBC">
        <w:t>against</w:t>
      </w:r>
      <w:r w:rsidR="00452FD4">
        <w:t xml:space="preserve"> Estrella TV generally . . . not just with regard to its provision of video programming in </w:t>
      </w:r>
      <w:r w:rsidR="00F44FBC">
        <w:t>a</w:t>
      </w:r>
      <w:r w:rsidR="00452FD4">
        <w:t xml:space="preserve"> broadcast capacity,” and that the Bureau thus err</w:t>
      </w:r>
      <w:r w:rsidR="006B6F96">
        <w:t xml:space="preserve">ed in failing to consider its program carriage complaint in white areas.  </w:t>
      </w:r>
      <w:r w:rsidR="006B6F96">
        <w:rPr>
          <w:i/>
        </w:rPr>
        <w:t xml:space="preserve">Id.  </w:t>
      </w:r>
      <w:r w:rsidR="006B6F96">
        <w:t xml:space="preserve">Although </w:t>
      </w:r>
      <w:r w:rsidR="00AC485F">
        <w:t xml:space="preserve">LBI in its complaint </w:t>
      </w:r>
      <w:r w:rsidR="00AF5B2E">
        <w:t xml:space="preserve">stated </w:t>
      </w:r>
      <w:r w:rsidR="00AC485F">
        <w:t>that it had sought from Comcast carriage and compensation in white area</w:t>
      </w:r>
      <w:r w:rsidR="00811C76">
        <w:t>s</w:t>
      </w:r>
      <w:r w:rsidR="00AC485F">
        <w:t xml:space="preserve">, the Bureau concluded that “the focus of LBI’s pleadings is on carriage of its broadcast stations, particularly in the Houston, Denver, and Salt Lake City markets at issue.”  </w:t>
      </w:r>
      <w:r w:rsidRPr="00811E2C" w:rsidR="00AC485F">
        <w:rPr>
          <w:i/>
          <w:color w:val="000000"/>
        </w:rPr>
        <w:t>Bureau Order</w:t>
      </w:r>
      <w:r w:rsidR="00AC485F">
        <w:rPr>
          <w:color w:val="000000"/>
        </w:rPr>
        <w:t>, 31 FCC Rcd at 9554,</w:t>
      </w:r>
      <w:r w:rsidRPr="00E03913" w:rsidR="00AC485F">
        <w:rPr>
          <w:color w:val="000000"/>
        </w:rPr>
        <w:t xml:space="preserve"> </w:t>
      </w:r>
      <w:r w:rsidR="00AC485F">
        <w:rPr>
          <w:color w:val="000000"/>
        </w:rPr>
        <w:t>para.</w:t>
      </w:r>
      <w:r w:rsidRPr="00E03913" w:rsidR="00AC485F">
        <w:rPr>
          <w:color w:val="000000"/>
        </w:rPr>
        <w:t xml:space="preserve"> </w:t>
      </w:r>
      <w:r w:rsidR="00AC485F">
        <w:rPr>
          <w:color w:val="000000"/>
        </w:rPr>
        <w:t>6, n.23</w:t>
      </w:r>
      <w:r w:rsidRPr="00E03913" w:rsidR="00AC485F">
        <w:rPr>
          <w:color w:val="000000"/>
        </w:rPr>
        <w:t>.</w:t>
      </w:r>
      <w:r w:rsidR="00AC485F">
        <w:t xml:space="preserve">  </w:t>
      </w:r>
      <w:r w:rsidR="00811C76">
        <w:t xml:space="preserve">LBI’s complaint, therefore, did not </w:t>
      </w:r>
      <w:r w:rsidR="00F822D4">
        <w:t xml:space="preserve">raise </w:t>
      </w:r>
      <w:r w:rsidR="00811C76">
        <w:t xml:space="preserve">squarely the issue of whether </w:t>
      </w:r>
      <w:r w:rsidR="00BB3618">
        <w:t>LBI has standing to bring a program carriage complaint by virtue of its provision of a satellite feed to Comcast for distribution of Estrella TV in white areas.</w:t>
      </w:r>
    </w:p>
  </w:footnote>
  <w:footnote w:id="36">
    <w:p w:rsidR="00310FED" w:rsidRPr="00614AA9" w14:paraId="2F9AC166" w14:textId="3C060735">
      <w:pPr>
        <w:pStyle w:val="FootnoteText"/>
      </w:pPr>
      <w:r>
        <w:rPr>
          <w:rStyle w:val="FootnoteReference"/>
        </w:rPr>
        <w:footnoteRef/>
      </w:r>
      <w:r>
        <w:t xml:space="preserve"> </w:t>
      </w:r>
      <w:r w:rsidR="00D345BE">
        <w:t>Petition</w:t>
      </w:r>
      <w:r>
        <w:t xml:space="preserve"> </w:t>
      </w:r>
      <w:r w:rsidRPr="00D015C8">
        <w:t xml:space="preserve">at 15-18.  </w:t>
      </w:r>
    </w:p>
  </w:footnote>
  <w:footnote w:id="37">
    <w:p w:rsidR="00DB4056" w14:paraId="4F47347F" w14:textId="7313455D">
      <w:pPr>
        <w:pStyle w:val="FootnoteText"/>
      </w:pPr>
      <w:r>
        <w:rPr>
          <w:rStyle w:val="FootnoteReference"/>
        </w:rPr>
        <w:footnoteRef/>
      </w:r>
      <w:r>
        <w:t xml:space="preserve"> 47 CFR § 1.106(p).</w:t>
      </w:r>
      <w:r w:rsidR="008E2CA6">
        <w:t xml:space="preserve">  </w:t>
      </w:r>
      <w:r w:rsidR="008E2CA6">
        <w:rPr>
          <w:rStyle w:val="Emphasis"/>
          <w:bCs/>
          <w:color w:val="000000" w:themeColor="text1"/>
          <w:bdr w:val="none" w:sz="0" w:space="0" w:color="auto" w:frame="1"/>
          <w:shd w:val="clear" w:color="auto" w:fill="FFFFFF"/>
        </w:rPr>
        <w:t>See A</w:t>
      </w:r>
      <w:r w:rsidRPr="001278FC" w:rsidR="008E2CA6">
        <w:rPr>
          <w:rStyle w:val="Emphasis"/>
          <w:bCs/>
          <w:color w:val="000000" w:themeColor="text1"/>
          <w:bdr w:val="none" w:sz="0" w:space="0" w:color="auto" w:frame="1"/>
          <w:shd w:val="clear" w:color="auto" w:fill="FFFFFF"/>
        </w:rPr>
        <w:t>mendment of Certain of the Commission’s Part 1 Rules of Practice and Procedure and Part 0 Rules of Commission Organization</w:t>
      </w:r>
      <w:r w:rsidRPr="001278FC" w:rsidR="008E2CA6">
        <w:rPr>
          <w:rStyle w:val="cosearchterm"/>
          <w:bCs/>
          <w:color w:val="000000" w:themeColor="text1"/>
          <w:bdr w:val="none" w:sz="0" w:space="0" w:color="auto" w:frame="1"/>
          <w:shd w:val="clear" w:color="auto" w:fill="FFFFFF"/>
        </w:rPr>
        <w:t xml:space="preserve">, Report and Order, 26 FCC Rcd 1594, 1606, para. 27 (2011) </w:t>
      </w:r>
      <w:r w:rsidRPr="001278FC" w:rsidR="008E2CA6">
        <w:rPr>
          <w:color w:val="000000" w:themeColor="text1"/>
          <w:shd w:val="clear" w:color="auto" w:fill="FFFFFF"/>
        </w:rPr>
        <w:t>(delegating to the relevant bureaus or offices the authority to dismiss or deny petitions for reconsideration of staff level decisions that are procedurally defective or that merely repeat arguments that have been previously considered and rejected)</w:t>
      </w:r>
      <w:r w:rsidR="008E2CA6">
        <w:rPr>
          <w:color w:val="000000" w:themeColor="text1"/>
          <w:shd w:val="clear" w:color="auto" w:fill="FFFFFF"/>
        </w:rPr>
        <w:t>.</w:t>
      </w:r>
    </w:p>
  </w:footnote>
  <w:footnote w:id="38">
    <w:p w:rsidR="00DB4056" w14:paraId="6F0B30F1" w14:textId="7219CCC2">
      <w:pPr>
        <w:pStyle w:val="FootnoteText"/>
      </w:pPr>
      <w:r>
        <w:rPr>
          <w:rStyle w:val="FootnoteReference"/>
        </w:rPr>
        <w:footnoteRef/>
      </w:r>
      <w:r>
        <w:t xml:space="preserve"> </w:t>
      </w:r>
      <w:r w:rsidR="008E2CA6">
        <w:t>47 CFR</w:t>
      </w:r>
      <w:r>
        <w:t xml:space="preserve"> § 1.106(p)</w:t>
      </w:r>
      <w:r w:rsidR="000F60C4">
        <w:t xml:space="preserve">(1), </w:t>
      </w:r>
      <w:r>
        <w:t xml:space="preserve">(3).  </w:t>
      </w:r>
    </w:p>
  </w:footnote>
  <w:footnote w:id="39">
    <w:p w:rsidR="007D4D76" w14:paraId="3CB43942" w14:textId="551BAAB4">
      <w:pPr>
        <w:pStyle w:val="FootnoteText"/>
      </w:pPr>
      <w:r>
        <w:rPr>
          <w:rStyle w:val="FootnoteReference"/>
        </w:rPr>
        <w:footnoteRef/>
      </w:r>
      <w:r>
        <w:t xml:space="preserve"> </w:t>
      </w:r>
      <w:r w:rsidRPr="00E17E1D">
        <w:rPr>
          <w:i/>
        </w:rPr>
        <w:t>Bureau Order</w:t>
      </w:r>
      <w:r>
        <w:t xml:space="preserve">, 31 FCC Rcd at 9556-9561, paras. 11-22.  </w:t>
      </w:r>
    </w:p>
  </w:footnote>
  <w:footnote w:id="40">
    <w:p w:rsidR="00921C8F" w:rsidRPr="00921C8F" w14:paraId="42FB1A4E" w14:textId="6245D59D">
      <w:pPr>
        <w:pStyle w:val="FootnoteText"/>
      </w:pPr>
      <w:r>
        <w:rPr>
          <w:rStyle w:val="FootnoteReference"/>
        </w:rPr>
        <w:footnoteRef/>
      </w:r>
      <w:r>
        <w:t xml:space="preserve"> </w:t>
      </w:r>
      <w:r>
        <w:rPr>
          <w:i/>
        </w:rPr>
        <w:t>Id.</w:t>
      </w:r>
      <w:r w:rsidR="00D52483">
        <w:rPr>
          <w:i/>
        </w:rPr>
        <w:t xml:space="preserve"> </w:t>
      </w:r>
      <w:r w:rsidR="00D52483">
        <w:t>at</w:t>
      </w:r>
      <w:r>
        <w:t xml:space="preserve"> </w:t>
      </w:r>
      <w:r w:rsidR="00726A25">
        <w:t>9556-59</w:t>
      </w:r>
      <w:r w:rsidR="00D52483">
        <w:t xml:space="preserve">, </w:t>
      </w:r>
      <w:r>
        <w:t xml:space="preserve">paras. 12-16. </w:t>
      </w:r>
    </w:p>
  </w:footnote>
  <w:footnote w:id="41">
    <w:p w:rsidR="00921C8F" w:rsidRPr="00D52483" w14:paraId="0139859D" w14:textId="507B5E38">
      <w:pPr>
        <w:pStyle w:val="FootnoteText"/>
      </w:pPr>
      <w:r>
        <w:rPr>
          <w:rStyle w:val="FootnoteReference"/>
        </w:rPr>
        <w:footnoteRef/>
      </w:r>
      <w:r>
        <w:t xml:space="preserve"> </w:t>
      </w:r>
      <w:r w:rsidR="00D52483">
        <w:rPr>
          <w:i/>
        </w:rPr>
        <w:t>Id.</w:t>
      </w:r>
      <w:r w:rsidR="00D52483">
        <w:t xml:space="preserve"> at </w:t>
      </w:r>
      <w:r w:rsidR="00726A25">
        <w:t>9558-59</w:t>
      </w:r>
      <w:r w:rsidR="00D52483">
        <w:t>, para. 17.</w:t>
      </w:r>
    </w:p>
  </w:footnote>
  <w:footnote w:id="42">
    <w:p w:rsidR="00D52483" w:rsidRPr="00D52483" w14:paraId="539655F6" w14:textId="13494014">
      <w:pPr>
        <w:pStyle w:val="FootnoteText"/>
      </w:pPr>
      <w:r>
        <w:rPr>
          <w:rStyle w:val="FootnoteReference"/>
        </w:rPr>
        <w:footnoteRef/>
      </w:r>
      <w:r>
        <w:t xml:space="preserve"> </w:t>
      </w:r>
      <w:r>
        <w:rPr>
          <w:i/>
        </w:rPr>
        <w:t xml:space="preserve">Id. </w:t>
      </w:r>
      <w:r>
        <w:t xml:space="preserve">at </w:t>
      </w:r>
      <w:r w:rsidR="00726A25">
        <w:t>9556-57</w:t>
      </w:r>
      <w:r>
        <w:t>, para. 12.</w:t>
      </w:r>
    </w:p>
  </w:footnote>
  <w:footnote w:id="43">
    <w:p w:rsidR="00C862C0" w:rsidRPr="007D4D76" w:rsidP="00C862C0" w14:paraId="351E1910" w14:textId="77777777">
      <w:pPr>
        <w:pStyle w:val="FootnoteText"/>
        <w:rPr>
          <w:i/>
        </w:rPr>
      </w:pPr>
      <w:r>
        <w:rPr>
          <w:rStyle w:val="FootnoteReference"/>
        </w:rPr>
        <w:footnoteRef/>
      </w:r>
      <w:r>
        <w:t xml:space="preserve"> </w:t>
      </w:r>
      <w:r>
        <w:rPr>
          <w:i/>
        </w:rPr>
        <w:t xml:space="preserve">See </w:t>
      </w:r>
      <w:r>
        <w:t xml:space="preserve">Comcast Opposition at 4.  </w:t>
      </w:r>
      <w:r>
        <w:rPr>
          <w:i/>
        </w:rPr>
        <w:t xml:space="preserve">See also </w:t>
      </w:r>
      <w:r w:rsidRPr="001A7CB3">
        <w:rPr>
          <w:i/>
          <w:iCs/>
        </w:rPr>
        <w:t>WWIZ, Inc</w:t>
      </w:r>
      <w:r w:rsidRPr="001A7CB3">
        <w:t>., Memorandum Opinion and Order, 37 FCC 685, 686 (1964)</w:t>
      </w:r>
      <w:r>
        <w:t xml:space="preserve"> (finding that reconsideration</w:t>
      </w:r>
      <w:r w:rsidRPr="001A7CB3">
        <w:t xml:space="preserve"> will not be granted for the purpose of debating matters on which </w:t>
      </w:r>
      <w:r>
        <w:t xml:space="preserve">the Commission </w:t>
      </w:r>
      <w:r w:rsidRPr="001A7CB3">
        <w:t>has deliberated and spoken</w:t>
      </w:r>
      <w:r>
        <w:t>).</w:t>
      </w:r>
    </w:p>
  </w:footnote>
  <w:footnote w:id="44">
    <w:p w:rsidR="008B369C" w14:paraId="19B9E101" w14:textId="77777777">
      <w:pPr>
        <w:pStyle w:val="FootnoteText"/>
      </w:pPr>
      <w:r>
        <w:rPr>
          <w:rStyle w:val="FootnoteReference"/>
        </w:rPr>
        <w:footnoteRef/>
      </w:r>
      <w:r>
        <w:t xml:space="preserve"> Section 1.106(c) of the rules states that a petition for reconsideration that relies on new facts or arguments may be granted only if those facts or arguments relate to events that have occurred, or circumstances that have changed, since the last opportunity to present such matters, or when the petition relies on facts or arguments unknown to the petitioner until after his last opportunity to present those facts or arguments.  47 CFR § 1.106(c)(1) (referencing 47 CFR § 1.106(b)(2)).</w:t>
      </w:r>
    </w:p>
    <w:p w:rsidR="003C702E" w:rsidRPr="008B369C" w14:paraId="394BCB3D" w14:textId="356A4E0F">
      <w:pPr>
        <w:pStyle w:val="FootnoteText"/>
      </w:pPr>
      <w:r w:rsidRPr="008B369C">
        <w:rPr>
          <w:color w:val="000000" w:themeColor="text1"/>
        </w:rPr>
        <w:t xml:space="preserve">LBI in its Petition argues for the first time that the Commission in Reports to Congress pertaining to </w:t>
      </w:r>
      <w:r w:rsidR="00E92531">
        <w:rPr>
          <w:color w:val="000000" w:themeColor="text1"/>
        </w:rPr>
        <w:t>s</w:t>
      </w:r>
      <w:r w:rsidRPr="008B369C">
        <w:rPr>
          <w:color w:val="000000" w:themeColor="text1"/>
        </w:rPr>
        <w:t xml:space="preserve">ection 26 of 1992 Cable Act held that a “video programming vendor” includes a “broadcast network.”  Petition at 8-9.  </w:t>
      </w:r>
      <w:r w:rsidRPr="008B369C">
        <w:rPr>
          <w:i/>
          <w:color w:val="000000" w:themeColor="text1"/>
        </w:rPr>
        <w:t xml:space="preserve">See also </w:t>
      </w:r>
      <w:r w:rsidRPr="008B369C">
        <w:rPr>
          <w:color w:val="000000" w:themeColor="text1"/>
        </w:rPr>
        <w:t>C</w:t>
      </w:r>
      <w:r w:rsidRPr="008B369C">
        <w:rPr>
          <w:color w:val="000000" w:themeColor="text1"/>
          <w:shd w:val="clear" w:color="auto" w:fill="FFFFFF"/>
        </w:rPr>
        <w:t>able Television Consumer Protection and Competition Act of 1992, </w:t>
      </w:r>
      <w:r w:rsidRPr="008B369C">
        <w:rPr>
          <w:color w:val="000000" w:themeColor="text1"/>
          <w:bdr w:val="none" w:sz="0" w:space="0" w:color="auto" w:frame="1"/>
          <w:shd w:val="clear" w:color="auto" w:fill="FFFFFF"/>
        </w:rPr>
        <w:t>Pub. L. No. 102–385, § 26, 106 Stat. 1460</w:t>
      </w:r>
      <w:r w:rsidRPr="008B369C">
        <w:rPr>
          <w:color w:val="000000" w:themeColor="text1"/>
          <w:shd w:val="clear" w:color="auto" w:fill="FFFFFF"/>
        </w:rPr>
        <w:t xml:space="preserve">, 1502-03 (1992) (“1992 Cable Act”); </w:t>
      </w:r>
      <w:r w:rsidRPr="008B369C">
        <w:rPr>
          <w:i/>
          <w:color w:val="000000" w:themeColor="text1"/>
        </w:rPr>
        <w:t>Implementation of Section 26</w:t>
      </w:r>
      <w:r w:rsidRPr="008B369C">
        <w:rPr>
          <w:color w:val="000000" w:themeColor="text1"/>
        </w:rPr>
        <w:t>, Interim Report, 8 FCC Rcd 4875, 4889, para. 74 (1993) (</w:t>
      </w:r>
      <w:r w:rsidRPr="008B369C">
        <w:rPr>
          <w:i/>
          <w:color w:val="000000" w:themeColor="text1"/>
        </w:rPr>
        <w:t>Interim Report</w:t>
      </w:r>
      <w:r w:rsidRPr="008B369C">
        <w:rPr>
          <w:color w:val="000000" w:themeColor="text1"/>
        </w:rPr>
        <w:t xml:space="preserve">); </w:t>
      </w:r>
      <w:r w:rsidRPr="008B369C">
        <w:rPr>
          <w:i/>
          <w:color w:val="000000" w:themeColor="text1"/>
        </w:rPr>
        <w:t>Implementation of Section 26</w:t>
      </w:r>
      <w:r w:rsidRPr="008B369C">
        <w:rPr>
          <w:color w:val="000000" w:themeColor="text1"/>
        </w:rPr>
        <w:t>, Final Report, 9 FCC Rcd 3440, 3442, para. 3 (1993) (</w:t>
      </w:r>
      <w:r w:rsidRPr="008B369C">
        <w:rPr>
          <w:i/>
          <w:color w:val="000000" w:themeColor="text1"/>
        </w:rPr>
        <w:t>Final Report</w:t>
      </w:r>
      <w:r w:rsidRPr="008B369C">
        <w:rPr>
          <w:color w:val="000000" w:themeColor="text1"/>
        </w:rPr>
        <w:t xml:space="preserve">).  Because LBI failed to demonstrate why it could not have presented this argument earlier, we dismiss this claim.  47 CFR § 1.106(c).  On an alternative and independent basis, we </w:t>
      </w:r>
      <w:r w:rsidR="000F60C4">
        <w:rPr>
          <w:color w:val="000000" w:themeColor="text1"/>
        </w:rPr>
        <w:t xml:space="preserve">deny </w:t>
      </w:r>
      <w:r w:rsidRPr="008B369C">
        <w:rPr>
          <w:color w:val="000000" w:themeColor="text1"/>
        </w:rPr>
        <w:t xml:space="preserve">LBI’s claim on the merits.  </w:t>
      </w:r>
      <w:bookmarkStart w:id="2" w:name="_Hlk22122372"/>
      <w:r>
        <w:rPr>
          <w:color w:val="000000" w:themeColor="text1"/>
        </w:rPr>
        <w:t>In these Reports, t</w:t>
      </w:r>
      <w:r w:rsidRPr="008B369C">
        <w:rPr>
          <w:color w:val="000000" w:themeColor="text1"/>
        </w:rPr>
        <w:t xml:space="preserve">he Commission explained that the </w:t>
      </w:r>
      <w:r>
        <w:rPr>
          <w:color w:val="000000" w:themeColor="text1"/>
        </w:rPr>
        <w:t xml:space="preserve">undefined </w:t>
      </w:r>
      <w:r w:rsidRPr="008B369C">
        <w:rPr>
          <w:color w:val="000000" w:themeColor="text1"/>
        </w:rPr>
        <w:t xml:space="preserve">term “video programming vendor” as used in </w:t>
      </w:r>
      <w:r w:rsidR="00E92531">
        <w:rPr>
          <w:color w:val="000000" w:themeColor="text1"/>
        </w:rPr>
        <w:t>s</w:t>
      </w:r>
      <w:r w:rsidRPr="008B369C">
        <w:rPr>
          <w:color w:val="000000" w:themeColor="text1"/>
        </w:rPr>
        <w:t xml:space="preserve">ection 26 should be read to refer to any provider of video programming, including a broadcast network, because </w:t>
      </w:r>
      <w:r>
        <w:rPr>
          <w:color w:val="000000" w:themeColor="text1"/>
        </w:rPr>
        <w:t xml:space="preserve">this broad interpretation was consistent with the </w:t>
      </w:r>
      <w:r w:rsidRPr="008B369C">
        <w:rPr>
          <w:color w:val="000000" w:themeColor="text1"/>
          <w:shd w:val="clear" w:color="auto" w:fill="FFFFFF"/>
        </w:rPr>
        <w:t>Congressionally mandated analysis</w:t>
      </w:r>
      <w:r>
        <w:rPr>
          <w:color w:val="000000" w:themeColor="text1"/>
          <w:shd w:val="clear" w:color="auto" w:fill="FFFFFF"/>
        </w:rPr>
        <w:t xml:space="preserve"> in </w:t>
      </w:r>
      <w:r w:rsidR="00E92531">
        <w:rPr>
          <w:color w:val="000000" w:themeColor="text1"/>
          <w:shd w:val="clear" w:color="auto" w:fill="FFFFFF"/>
        </w:rPr>
        <w:t>s</w:t>
      </w:r>
      <w:r>
        <w:rPr>
          <w:color w:val="000000" w:themeColor="text1"/>
          <w:shd w:val="clear" w:color="auto" w:fill="FFFFFF"/>
        </w:rPr>
        <w:t>ection 26</w:t>
      </w:r>
      <w:r w:rsidRPr="008B369C">
        <w:rPr>
          <w:color w:val="000000" w:themeColor="text1"/>
        </w:rPr>
        <w:t xml:space="preserve">.  </w:t>
      </w:r>
      <w:r w:rsidRPr="008B369C">
        <w:rPr>
          <w:i/>
          <w:color w:val="000000" w:themeColor="text1"/>
        </w:rPr>
        <w:t>See Interim Report</w:t>
      </w:r>
      <w:r w:rsidRPr="008B369C">
        <w:rPr>
          <w:color w:val="000000" w:themeColor="text1"/>
        </w:rPr>
        <w:t>, 8 FCC Rcd at 4889, para. 74.</w:t>
      </w:r>
      <w:r>
        <w:rPr>
          <w:color w:val="000000" w:themeColor="text1"/>
        </w:rPr>
        <w:t xml:space="preserve">  </w:t>
      </w:r>
      <w:r w:rsidRPr="008B369C">
        <w:rPr>
          <w:color w:val="000000" w:themeColor="text1"/>
        </w:rPr>
        <w:t>In these Reports, however</w:t>
      </w:r>
      <w:bookmarkEnd w:id="2"/>
      <w:r w:rsidRPr="008B369C">
        <w:rPr>
          <w:color w:val="000000" w:themeColor="text1"/>
        </w:rPr>
        <w:t xml:space="preserve">, the Commission was not interpreting the term “video programming vendor” as used in </w:t>
      </w:r>
      <w:r w:rsidR="00E92531">
        <w:rPr>
          <w:color w:val="000000" w:themeColor="text1"/>
        </w:rPr>
        <w:t>s</w:t>
      </w:r>
      <w:r w:rsidRPr="008B369C">
        <w:rPr>
          <w:color w:val="000000" w:themeColor="text1"/>
        </w:rPr>
        <w:t>ection 616, which</w:t>
      </w:r>
      <w:r w:rsidR="000B793F">
        <w:rPr>
          <w:color w:val="000000" w:themeColor="text1"/>
        </w:rPr>
        <w:t xml:space="preserve">, </w:t>
      </w:r>
      <w:r w:rsidR="001D74E5">
        <w:rPr>
          <w:color w:val="000000" w:themeColor="text1"/>
        </w:rPr>
        <w:t>unlike</w:t>
      </w:r>
      <w:r w:rsidRPr="00C84712" w:rsidR="00C84712">
        <w:rPr>
          <w:color w:val="000000" w:themeColor="text1"/>
        </w:rPr>
        <w:t xml:space="preserve"> </w:t>
      </w:r>
      <w:r w:rsidR="00E92531">
        <w:rPr>
          <w:color w:val="000000" w:themeColor="text1"/>
        </w:rPr>
        <w:t>s</w:t>
      </w:r>
      <w:r w:rsidRPr="008B369C" w:rsidR="00C84712">
        <w:rPr>
          <w:color w:val="000000" w:themeColor="text1"/>
        </w:rPr>
        <w:t>ection 26 of 1992 Cable Act</w:t>
      </w:r>
      <w:r w:rsidR="001D74E5">
        <w:rPr>
          <w:color w:val="000000" w:themeColor="text1"/>
        </w:rPr>
        <w:t>,</w:t>
      </w:r>
      <w:r w:rsidRPr="008B369C">
        <w:rPr>
          <w:color w:val="000000" w:themeColor="text1"/>
        </w:rPr>
        <w:t xml:space="preserve"> contains a specific definition to be used for purposes of </w:t>
      </w:r>
      <w:r w:rsidR="00E92531">
        <w:rPr>
          <w:color w:val="000000" w:themeColor="text1"/>
        </w:rPr>
        <w:t>s</w:t>
      </w:r>
      <w:r w:rsidRPr="008B369C">
        <w:rPr>
          <w:color w:val="000000" w:themeColor="text1"/>
        </w:rPr>
        <w:t>ection</w:t>
      </w:r>
      <w:r w:rsidR="001D74E5">
        <w:rPr>
          <w:color w:val="000000" w:themeColor="text1"/>
        </w:rPr>
        <w:t xml:space="preserve"> 616</w:t>
      </w:r>
      <w:r w:rsidRPr="008B369C">
        <w:rPr>
          <w:color w:val="000000" w:themeColor="text1"/>
        </w:rPr>
        <w:t xml:space="preserve">.  </w:t>
      </w:r>
      <w:r w:rsidRPr="008B369C">
        <w:rPr>
          <w:i/>
          <w:color w:val="000000" w:themeColor="text1"/>
        </w:rPr>
        <w:t>See</w:t>
      </w:r>
      <w:r w:rsidRPr="008B369C">
        <w:rPr>
          <w:color w:val="000000" w:themeColor="text1"/>
        </w:rPr>
        <w:t xml:space="preserve"> 47 U.S.C. § 536(b) (“</w:t>
      </w:r>
      <w:r w:rsidRPr="008B369C">
        <w:rPr>
          <w:color w:val="000000" w:themeColor="text1"/>
          <w:shd w:val="clear" w:color="auto" w:fill="FFFFFF"/>
        </w:rPr>
        <w:t>As used in this section, the term ‘video programming vendor’ means a person engaged in the production, creation, or wholesale distribution of video programming for sale.</w:t>
      </w:r>
      <w:r w:rsidRPr="008B369C">
        <w:rPr>
          <w:color w:val="000000" w:themeColor="text1"/>
        </w:rPr>
        <w:t>”).</w:t>
      </w:r>
      <w:r w:rsidRPr="008B369C">
        <w:t xml:space="preserve">  </w:t>
      </w:r>
    </w:p>
  </w:footnote>
  <w:footnote w:id="45">
    <w:p w:rsidR="00FB590A" w:rsidRPr="00B07A3F" w:rsidP="00FB590A" w14:paraId="233D819D" w14:textId="55C9AEE3">
      <w:pPr>
        <w:pStyle w:val="FootnoteText"/>
      </w:pPr>
      <w:r>
        <w:rPr>
          <w:rStyle w:val="FootnoteReference"/>
        </w:rPr>
        <w:footnoteRef/>
      </w:r>
      <w:r>
        <w:t xml:space="preserve"> </w:t>
      </w:r>
      <w:r>
        <w:rPr>
          <w:i/>
        </w:rPr>
        <w:t>See, e.g.</w:t>
      </w:r>
      <w:r>
        <w:t xml:space="preserve">, Petition at 15-17 (arguing, among other things, that it has made a </w:t>
      </w:r>
      <w:r>
        <w:rPr>
          <w:i/>
        </w:rPr>
        <w:t xml:space="preserve">prima facie </w:t>
      </w:r>
      <w:r>
        <w:t>case of program carriage discrimination with respect to its request for carriage of Estrella</w:t>
      </w:r>
      <w:r w:rsidR="00FC698D">
        <w:t xml:space="preserve"> </w:t>
      </w:r>
      <w:r>
        <w:t xml:space="preserve">TV in “white areas”). </w:t>
      </w:r>
    </w:p>
  </w:footnote>
  <w:footnote w:id="46">
    <w:p w:rsidR="002F1BC3" w:rsidRPr="00F0774A" w14:paraId="737B32A4" w14:textId="23E39FDA">
      <w:pPr>
        <w:pStyle w:val="FootnoteText"/>
        <w:rPr>
          <w:i/>
        </w:rPr>
      </w:pPr>
      <w:r>
        <w:rPr>
          <w:rStyle w:val="FootnoteReference"/>
        </w:rPr>
        <w:footnoteRef/>
      </w:r>
      <w:r>
        <w:t xml:space="preserve"> Although LBI in its complaint stated that it sought carriage of Estrella TV in white areas, </w:t>
      </w:r>
      <w:r w:rsidR="008E07CA">
        <w:t>LBI did not appear to advance any theory other than that television broadcast stations</w:t>
      </w:r>
      <w:r w:rsidRPr="008E07CA" w:rsidR="008E07CA">
        <w:t xml:space="preserve"> (its own or its affiliates) are </w:t>
      </w:r>
      <w:r w:rsidR="008E07CA">
        <w:t>“</w:t>
      </w:r>
      <w:r w:rsidRPr="008E07CA" w:rsidR="008E07CA">
        <w:t>video programming vendors,</w:t>
      </w:r>
      <w:r w:rsidR="008E07CA">
        <w:t>”</w:t>
      </w:r>
      <w:r w:rsidRPr="008E07CA" w:rsidR="008E07CA">
        <w:t xml:space="preserve"> </w:t>
      </w:r>
      <w:r w:rsidR="00162A0B">
        <w:t>a theory that</w:t>
      </w:r>
      <w:r w:rsidRPr="008E07CA" w:rsidR="008E07CA">
        <w:t xml:space="preserve"> is not applicable to white areas</w:t>
      </w:r>
      <w:r w:rsidR="008E07CA">
        <w:t xml:space="preserve">.  </w:t>
      </w:r>
      <w:r w:rsidR="00162A0B">
        <w:t>LBI’s</w:t>
      </w:r>
      <w:r w:rsidR="008E07CA">
        <w:t xml:space="preserve"> theory that </w:t>
      </w:r>
      <w:r w:rsidR="00162A0B">
        <w:t>it constitutes</w:t>
      </w:r>
      <w:r w:rsidR="008E07CA">
        <w:t xml:space="preserve"> a “video programming vendor” in white areas was advanced </w:t>
      </w:r>
      <w:r w:rsidR="00162A0B">
        <w:t>clearly for the first time only in the Petition.</w:t>
      </w:r>
    </w:p>
  </w:footnote>
  <w:footnote w:id="47">
    <w:p w:rsidR="00640311" w:rsidRPr="003155C0" w:rsidP="00640311" w14:paraId="41E88A22" w14:textId="77777777">
      <w:pPr>
        <w:pStyle w:val="FootnoteText"/>
      </w:pPr>
      <w:r>
        <w:rPr>
          <w:rStyle w:val="FootnoteReference"/>
        </w:rPr>
        <w:footnoteRef/>
      </w:r>
      <w:r>
        <w:t xml:space="preserve"> With respect to its request for carriage of broadcast signals in the Houston, Denver, and Salt Lake City markets at issue, LBI remains free to file a complaint pursuant to the Commission’s retransmission consent rules if it believes that Comcast has failed to negotiate in good faith.  In addition, LBI may file a program carriage complaint with respect to its request for carriage of Estrella TV in markets where such programming is not delivered via a full power television broadcast station, possibly including white areas.  We note that the parties have executed an agreement that tolls the statute of limitations applicable to “any claims” set forth in additional complaints brought against Comcast in connection with the facts underlying this proceeding.  Letter from Michael D. Hurwitz, Counsel to Comcast, to Marlene H. Dortch, FCC, File No. CSR-8922-P, MB Docket No. 16-121 (Jan. 5, 2018).   </w:t>
      </w:r>
    </w:p>
  </w:footnote>
  <w:footnote w:id="48">
    <w:p w:rsidR="00D52483" w14:paraId="29247F5A" w14:textId="4A417522">
      <w:pPr>
        <w:pStyle w:val="FootnoteText"/>
      </w:pPr>
      <w:r>
        <w:rPr>
          <w:rStyle w:val="FootnoteReference"/>
        </w:rPr>
        <w:footnoteRef/>
      </w:r>
      <w:r>
        <w:t xml:space="preserve"> </w:t>
      </w:r>
      <w:r w:rsidR="00B07A3F">
        <w:t>47 CFR § 1.106(</w:t>
      </w:r>
      <w:r w:rsidR="00BC0A12">
        <w:t>c</w:t>
      </w:r>
      <w:r w:rsidR="00B07A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FED" w:rsidRPr="0078460D" w:rsidP="00810B6F" w14:paraId="5E579A8E" w14:textId="12C98F60">
    <w:pPr>
      <w:pStyle w:val="Header"/>
    </w:pPr>
    <w:r>
      <w:tab/>
      <w:t>Federal Communications Commission</w:t>
    </w:r>
    <w:r>
      <w:tab/>
      <w:t>DA 19</w:t>
    </w:r>
    <w:r w:rsidR="004C2B6F">
      <w:t>-1125</w:t>
    </w:r>
  </w:p>
  <w:p w:rsidR="00310FED" w14:paraId="61D1249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10FED" w14:paraId="2F7550A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FED" w:rsidP="00810B6F" w14:paraId="54CA71C4" w14:textId="6C8EDCF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19-</w:t>
    </w:r>
    <w:r w:rsidR="004C2B6F">
      <w:rPr>
        <w:spacing w:val="-2"/>
      </w:rPr>
      <w:t>1125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3C7BB3"/>
    <w:multiLevelType w:val="hybridMultilevel"/>
    <w:tmpl w:val="3EEEB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2E85B70"/>
    <w:lvl w:ilvl="0">
      <w:start w:val="1"/>
      <w:numFmt w:val="decimal"/>
      <w:lvlText w:val="%1."/>
      <w:lvlJc w:val="left"/>
      <w:pPr>
        <w:tabs>
          <w:tab w:val="num" w:pos="1080"/>
        </w:tabs>
        <w:ind w:left="0" w:firstLine="720"/>
      </w:pPr>
      <w:rPr>
        <w:b w:val="0"/>
        <w:i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num>
  <w:num w:numId="10">
    <w:abstractNumId w:val="6"/>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A"/>
    <w:rsid w:val="000005A0"/>
    <w:rsid w:val="00000903"/>
    <w:rsid w:val="00001DA5"/>
    <w:rsid w:val="00002262"/>
    <w:rsid w:val="0001166C"/>
    <w:rsid w:val="00011AAC"/>
    <w:rsid w:val="00012595"/>
    <w:rsid w:val="0001462D"/>
    <w:rsid w:val="000151E4"/>
    <w:rsid w:val="00015471"/>
    <w:rsid w:val="00021119"/>
    <w:rsid w:val="00024640"/>
    <w:rsid w:val="00025B93"/>
    <w:rsid w:val="00026754"/>
    <w:rsid w:val="00031522"/>
    <w:rsid w:val="000317D2"/>
    <w:rsid w:val="00031A28"/>
    <w:rsid w:val="0003335B"/>
    <w:rsid w:val="00036039"/>
    <w:rsid w:val="00036BD3"/>
    <w:rsid w:val="00036F96"/>
    <w:rsid w:val="00037F90"/>
    <w:rsid w:val="00045399"/>
    <w:rsid w:val="00045C54"/>
    <w:rsid w:val="00052128"/>
    <w:rsid w:val="000539DF"/>
    <w:rsid w:val="00054E78"/>
    <w:rsid w:val="00055DEC"/>
    <w:rsid w:val="00061559"/>
    <w:rsid w:val="000616D2"/>
    <w:rsid w:val="000651CC"/>
    <w:rsid w:val="00076398"/>
    <w:rsid w:val="0008201F"/>
    <w:rsid w:val="000839BC"/>
    <w:rsid w:val="00085292"/>
    <w:rsid w:val="000875BF"/>
    <w:rsid w:val="00087D7E"/>
    <w:rsid w:val="000907B5"/>
    <w:rsid w:val="0009156B"/>
    <w:rsid w:val="000946C5"/>
    <w:rsid w:val="00096D8C"/>
    <w:rsid w:val="000978EE"/>
    <w:rsid w:val="000A3704"/>
    <w:rsid w:val="000B149B"/>
    <w:rsid w:val="000B2F23"/>
    <w:rsid w:val="000B336F"/>
    <w:rsid w:val="000B793F"/>
    <w:rsid w:val="000C0A6E"/>
    <w:rsid w:val="000C0B65"/>
    <w:rsid w:val="000C0EAA"/>
    <w:rsid w:val="000C3858"/>
    <w:rsid w:val="000C4AF3"/>
    <w:rsid w:val="000C7633"/>
    <w:rsid w:val="000C7C34"/>
    <w:rsid w:val="000D25CA"/>
    <w:rsid w:val="000D2F30"/>
    <w:rsid w:val="000D31FB"/>
    <w:rsid w:val="000D3BBC"/>
    <w:rsid w:val="000E05FE"/>
    <w:rsid w:val="000E0FDA"/>
    <w:rsid w:val="000E1B01"/>
    <w:rsid w:val="000E3D42"/>
    <w:rsid w:val="000E51F5"/>
    <w:rsid w:val="000E6778"/>
    <w:rsid w:val="000E7051"/>
    <w:rsid w:val="000F102A"/>
    <w:rsid w:val="000F3D0A"/>
    <w:rsid w:val="000F5A96"/>
    <w:rsid w:val="000F60C4"/>
    <w:rsid w:val="00100095"/>
    <w:rsid w:val="00101B4B"/>
    <w:rsid w:val="00104049"/>
    <w:rsid w:val="00104CA1"/>
    <w:rsid w:val="0011752F"/>
    <w:rsid w:val="00122BD5"/>
    <w:rsid w:val="0012355D"/>
    <w:rsid w:val="00124E1B"/>
    <w:rsid w:val="001270D3"/>
    <w:rsid w:val="001278FC"/>
    <w:rsid w:val="00127E5C"/>
    <w:rsid w:val="00130E72"/>
    <w:rsid w:val="001326C4"/>
    <w:rsid w:val="001331CC"/>
    <w:rsid w:val="00133F79"/>
    <w:rsid w:val="00140DED"/>
    <w:rsid w:val="0014361F"/>
    <w:rsid w:val="00143C37"/>
    <w:rsid w:val="00147AED"/>
    <w:rsid w:val="00150E5A"/>
    <w:rsid w:val="001529EB"/>
    <w:rsid w:val="00154C33"/>
    <w:rsid w:val="00160CD8"/>
    <w:rsid w:val="00162A0B"/>
    <w:rsid w:val="00163F3F"/>
    <w:rsid w:val="0016401F"/>
    <w:rsid w:val="0016617D"/>
    <w:rsid w:val="001661A5"/>
    <w:rsid w:val="00166CEC"/>
    <w:rsid w:val="0017062B"/>
    <w:rsid w:val="001709AA"/>
    <w:rsid w:val="00172F82"/>
    <w:rsid w:val="00173C07"/>
    <w:rsid w:val="00174215"/>
    <w:rsid w:val="001835A7"/>
    <w:rsid w:val="001840B8"/>
    <w:rsid w:val="00190A90"/>
    <w:rsid w:val="0019260B"/>
    <w:rsid w:val="0019305F"/>
    <w:rsid w:val="0019336E"/>
    <w:rsid w:val="00194A66"/>
    <w:rsid w:val="001A0345"/>
    <w:rsid w:val="001A0346"/>
    <w:rsid w:val="001A05DF"/>
    <w:rsid w:val="001A0C9A"/>
    <w:rsid w:val="001A2250"/>
    <w:rsid w:val="001A4BC5"/>
    <w:rsid w:val="001A5EB1"/>
    <w:rsid w:val="001A7CB3"/>
    <w:rsid w:val="001B155F"/>
    <w:rsid w:val="001B2862"/>
    <w:rsid w:val="001B4F3F"/>
    <w:rsid w:val="001C7806"/>
    <w:rsid w:val="001C7E7D"/>
    <w:rsid w:val="001D00D3"/>
    <w:rsid w:val="001D32C0"/>
    <w:rsid w:val="001D3EB9"/>
    <w:rsid w:val="001D6BCF"/>
    <w:rsid w:val="001D74E5"/>
    <w:rsid w:val="001E01CA"/>
    <w:rsid w:val="001E1C27"/>
    <w:rsid w:val="001E1DF0"/>
    <w:rsid w:val="001E4F58"/>
    <w:rsid w:val="001F0B23"/>
    <w:rsid w:val="001F1320"/>
    <w:rsid w:val="001F2711"/>
    <w:rsid w:val="001F29F1"/>
    <w:rsid w:val="001F3F05"/>
    <w:rsid w:val="001F5036"/>
    <w:rsid w:val="001F5209"/>
    <w:rsid w:val="001F56DD"/>
    <w:rsid w:val="00200D4A"/>
    <w:rsid w:val="00207CA7"/>
    <w:rsid w:val="00212617"/>
    <w:rsid w:val="00215391"/>
    <w:rsid w:val="002155BB"/>
    <w:rsid w:val="002161FF"/>
    <w:rsid w:val="00216E6B"/>
    <w:rsid w:val="00223DE7"/>
    <w:rsid w:val="00224930"/>
    <w:rsid w:val="00231CF8"/>
    <w:rsid w:val="00233325"/>
    <w:rsid w:val="002350B8"/>
    <w:rsid w:val="00235E8F"/>
    <w:rsid w:val="002367A9"/>
    <w:rsid w:val="002370AE"/>
    <w:rsid w:val="002433D8"/>
    <w:rsid w:val="00243D83"/>
    <w:rsid w:val="0025098C"/>
    <w:rsid w:val="00253ED0"/>
    <w:rsid w:val="002555AA"/>
    <w:rsid w:val="0025561C"/>
    <w:rsid w:val="002571CC"/>
    <w:rsid w:val="00257DA1"/>
    <w:rsid w:val="00261B3B"/>
    <w:rsid w:val="00265696"/>
    <w:rsid w:val="00265BA0"/>
    <w:rsid w:val="00270A77"/>
    <w:rsid w:val="002749A8"/>
    <w:rsid w:val="002751EC"/>
    <w:rsid w:val="00275CF5"/>
    <w:rsid w:val="00280ABC"/>
    <w:rsid w:val="0028301F"/>
    <w:rsid w:val="002848D7"/>
    <w:rsid w:val="00285017"/>
    <w:rsid w:val="00287433"/>
    <w:rsid w:val="0029021B"/>
    <w:rsid w:val="00291774"/>
    <w:rsid w:val="002918B5"/>
    <w:rsid w:val="00292685"/>
    <w:rsid w:val="002975CC"/>
    <w:rsid w:val="002977C4"/>
    <w:rsid w:val="002A2D2E"/>
    <w:rsid w:val="002A3AA6"/>
    <w:rsid w:val="002A6E80"/>
    <w:rsid w:val="002C00E8"/>
    <w:rsid w:val="002C369C"/>
    <w:rsid w:val="002D39E8"/>
    <w:rsid w:val="002D3D01"/>
    <w:rsid w:val="002D43A9"/>
    <w:rsid w:val="002E5408"/>
    <w:rsid w:val="002E5D58"/>
    <w:rsid w:val="002E675E"/>
    <w:rsid w:val="002F1BC3"/>
    <w:rsid w:val="002F1F5A"/>
    <w:rsid w:val="002F482F"/>
    <w:rsid w:val="002F7D97"/>
    <w:rsid w:val="00302F7E"/>
    <w:rsid w:val="00303E36"/>
    <w:rsid w:val="00310FED"/>
    <w:rsid w:val="003134C8"/>
    <w:rsid w:val="003155C0"/>
    <w:rsid w:val="00315EE2"/>
    <w:rsid w:val="00321060"/>
    <w:rsid w:val="00321674"/>
    <w:rsid w:val="00322B8F"/>
    <w:rsid w:val="00331FCB"/>
    <w:rsid w:val="00333585"/>
    <w:rsid w:val="00333A40"/>
    <w:rsid w:val="00336067"/>
    <w:rsid w:val="00336847"/>
    <w:rsid w:val="003427C9"/>
    <w:rsid w:val="00342865"/>
    <w:rsid w:val="00342B6D"/>
    <w:rsid w:val="00343749"/>
    <w:rsid w:val="00344776"/>
    <w:rsid w:val="003477F5"/>
    <w:rsid w:val="00350AB9"/>
    <w:rsid w:val="0035276D"/>
    <w:rsid w:val="0036402D"/>
    <w:rsid w:val="00365798"/>
    <w:rsid w:val="00365833"/>
    <w:rsid w:val="003660ED"/>
    <w:rsid w:val="00366FAC"/>
    <w:rsid w:val="0037093A"/>
    <w:rsid w:val="00370B9D"/>
    <w:rsid w:val="00371E8A"/>
    <w:rsid w:val="003760CC"/>
    <w:rsid w:val="00377C3C"/>
    <w:rsid w:val="0038012D"/>
    <w:rsid w:val="003845F9"/>
    <w:rsid w:val="00386B4E"/>
    <w:rsid w:val="00387A50"/>
    <w:rsid w:val="00393709"/>
    <w:rsid w:val="00396687"/>
    <w:rsid w:val="003A031F"/>
    <w:rsid w:val="003A133F"/>
    <w:rsid w:val="003A3099"/>
    <w:rsid w:val="003A4389"/>
    <w:rsid w:val="003B0550"/>
    <w:rsid w:val="003B4256"/>
    <w:rsid w:val="003B694F"/>
    <w:rsid w:val="003C44AF"/>
    <w:rsid w:val="003C5B03"/>
    <w:rsid w:val="003C6B97"/>
    <w:rsid w:val="003C702E"/>
    <w:rsid w:val="003D1BD9"/>
    <w:rsid w:val="003D44F7"/>
    <w:rsid w:val="003D66FD"/>
    <w:rsid w:val="003E0F2E"/>
    <w:rsid w:val="003E512C"/>
    <w:rsid w:val="003E6BD4"/>
    <w:rsid w:val="003F171C"/>
    <w:rsid w:val="003F2524"/>
    <w:rsid w:val="003F2FE1"/>
    <w:rsid w:val="003F72BE"/>
    <w:rsid w:val="003F75C4"/>
    <w:rsid w:val="003F7876"/>
    <w:rsid w:val="004038F0"/>
    <w:rsid w:val="00412FC5"/>
    <w:rsid w:val="00415C8A"/>
    <w:rsid w:val="00416729"/>
    <w:rsid w:val="00416FEF"/>
    <w:rsid w:val="004203D8"/>
    <w:rsid w:val="00421691"/>
    <w:rsid w:val="00421720"/>
    <w:rsid w:val="00422276"/>
    <w:rsid w:val="004242F1"/>
    <w:rsid w:val="00431667"/>
    <w:rsid w:val="00435A3D"/>
    <w:rsid w:val="004362B1"/>
    <w:rsid w:val="004458DB"/>
    <w:rsid w:val="00445A00"/>
    <w:rsid w:val="00451B0F"/>
    <w:rsid w:val="00452FD4"/>
    <w:rsid w:val="004531DF"/>
    <w:rsid w:val="00457FBE"/>
    <w:rsid w:val="00461752"/>
    <w:rsid w:val="004646A6"/>
    <w:rsid w:val="00466A1B"/>
    <w:rsid w:val="004708B1"/>
    <w:rsid w:val="00471DDB"/>
    <w:rsid w:val="00472ABD"/>
    <w:rsid w:val="00472EE6"/>
    <w:rsid w:val="00474588"/>
    <w:rsid w:val="004766D6"/>
    <w:rsid w:val="004810E6"/>
    <w:rsid w:val="00486A21"/>
    <w:rsid w:val="004923CD"/>
    <w:rsid w:val="004943AA"/>
    <w:rsid w:val="004A259C"/>
    <w:rsid w:val="004A73EC"/>
    <w:rsid w:val="004B07C0"/>
    <w:rsid w:val="004B0A05"/>
    <w:rsid w:val="004B0A1D"/>
    <w:rsid w:val="004B26B7"/>
    <w:rsid w:val="004B3180"/>
    <w:rsid w:val="004B4E68"/>
    <w:rsid w:val="004B6706"/>
    <w:rsid w:val="004B7603"/>
    <w:rsid w:val="004B7649"/>
    <w:rsid w:val="004B7A4E"/>
    <w:rsid w:val="004C10B2"/>
    <w:rsid w:val="004C2B6F"/>
    <w:rsid w:val="004C2EE3"/>
    <w:rsid w:val="004C5FAF"/>
    <w:rsid w:val="004C7FFA"/>
    <w:rsid w:val="004D1AB2"/>
    <w:rsid w:val="004D2685"/>
    <w:rsid w:val="004E1374"/>
    <w:rsid w:val="004E1666"/>
    <w:rsid w:val="004E315A"/>
    <w:rsid w:val="004E3792"/>
    <w:rsid w:val="004E4A22"/>
    <w:rsid w:val="004E57FE"/>
    <w:rsid w:val="004E6B30"/>
    <w:rsid w:val="004F0C59"/>
    <w:rsid w:val="004F164F"/>
    <w:rsid w:val="004F4124"/>
    <w:rsid w:val="005025AF"/>
    <w:rsid w:val="0050294C"/>
    <w:rsid w:val="00511968"/>
    <w:rsid w:val="00516A53"/>
    <w:rsid w:val="00517931"/>
    <w:rsid w:val="00517B14"/>
    <w:rsid w:val="00521637"/>
    <w:rsid w:val="00523378"/>
    <w:rsid w:val="00526987"/>
    <w:rsid w:val="00526C1B"/>
    <w:rsid w:val="00527243"/>
    <w:rsid w:val="00531D25"/>
    <w:rsid w:val="005354E5"/>
    <w:rsid w:val="005432E5"/>
    <w:rsid w:val="00543786"/>
    <w:rsid w:val="00545097"/>
    <w:rsid w:val="005463B1"/>
    <w:rsid w:val="005468D9"/>
    <w:rsid w:val="0054696B"/>
    <w:rsid w:val="00546DE6"/>
    <w:rsid w:val="0055227F"/>
    <w:rsid w:val="0055558A"/>
    <w:rsid w:val="00555FA1"/>
    <w:rsid w:val="0055614C"/>
    <w:rsid w:val="00560B61"/>
    <w:rsid w:val="005612A2"/>
    <w:rsid w:val="005630E1"/>
    <w:rsid w:val="00563E04"/>
    <w:rsid w:val="00565DDA"/>
    <w:rsid w:val="00565FD7"/>
    <w:rsid w:val="0057285C"/>
    <w:rsid w:val="0058083A"/>
    <w:rsid w:val="00583477"/>
    <w:rsid w:val="00584AB9"/>
    <w:rsid w:val="00585985"/>
    <w:rsid w:val="00585D1B"/>
    <w:rsid w:val="00586427"/>
    <w:rsid w:val="005870D6"/>
    <w:rsid w:val="00587554"/>
    <w:rsid w:val="00587E62"/>
    <w:rsid w:val="00590F58"/>
    <w:rsid w:val="005944BA"/>
    <w:rsid w:val="00594BA5"/>
    <w:rsid w:val="00595A79"/>
    <w:rsid w:val="0059629C"/>
    <w:rsid w:val="005963DC"/>
    <w:rsid w:val="00597E93"/>
    <w:rsid w:val="005A4B88"/>
    <w:rsid w:val="005A6DE1"/>
    <w:rsid w:val="005B0462"/>
    <w:rsid w:val="005B0F87"/>
    <w:rsid w:val="005B397A"/>
    <w:rsid w:val="005B663F"/>
    <w:rsid w:val="005B7076"/>
    <w:rsid w:val="005C3769"/>
    <w:rsid w:val="005C5A23"/>
    <w:rsid w:val="005D15EA"/>
    <w:rsid w:val="005D2907"/>
    <w:rsid w:val="005D664D"/>
    <w:rsid w:val="005E060A"/>
    <w:rsid w:val="005E0C51"/>
    <w:rsid w:val="005E0EF1"/>
    <w:rsid w:val="005E14C2"/>
    <w:rsid w:val="005E21BD"/>
    <w:rsid w:val="005E2553"/>
    <w:rsid w:val="005E2AEE"/>
    <w:rsid w:val="005E53B4"/>
    <w:rsid w:val="005E7646"/>
    <w:rsid w:val="005E7A45"/>
    <w:rsid w:val="005F2783"/>
    <w:rsid w:val="005F38FF"/>
    <w:rsid w:val="005F5086"/>
    <w:rsid w:val="005F6922"/>
    <w:rsid w:val="00600703"/>
    <w:rsid w:val="006023B0"/>
    <w:rsid w:val="00606669"/>
    <w:rsid w:val="006078AF"/>
    <w:rsid w:val="00607BA5"/>
    <w:rsid w:val="0061020C"/>
    <w:rsid w:val="0061180A"/>
    <w:rsid w:val="0061182E"/>
    <w:rsid w:val="00612867"/>
    <w:rsid w:val="006142FC"/>
    <w:rsid w:val="00614AA9"/>
    <w:rsid w:val="0061533F"/>
    <w:rsid w:val="00617061"/>
    <w:rsid w:val="00617154"/>
    <w:rsid w:val="0061725B"/>
    <w:rsid w:val="00617F14"/>
    <w:rsid w:val="00620101"/>
    <w:rsid w:val="006202B3"/>
    <w:rsid w:val="006210D2"/>
    <w:rsid w:val="00623CC7"/>
    <w:rsid w:val="00626EB6"/>
    <w:rsid w:val="00632A68"/>
    <w:rsid w:val="0063452E"/>
    <w:rsid w:val="006346AC"/>
    <w:rsid w:val="00635EA6"/>
    <w:rsid w:val="00636A85"/>
    <w:rsid w:val="00636C79"/>
    <w:rsid w:val="00640311"/>
    <w:rsid w:val="0064098A"/>
    <w:rsid w:val="00644AAE"/>
    <w:rsid w:val="00644D4E"/>
    <w:rsid w:val="00646969"/>
    <w:rsid w:val="006508E4"/>
    <w:rsid w:val="006515A8"/>
    <w:rsid w:val="00655D03"/>
    <w:rsid w:val="00656283"/>
    <w:rsid w:val="00657C0A"/>
    <w:rsid w:val="006621A0"/>
    <w:rsid w:val="00665634"/>
    <w:rsid w:val="0067359A"/>
    <w:rsid w:val="00673A3B"/>
    <w:rsid w:val="00674C68"/>
    <w:rsid w:val="006802E2"/>
    <w:rsid w:val="006805CA"/>
    <w:rsid w:val="0068184D"/>
    <w:rsid w:val="00683388"/>
    <w:rsid w:val="00683B34"/>
    <w:rsid w:val="00683F84"/>
    <w:rsid w:val="00684243"/>
    <w:rsid w:val="00684EB3"/>
    <w:rsid w:val="0068616A"/>
    <w:rsid w:val="006944CA"/>
    <w:rsid w:val="006A0EEE"/>
    <w:rsid w:val="006A4945"/>
    <w:rsid w:val="006A4F00"/>
    <w:rsid w:val="006A6A81"/>
    <w:rsid w:val="006B0C72"/>
    <w:rsid w:val="006B5A6A"/>
    <w:rsid w:val="006B68FA"/>
    <w:rsid w:val="006B6F96"/>
    <w:rsid w:val="006B76AB"/>
    <w:rsid w:val="006B77A2"/>
    <w:rsid w:val="006C12C1"/>
    <w:rsid w:val="006C4F14"/>
    <w:rsid w:val="006C6732"/>
    <w:rsid w:val="006C6939"/>
    <w:rsid w:val="006D31CD"/>
    <w:rsid w:val="006D3458"/>
    <w:rsid w:val="006D5D6D"/>
    <w:rsid w:val="006E0B36"/>
    <w:rsid w:val="006E32E8"/>
    <w:rsid w:val="006E5236"/>
    <w:rsid w:val="006E660E"/>
    <w:rsid w:val="006F3723"/>
    <w:rsid w:val="006F59DD"/>
    <w:rsid w:val="006F7393"/>
    <w:rsid w:val="00701C5B"/>
    <w:rsid w:val="0070224F"/>
    <w:rsid w:val="00703C68"/>
    <w:rsid w:val="007052EB"/>
    <w:rsid w:val="00705668"/>
    <w:rsid w:val="007109B2"/>
    <w:rsid w:val="00710E2C"/>
    <w:rsid w:val="007115F7"/>
    <w:rsid w:val="0071267D"/>
    <w:rsid w:val="007206FE"/>
    <w:rsid w:val="0072291A"/>
    <w:rsid w:val="00726A25"/>
    <w:rsid w:val="00727690"/>
    <w:rsid w:val="00732259"/>
    <w:rsid w:val="00732566"/>
    <w:rsid w:val="00737AA4"/>
    <w:rsid w:val="00737D3C"/>
    <w:rsid w:val="0074133F"/>
    <w:rsid w:val="007436BC"/>
    <w:rsid w:val="00743E27"/>
    <w:rsid w:val="00747888"/>
    <w:rsid w:val="0074791F"/>
    <w:rsid w:val="00754A55"/>
    <w:rsid w:val="00754A57"/>
    <w:rsid w:val="00755014"/>
    <w:rsid w:val="00755784"/>
    <w:rsid w:val="007579E1"/>
    <w:rsid w:val="00757B71"/>
    <w:rsid w:val="0076313C"/>
    <w:rsid w:val="00771F5F"/>
    <w:rsid w:val="007801DF"/>
    <w:rsid w:val="0078460D"/>
    <w:rsid w:val="00785689"/>
    <w:rsid w:val="00786CDD"/>
    <w:rsid w:val="00787BDF"/>
    <w:rsid w:val="00792568"/>
    <w:rsid w:val="00793A1C"/>
    <w:rsid w:val="00794BDA"/>
    <w:rsid w:val="0079599D"/>
    <w:rsid w:val="0079754B"/>
    <w:rsid w:val="007A01D2"/>
    <w:rsid w:val="007A1E6D"/>
    <w:rsid w:val="007B02FB"/>
    <w:rsid w:val="007B0EB2"/>
    <w:rsid w:val="007B3759"/>
    <w:rsid w:val="007B511A"/>
    <w:rsid w:val="007D0D0F"/>
    <w:rsid w:val="007D0E13"/>
    <w:rsid w:val="007D1719"/>
    <w:rsid w:val="007D29EF"/>
    <w:rsid w:val="007D4D76"/>
    <w:rsid w:val="007D770D"/>
    <w:rsid w:val="007D7BCF"/>
    <w:rsid w:val="007E1D1C"/>
    <w:rsid w:val="007E425E"/>
    <w:rsid w:val="007E5614"/>
    <w:rsid w:val="007E65D6"/>
    <w:rsid w:val="007F0133"/>
    <w:rsid w:val="007F0887"/>
    <w:rsid w:val="007F2116"/>
    <w:rsid w:val="007F4DF1"/>
    <w:rsid w:val="00810B6F"/>
    <w:rsid w:val="00811C76"/>
    <w:rsid w:val="00811E2C"/>
    <w:rsid w:val="00812D7C"/>
    <w:rsid w:val="00815119"/>
    <w:rsid w:val="00816042"/>
    <w:rsid w:val="00816693"/>
    <w:rsid w:val="00820113"/>
    <w:rsid w:val="00822CE0"/>
    <w:rsid w:val="00824F1A"/>
    <w:rsid w:val="00825FB8"/>
    <w:rsid w:val="00826F37"/>
    <w:rsid w:val="00837268"/>
    <w:rsid w:val="008407E1"/>
    <w:rsid w:val="00841AB1"/>
    <w:rsid w:val="008421D2"/>
    <w:rsid w:val="00843CBA"/>
    <w:rsid w:val="00843CCC"/>
    <w:rsid w:val="008451BE"/>
    <w:rsid w:val="008466E3"/>
    <w:rsid w:val="008523C3"/>
    <w:rsid w:val="00853CAC"/>
    <w:rsid w:val="008562CA"/>
    <w:rsid w:val="00856785"/>
    <w:rsid w:val="008569FC"/>
    <w:rsid w:val="00860EC2"/>
    <w:rsid w:val="00865DD4"/>
    <w:rsid w:val="0086609E"/>
    <w:rsid w:val="0086797E"/>
    <w:rsid w:val="00870043"/>
    <w:rsid w:val="00871672"/>
    <w:rsid w:val="008736AC"/>
    <w:rsid w:val="00875E7C"/>
    <w:rsid w:val="00875EE2"/>
    <w:rsid w:val="008813F5"/>
    <w:rsid w:val="00882013"/>
    <w:rsid w:val="008821A3"/>
    <w:rsid w:val="008841AF"/>
    <w:rsid w:val="00886391"/>
    <w:rsid w:val="008865BC"/>
    <w:rsid w:val="0089487F"/>
    <w:rsid w:val="00894D49"/>
    <w:rsid w:val="008950E0"/>
    <w:rsid w:val="00896082"/>
    <w:rsid w:val="008A171F"/>
    <w:rsid w:val="008A2BAF"/>
    <w:rsid w:val="008A4527"/>
    <w:rsid w:val="008B369C"/>
    <w:rsid w:val="008C473A"/>
    <w:rsid w:val="008C4E0D"/>
    <w:rsid w:val="008C68F1"/>
    <w:rsid w:val="008C7708"/>
    <w:rsid w:val="008D2393"/>
    <w:rsid w:val="008E07CA"/>
    <w:rsid w:val="008E1549"/>
    <w:rsid w:val="008E1E41"/>
    <w:rsid w:val="008E2CA6"/>
    <w:rsid w:val="008E4006"/>
    <w:rsid w:val="008E468B"/>
    <w:rsid w:val="008E5B21"/>
    <w:rsid w:val="008E6757"/>
    <w:rsid w:val="008E68DE"/>
    <w:rsid w:val="008E7961"/>
    <w:rsid w:val="008F3D06"/>
    <w:rsid w:val="008F7EB9"/>
    <w:rsid w:val="009022E3"/>
    <w:rsid w:val="00902EF3"/>
    <w:rsid w:val="0090428E"/>
    <w:rsid w:val="0090783D"/>
    <w:rsid w:val="009127D3"/>
    <w:rsid w:val="00913380"/>
    <w:rsid w:val="00921803"/>
    <w:rsid w:val="00921C8F"/>
    <w:rsid w:val="009230D8"/>
    <w:rsid w:val="00926503"/>
    <w:rsid w:val="00943F5B"/>
    <w:rsid w:val="00945F7C"/>
    <w:rsid w:val="0094618C"/>
    <w:rsid w:val="00946D23"/>
    <w:rsid w:val="009513A7"/>
    <w:rsid w:val="00951415"/>
    <w:rsid w:val="00954814"/>
    <w:rsid w:val="00956684"/>
    <w:rsid w:val="009572FB"/>
    <w:rsid w:val="009608C3"/>
    <w:rsid w:val="00964C13"/>
    <w:rsid w:val="00966B87"/>
    <w:rsid w:val="0096705A"/>
    <w:rsid w:val="009708AE"/>
    <w:rsid w:val="009726D8"/>
    <w:rsid w:val="009766A9"/>
    <w:rsid w:val="00976715"/>
    <w:rsid w:val="00981678"/>
    <w:rsid w:val="009828C5"/>
    <w:rsid w:val="00982DB6"/>
    <w:rsid w:val="0098347D"/>
    <w:rsid w:val="00984596"/>
    <w:rsid w:val="00990A78"/>
    <w:rsid w:val="009940B1"/>
    <w:rsid w:val="009A2C20"/>
    <w:rsid w:val="009A5198"/>
    <w:rsid w:val="009B36DC"/>
    <w:rsid w:val="009B6327"/>
    <w:rsid w:val="009B6DBC"/>
    <w:rsid w:val="009B7FDD"/>
    <w:rsid w:val="009C0827"/>
    <w:rsid w:val="009C1B36"/>
    <w:rsid w:val="009C313D"/>
    <w:rsid w:val="009C3ADD"/>
    <w:rsid w:val="009C6CF3"/>
    <w:rsid w:val="009C6E5B"/>
    <w:rsid w:val="009C6F13"/>
    <w:rsid w:val="009C743F"/>
    <w:rsid w:val="009D10BF"/>
    <w:rsid w:val="009D15E1"/>
    <w:rsid w:val="009D564D"/>
    <w:rsid w:val="009D5E4D"/>
    <w:rsid w:val="009D7E50"/>
    <w:rsid w:val="009E03DA"/>
    <w:rsid w:val="009E2F65"/>
    <w:rsid w:val="009E48EA"/>
    <w:rsid w:val="009E4BDB"/>
    <w:rsid w:val="009E56BB"/>
    <w:rsid w:val="009F76DB"/>
    <w:rsid w:val="00A0000D"/>
    <w:rsid w:val="00A02836"/>
    <w:rsid w:val="00A02D0A"/>
    <w:rsid w:val="00A103A0"/>
    <w:rsid w:val="00A1071F"/>
    <w:rsid w:val="00A12177"/>
    <w:rsid w:val="00A146E7"/>
    <w:rsid w:val="00A14814"/>
    <w:rsid w:val="00A2499C"/>
    <w:rsid w:val="00A24E54"/>
    <w:rsid w:val="00A32C3B"/>
    <w:rsid w:val="00A37201"/>
    <w:rsid w:val="00A377CC"/>
    <w:rsid w:val="00A409BA"/>
    <w:rsid w:val="00A41CB0"/>
    <w:rsid w:val="00A453FE"/>
    <w:rsid w:val="00A458F4"/>
    <w:rsid w:val="00A45F4F"/>
    <w:rsid w:val="00A47F3E"/>
    <w:rsid w:val="00A524FF"/>
    <w:rsid w:val="00A552B2"/>
    <w:rsid w:val="00A56729"/>
    <w:rsid w:val="00A56EE5"/>
    <w:rsid w:val="00A600A9"/>
    <w:rsid w:val="00A60B5C"/>
    <w:rsid w:val="00A62E91"/>
    <w:rsid w:val="00A64B78"/>
    <w:rsid w:val="00A66752"/>
    <w:rsid w:val="00A6774C"/>
    <w:rsid w:val="00A700E6"/>
    <w:rsid w:val="00A70D5C"/>
    <w:rsid w:val="00A72A3E"/>
    <w:rsid w:val="00A76D35"/>
    <w:rsid w:val="00A82C05"/>
    <w:rsid w:val="00A846AF"/>
    <w:rsid w:val="00A86B7D"/>
    <w:rsid w:val="00A910AD"/>
    <w:rsid w:val="00A95A62"/>
    <w:rsid w:val="00A96E7F"/>
    <w:rsid w:val="00A96ED9"/>
    <w:rsid w:val="00A97875"/>
    <w:rsid w:val="00AA0097"/>
    <w:rsid w:val="00AA0497"/>
    <w:rsid w:val="00AA440D"/>
    <w:rsid w:val="00AA51BE"/>
    <w:rsid w:val="00AA55B7"/>
    <w:rsid w:val="00AA5B9E"/>
    <w:rsid w:val="00AB2407"/>
    <w:rsid w:val="00AB449B"/>
    <w:rsid w:val="00AB4935"/>
    <w:rsid w:val="00AB53DF"/>
    <w:rsid w:val="00AB7055"/>
    <w:rsid w:val="00AC1E27"/>
    <w:rsid w:val="00AC325B"/>
    <w:rsid w:val="00AC485F"/>
    <w:rsid w:val="00AC73A6"/>
    <w:rsid w:val="00AD0E07"/>
    <w:rsid w:val="00AD18F2"/>
    <w:rsid w:val="00AD18FE"/>
    <w:rsid w:val="00AD4815"/>
    <w:rsid w:val="00AD5594"/>
    <w:rsid w:val="00AE0A2F"/>
    <w:rsid w:val="00AE10CD"/>
    <w:rsid w:val="00AE5E03"/>
    <w:rsid w:val="00AF5AFC"/>
    <w:rsid w:val="00AF5B2E"/>
    <w:rsid w:val="00AF64E5"/>
    <w:rsid w:val="00AF7AC5"/>
    <w:rsid w:val="00B005B7"/>
    <w:rsid w:val="00B014CD"/>
    <w:rsid w:val="00B01DAE"/>
    <w:rsid w:val="00B05EFF"/>
    <w:rsid w:val="00B067D3"/>
    <w:rsid w:val="00B07A3F"/>
    <w:rsid w:val="00B07E5C"/>
    <w:rsid w:val="00B10BBF"/>
    <w:rsid w:val="00B122F0"/>
    <w:rsid w:val="00B20875"/>
    <w:rsid w:val="00B21980"/>
    <w:rsid w:val="00B2467D"/>
    <w:rsid w:val="00B2509A"/>
    <w:rsid w:val="00B252EA"/>
    <w:rsid w:val="00B2675D"/>
    <w:rsid w:val="00B30ECC"/>
    <w:rsid w:val="00B32262"/>
    <w:rsid w:val="00B333D1"/>
    <w:rsid w:val="00B3631C"/>
    <w:rsid w:val="00B36321"/>
    <w:rsid w:val="00B37729"/>
    <w:rsid w:val="00B424C1"/>
    <w:rsid w:val="00B42B00"/>
    <w:rsid w:val="00B45403"/>
    <w:rsid w:val="00B45FFA"/>
    <w:rsid w:val="00B46282"/>
    <w:rsid w:val="00B51A90"/>
    <w:rsid w:val="00B57124"/>
    <w:rsid w:val="00B63599"/>
    <w:rsid w:val="00B64001"/>
    <w:rsid w:val="00B64122"/>
    <w:rsid w:val="00B6509F"/>
    <w:rsid w:val="00B70ACC"/>
    <w:rsid w:val="00B71E53"/>
    <w:rsid w:val="00B72801"/>
    <w:rsid w:val="00B732C8"/>
    <w:rsid w:val="00B747E5"/>
    <w:rsid w:val="00B752CA"/>
    <w:rsid w:val="00B811F7"/>
    <w:rsid w:val="00B8184B"/>
    <w:rsid w:val="00B8219D"/>
    <w:rsid w:val="00B82EBC"/>
    <w:rsid w:val="00B83D1E"/>
    <w:rsid w:val="00B8708C"/>
    <w:rsid w:val="00B94662"/>
    <w:rsid w:val="00B94EA4"/>
    <w:rsid w:val="00B95DCE"/>
    <w:rsid w:val="00BA1043"/>
    <w:rsid w:val="00BA5DC6"/>
    <w:rsid w:val="00BA6196"/>
    <w:rsid w:val="00BB00CD"/>
    <w:rsid w:val="00BB198C"/>
    <w:rsid w:val="00BB280D"/>
    <w:rsid w:val="00BB2C3C"/>
    <w:rsid w:val="00BB3618"/>
    <w:rsid w:val="00BB619B"/>
    <w:rsid w:val="00BC0750"/>
    <w:rsid w:val="00BC0A12"/>
    <w:rsid w:val="00BC6D8C"/>
    <w:rsid w:val="00BD3081"/>
    <w:rsid w:val="00BD39D2"/>
    <w:rsid w:val="00BD7A9E"/>
    <w:rsid w:val="00BE0B2F"/>
    <w:rsid w:val="00BE0EBC"/>
    <w:rsid w:val="00BE17B6"/>
    <w:rsid w:val="00BE2C8F"/>
    <w:rsid w:val="00BE2DF0"/>
    <w:rsid w:val="00BE3EAA"/>
    <w:rsid w:val="00BE5CDF"/>
    <w:rsid w:val="00BE6115"/>
    <w:rsid w:val="00BE625F"/>
    <w:rsid w:val="00BE782D"/>
    <w:rsid w:val="00BF0071"/>
    <w:rsid w:val="00BF0842"/>
    <w:rsid w:val="00BF10B9"/>
    <w:rsid w:val="00BF24EE"/>
    <w:rsid w:val="00BF34A0"/>
    <w:rsid w:val="00BF4CF5"/>
    <w:rsid w:val="00BF52FB"/>
    <w:rsid w:val="00BF6D40"/>
    <w:rsid w:val="00BF7E91"/>
    <w:rsid w:val="00C02716"/>
    <w:rsid w:val="00C1093A"/>
    <w:rsid w:val="00C10E1C"/>
    <w:rsid w:val="00C12A31"/>
    <w:rsid w:val="00C12D2B"/>
    <w:rsid w:val="00C13C97"/>
    <w:rsid w:val="00C14CAF"/>
    <w:rsid w:val="00C1542D"/>
    <w:rsid w:val="00C169ED"/>
    <w:rsid w:val="00C23C37"/>
    <w:rsid w:val="00C25BB5"/>
    <w:rsid w:val="00C328D9"/>
    <w:rsid w:val="00C328DE"/>
    <w:rsid w:val="00C331C3"/>
    <w:rsid w:val="00C34006"/>
    <w:rsid w:val="00C346FC"/>
    <w:rsid w:val="00C401C8"/>
    <w:rsid w:val="00C41546"/>
    <w:rsid w:val="00C426B1"/>
    <w:rsid w:val="00C430BB"/>
    <w:rsid w:val="00C43FBD"/>
    <w:rsid w:val="00C44E53"/>
    <w:rsid w:val="00C44FD1"/>
    <w:rsid w:val="00C4555F"/>
    <w:rsid w:val="00C45E7F"/>
    <w:rsid w:val="00C46D5D"/>
    <w:rsid w:val="00C46F88"/>
    <w:rsid w:val="00C53064"/>
    <w:rsid w:val="00C5744F"/>
    <w:rsid w:val="00C602E5"/>
    <w:rsid w:val="00C60AAE"/>
    <w:rsid w:val="00C61EB3"/>
    <w:rsid w:val="00C6399E"/>
    <w:rsid w:val="00C63E05"/>
    <w:rsid w:val="00C66160"/>
    <w:rsid w:val="00C71E60"/>
    <w:rsid w:val="00C721AC"/>
    <w:rsid w:val="00C757F8"/>
    <w:rsid w:val="00C83043"/>
    <w:rsid w:val="00C841B9"/>
    <w:rsid w:val="00C84712"/>
    <w:rsid w:val="00C855D1"/>
    <w:rsid w:val="00C85DA4"/>
    <w:rsid w:val="00C862C0"/>
    <w:rsid w:val="00C90D67"/>
    <w:rsid w:val="00C90D6A"/>
    <w:rsid w:val="00C90E0D"/>
    <w:rsid w:val="00C90F1D"/>
    <w:rsid w:val="00C93253"/>
    <w:rsid w:val="00C94009"/>
    <w:rsid w:val="00C9583B"/>
    <w:rsid w:val="00CA05C5"/>
    <w:rsid w:val="00CA1E01"/>
    <w:rsid w:val="00CA247E"/>
    <w:rsid w:val="00CA4AE2"/>
    <w:rsid w:val="00CA6C47"/>
    <w:rsid w:val="00CB0853"/>
    <w:rsid w:val="00CB4E1F"/>
    <w:rsid w:val="00CB6EEA"/>
    <w:rsid w:val="00CC3E94"/>
    <w:rsid w:val="00CC433F"/>
    <w:rsid w:val="00CC453F"/>
    <w:rsid w:val="00CC4FD4"/>
    <w:rsid w:val="00CC72B6"/>
    <w:rsid w:val="00CD36E6"/>
    <w:rsid w:val="00CD4B11"/>
    <w:rsid w:val="00CD6105"/>
    <w:rsid w:val="00CE1A25"/>
    <w:rsid w:val="00CE3653"/>
    <w:rsid w:val="00CF2A81"/>
    <w:rsid w:val="00CF2F57"/>
    <w:rsid w:val="00CF4710"/>
    <w:rsid w:val="00CF69C4"/>
    <w:rsid w:val="00CF79B3"/>
    <w:rsid w:val="00D0030D"/>
    <w:rsid w:val="00D015C8"/>
    <w:rsid w:val="00D019E2"/>
    <w:rsid w:val="00D0218D"/>
    <w:rsid w:val="00D02EF0"/>
    <w:rsid w:val="00D0376D"/>
    <w:rsid w:val="00D05284"/>
    <w:rsid w:val="00D056E6"/>
    <w:rsid w:val="00D07DAC"/>
    <w:rsid w:val="00D1393E"/>
    <w:rsid w:val="00D14727"/>
    <w:rsid w:val="00D15F30"/>
    <w:rsid w:val="00D21CF6"/>
    <w:rsid w:val="00D25FB5"/>
    <w:rsid w:val="00D32473"/>
    <w:rsid w:val="00D33041"/>
    <w:rsid w:val="00D345BE"/>
    <w:rsid w:val="00D35891"/>
    <w:rsid w:val="00D3777D"/>
    <w:rsid w:val="00D44223"/>
    <w:rsid w:val="00D44ABB"/>
    <w:rsid w:val="00D4511B"/>
    <w:rsid w:val="00D455FB"/>
    <w:rsid w:val="00D45A7B"/>
    <w:rsid w:val="00D45AAC"/>
    <w:rsid w:val="00D47A3B"/>
    <w:rsid w:val="00D52483"/>
    <w:rsid w:val="00D55C64"/>
    <w:rsid w:val="00D5630A"/>
    <w:rsid w:val="00D62714"/>
    <w:rsid w:val="00D63510"/>
    <w:rsid w:val="00D6456C"/>
    <w:rsid w:val="00D65098"/>
    <w:rsid w:val="00D664B9"/>
    <w:rsid w:val="00D672A8"/>
    <w:rsid w:val="00D675D0"/>
    <w:rsid w:val="00D71BE8"/>
    <w:rsid w:val="00D746F6"/>
    <w:rsid w:val="00D76257"/>
    <w:rsid w:val="00D81A3D"/>
    <w:rsid w:val="00D83A41"/>
    <w:rsid w:val="00D86155"/>
    <w:rsid w:val="00D90C35"/>
    <w:rsid w:val="00D90D3C"/>
    <w:rsid w:val="00D92043"/>
    <w:rsid w:val="00D92631"/>
    <w:rsid w:val="00D97DE5"/>
    <w:rsid w:val="00DA0733"/>
    <w:rsid w:val="00DA0EC2"/>
    <w:rsid w:val="00DA2529"/>
    <w:rsid w:val="00DA3B70"/>
    <w:rsid w:val="00DA4840"/>
    <w:rsid w:val="00DA739C"/>
    <w:rsid w:val="00DB085B"/>
    <w:rsid w:val="00DB130A"/>
    <w:rsid w:val="00DB1ECD"/>
    <w:rsid w:val="00DB2EBB"/>
    <w:rsid w:val="00DB3D5B"/>
    <w:rsid w:val="00DB4056"/>
    <w:rsid w:val="00DB6541"/>
    <w:rsid w:val="00DB671B"/>
    <w:rsid w:val="00DC10A1"/>
    <w:rsid w:val="00DC3551"/>
    <w:rsid w:val="00DC41F2"/>
    <w:rsid w:val="00DC4615"/>
    <w:rsid w:val="00DC655F"/>
    <w:rsid w:val="00DD0B59"/>
    <w:rsid w:val="00DD191F"/>
    <w:rsid w:val="00DD7EBD"/>
    <w:rsid w:val="00DE6817"/>
    <w:rsid w:val="00DE79E3"/>
    <w:rsid w:val="00DF0202"/>
    <w:rsid w:val="00DF03F8"/>
    <w:rsid w:val="00DF1585"/>
    <w:rsid w:val="00DF62B6"/>
    <w:rsid w:val="00DF7991"/>
    <w:rsid w:val="00DF7B8F"/>
    <w:rsid w:val="00E03913"/>
    <w:rsid w:val="00E07225"/>
    <w:rsid w:val="00E07554"/>
    <w:rsid w:val="00E13EAF"/>
    <w:rsid w:val="00E157C2"/>
    <w:rsid w:val="00E169A3"/>
    <w:rsid w:val="00E17E1D"/>
    <w:rsid w:val="00E254C0"/>
    <w:rsid w:val="00E26B3B"/>
    <w:rsid w:val="00E27897"/>
    <w:rsid w:val="00E2793E"/>
    <w:rsid w:val="00E329AE"/>
    <w:rsid w:val="00E34D36"/>
    <w:rsid w:val="00E43766"/>
    <w:rsid w:val="00E43D80"/>
    <w:rsid w:val="00E4519B"/>
    <w:rsid w:val="00E45B13"/>
    <w:rsid w:val="00E46EA0"/>
    <w:rsid w:val="00E50755"/>
    <w:rsid w:val="00E50C2B"/>
    <w:rsid w:val="00E5409F"/>
    <w:rsid w:val="00E54175"/>
    <w:rsid w:val="00E543CE"/>
    <w:rsid w:val="00E5622E"/>
    <w:rsid w:val="00E565F7"/>
    <w:rsid w:val="00E568CF"/>
    <w:rsid w:val="00E57591"/>
    <w:rsid w:val="00E576E6"/>
    <w:rsid w:val="00E605FD"/>
    <w:rsid w:val="00E673CD"/>
    <w:rsid w:val="00E7171C"/>
    <w:rsid w:val="00E73203"/>
    <w:rsid w:val="00E74BF6"/>
    <w:rsid w:val="00E75392"/>
    <w:rsid w:val="00E7634F"/>
    <w:rsid w:val="00E77D54"/>
    <w:rsid w:val="00E81BD5"/>
    <w:rsid w:val="00E8568A"/>
    <w:rsid w:val="00E874F2"/>
    <w:rsid w:val="00E87854"/>
    <w:rsid w:val="00E92531"/>
    <w:rsid w:val="00E9263B"/>
    <w:rsid w:val="00E92CAA"/>
    <w:rsid w:val="00E953FB"/>
    <w:rsid w:val="00E9710A"/>
    <w:rsid w:val="00E97A9E"/>
    <w:rsid w:val="00EA0D1C"/>
    <w:rsid w:val="00EA1220"/>
    <w:rsid w:val="00EA1C6A"/>
    <w:rsid w:val="00EA1F9F"/>
    <w:rsid w:val="00EA5126"/>
    <w:rsid w:val="00EA6B43"/>
    <w:rsid w:val="00EA7017"/>
    <w:rsid w:val="00EA7350"/>
    <w:rsid w:val="00EB6D06"/>
    <w:rsid w:val="00EB729C"/>
    <w:rsid w:val="00EB7850"/>
    <w:rsid w:val="00EC7116"/>
    <w:rsid w:val="00EC7B06"/>
    <w:rsid w:val="00ED2E2D"/>
    <w:rsid w:val="00ED2F3A"/>
    <w:rsid w:val="00ED3616"/>
    <w:rsid w:val="00ED36FB"/>
    <w:rsid w:val="00EE0706"/>
    <w:rsid w:val="00EE1C6D"/>
    <w:rsid w:val="00EE557E"/>
    <w:rsid w:val="00EE584D"/>
    <w:rsid w:val="00EE6488"/>
    <w:rsid w:val="00EF4008"/>
    <w:rsid w:val="00EF48DE"/>
    <w:rsid w:val="00EF6215"/>
    <w:rsid w:val="00EF6EF1"/>
    <w:rsid w:val="00EF766A"/>
    <w:rsid w:val="00F015C0"/>
    <w:rsid w:val="00F021FA"/>
    <w:rsid w:val="00F02279"/>
    <w:rsid w:val="00F0774A"/>
    <w:rsid w:val="00F10A66"/>
    <w:rsid w:val="00F12C7D"/>
    <w:rsid w:val="00F14C83"/>
    <w:rsid w:val="00F16155"/>
    <w:rsid w:val="00F20B39"/>
    <w:rsid w:val="00F21BD8"/>
    <w:rsid w:val="00F2382B"/>
    <w:rsid w:val="00F24944"/>
    <w:rsid w:val="00F33814"/>
    <w:rsid w:val="00F35E3B"/>
    <w:rsid w:val="00F363EB"/>
    <w:rsid w:val="00F44174"/>
    <w:rsid w:val="00F44FBC"/>
    <w:rsid w:val="00F5042E"/>
    <w:rsid w:val="00F51102"/>
    <w:rsid w:val="00F535A9"/>
    <w:rsid w:val="00F53DF6"/>
    <w:rsid w:val="00F60E58"/>
    <w:rsid w:val="00F610BF"/>
    <w:rsid w:val="00F62284"/>
    <w:rsid w:val="00F62E97"/>
    <w:rsid w:val="00F64209"/>
    <w:rsid w:val="00F6446C"/>
    <w:rsid w:val="00F73E5A"/>
    <w:rsid w:val="00F74C33"/>
    <w:rsid w:val="00F75BCD"/>
    <w:rsid w:val="00F81B88"/>
    <w:rsid w:val="00F822D4"/>
    <w:rsid w:val="00F8346D"/>
    <w:rsid w:val="00F84705"/>
    <w:rsid w:val="00F90DEC"/>
    <w:rsid w:val="00F93BF5"/>
    <w:rsid w:val="00F941BE"/>
    <w:rsid w:val="00F972AC"/>
    <w:rsid w:val="00FA5B4F"/>
    <w:rsid w:val="00FA74C6"/>
    <w:rsid w:val="00FA79A3"/>
    <w:rsid w:val="00FB23E5"/>
    <w:rsid w:val="00FB3F80"/>
    <w:rsid w:val="00FB491E"/>
    <w:rsid w:val="00FB590A"/>
    <w:rsid w:val="00FB5D4B"/>
    <w:rsid w:val="00FB5F5B"/>
    <w:rsid w:val="00FC0B82"/>
    <w:rsid w:val="00FC698D"/>
    <w:rsid w:val="00FD0D03"/>
    <w:rsid w:val="00FD26AA"/>
    <w:rsid w:val="00FD4F6C"/>
    <w:rsid w:val="00FD5DDE"/>
    <w:rsid w:val="00FD7508"/>
    <w:rsid w:val="00FD7E9E"/>
    <w:rsid w:val="00FE0CB8"/>
    <w:rsid w:val="00FE33FD"/>
    <w:rsid w:val="00FE4ED0"/>
    <w:rsid w:val="00FE5CCB"/>
    <w:rsid w:val="00FE7D92"/>
    <w:rsid w:val="00FE7F1D"/>
    <w:rsid w:val="00FF2DC7"/>
    <w:rsid w:val="00FF63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D6"/>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Footnote Text Char1 Char,Footnote Text Char1 Char Char Char Char,Footnote Text Char2,Footnote Text Char2 Char Char Char Char Char1,Footnote Text Char2 Char1 Char Char1,Footnote Text Char3,Footnote Text Char3 Char Char1,Footnote Text Char5"/>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25098C"/>
    <w:pPr>
      <w:spacing w:after="200" w:line="276" w:lineRule="auto"/>
      <w:ind w:left="720"/>
      <w:contextualSpacing/>
    </w:pPr>
    <w:rPr>
      <w:rFonts w:eastAsiaTheme="minorHAnsi"/>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basedOn w:val="DefaultParagraphFont"/>
    <w:link w:val="FootnoteText"/>
    <w:rsid w:val="00BB00CD"/>
  </w:style>
  <w:style w:type="character" w:customStyle="1" w:styleId="ParaNumChar">
    <w:name w:val="ParaNum Char"/>
    <w:link w:val="ParaNum"/>
    <w:locked/>
    <w:rsid w:val="009E2F65"/>
    <w:rPr>
      <w:snapToGrid w:val="0"/>
      <w:kern w:val="28"/>
      <w:sz w:val="22"/>
    </w:rPr>
  </w:style>
  <w:style w:type="paragraph" w:styleId="BalloonText">
    <w:name w:val="Balloon Text"/>
    <w:basedOn w:val="Normal"/>
    <w:link w:val="BalloonTextChar"/>
    <w:rsid w:val="0054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4696B"/>
    <w:rPr>
      <w:rFonts w:ascii="Segoe UI" w:hAnsi="Segoe UI" w:eastAsiaTheme="minorEastAsia" w:cs="Segoe UI"/>
      <w:sz w:val="18"/>
      <w:szCs w:val="18"/>
    </w:rPr>
  </w:style>
  <w:style w:type="character" w:styleId="CommentReference">
    <w:name w:val="annotation reference"/>
    <w:basedOn w:val="DefaultParagraphFont"/>
    <w:rsid w:val="001F2711"/>
    <w:rPr>
      <w:sz w:val="16"/>
      <w:szCs w:val="16"/>
    </w:rPr>
  </w:style>
  <w:style w:type="paragraph" w:styleId="CommentText">
    <w:name w:val="annotation text"/>
    <w:basedOn w:val="Normal"/>
    <w:link w:val="CommentTextChar"/>
    <w:rsid w:val="001F2711"/>
    <w:pPr>
      <w:spacing w:line="240" w:lineRule="auto"/>
    </w:pPr>
    <w:rPr>
      <w:sz w:val="20"/>
      <w:szCs w:val="20"/>
    </w:rPr>
  </w:style>
  <w:style w:type="character" w:customStyle="1" w:styleId="CommentTextChar">
    <w:name w:val="Comment Text Char"/>
    <w:basedOn w:val="DefaultParagraphFont"/>
    <w:link w:val="CommentText"/>
    <w:rsid w:val="001F2711"/>
    <w:rPr>
      <w:rFonts w:asciiTheme="minorHAnsi" w:eastAsiaTheme="minorEastAsia" w:hAnsiTheme="minorHAnsi" w:cstheme="minorBidi"/>
    </w:rPr>
  </w:style>
  <w:style w:type="paragraph" w:styleId="CommentSubject">
    <w:name w:val="annotation subject"/>
    <w:basedOn w:val="CommentText"/>
    <w:next w:val="CommentText"/>
    <w:link w:val="CommentSubjectChar"/>
    <w:rsid w:val="001F2711"/>
    <w:rPr>
      <w:b/>
      <w:bCs/>
    </w:rPr>
  </w:style>
  <w:style w:type="character" w:customStyle="1" w:styleId="CommentSubjectChar">
    <w:name w:val="Comment Subject Char"/>
    <w:basedOn w:val="CommentTextChar"/>
    <w:link w:val="CommentSubject"/>
    <w:rsid w:val="001F2711"/>
    <w:rPr>
      <w:rFonts w:asciiTheme="minorHAnsi" w:eastAsiaTheme="minorEastAsia" w:hAnsiTheme="minorHAnsi" w:cstheme="minorBidi"/>
      <w:b/>
      <w:bCs/>
    </w:rPr>
  </w:style>
  <w:style w:type="character" w:customStyle="1" w:styleId="apple-converted-space">
    <w:name w:val="apple-converted-space"/>
    <w:basedOn w:val="DefaultParagraphFont"/>
    <w:rsid w:val="006D3458"/>
  </w:style>
  <w:style w:type="character" w:styleId="Emphasis">
    <w:name w:val="Emphasis"/>
    <w:basedOn w:val="DefaultParagraphFont"/>
    <w:uiPriority w:val="20"/>
    <w:qFormat/>
    <w:rsid w:val="006D3458"/>
    <w:rPr>
      <w:i/>
      <w:iCs/>
    </w:rPr>
  </w:style>
  <w:style w:type="character" w:customStyle="1" w:styleId="cosearchterm">
    <w:name w:val="co_searchterm"/>
    <w:basedOn w:val="DefaultParagraphFont"/>
    <w:rsid w:val="006D3458"/>
  </w:style>
  <w:style w:type="character" w:customStyle="1" w:styleId="costarpage">
    <w:name w:val="co_starpage"/>
    <w:basedOn w:val="DefaultParagraphFont"/>
    <w:rsid w:val="00D4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