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A7F29" w:rsidRPr="006A7F29" w:rsidP="003763BD" w14:paraId="4721C6D2" w14:textId="77777777">
      <w:pPr>
        <w:widowControl/>
        <w:jc w:val="center"/>
        <w:rPr>
          <w:b/>
        </w:rPr>
      </w:pPr>
      <w:r w:rsidRPr="006A7F29">
        <w:rPr>
          <w:rFonts w:ascii="Times New Roman Bold" w:hAnsi="Times New Roman Bold"/>
          <w:b/>
          <w:kern w:val="0"/>
          <w:szCs w:val="22"/>
        </w:rPr>
        <w:t>Before</w:t>
      </w:r>
      <w:r w:rsidRPr="006A7F29">
        <w:rPr>
          <w:b/>
        </w:rPr>
        <w:t xml:space="preserve"> </w:t>
      </w:r>
      <w:r w:rsidRPr="006A7F29" w:rsidR="00053100">
        <w:rPr>
          <w:b/>
        </w:rPr>
        <w:t>t</w:t>
      </w:r>
      <w:r w:rsidR="003763BD">
        <w:rPr>
          <w:b/>
        </w:rPr>
        <w:t>he</w:t>
      </w:r>
    </w:p>
    <w:p w:rsidR="006A7F29" w:rsidRPr="006A7F29" w:rsidP="003763BD" w14:paraId="75D54A04" w14:textId="77777777">
      <w:pPr>
        <w:widowControl/>
        <w:jc w:val="center"/>
        <w:rPr>
          <w:rFonts w:ascii="Times New Roman Bold" w:hAnsi="Times New Roman Bold"/>
          <w:b/>
          <w:bCs/>
          <w:caps/>
          <w:szCs w:val="22"/>
        </w:rPr>
      </w:pPr>
      <w:r w:rsidRPr="006A7F29">
        <w:rPr>
          <w:rFonts w:ascii="Times New Roman Bold" w:hAnsi="Times New Roman Bold"/>
          <w:b/>
          <w:bCs/>
          <w:caps/>
          <w:szCs w:val="22"/>
        </w:rPr>
        <w:t>F</w:t>
      </w:r>
      <w:r w:rsidRPr="006A7F29">
        <w:rPr>
          <w:rFonts w:ascii="Times New Roman Bold" w:hAnsi="Times New Roman Bold"/>
          <w:b/>
          <w:bCs/>
          <w:szCs w:val="22"/>
        </w:rPr>
        <w:t>ederal Communications Commission</w:t>
      </w:r>
    </w:p>
    <w:p w:rsidR="006A7F29" w:rsidRPr="006A7F29" w:rsidP="003763BD" w14:paraId="12857298" w14:textId="77777777">
      <w:pPr>
        <w:widowControl/>
        <w:jc w:val="center"/>
        <w:rPr>
          <w:rFonts w:ascii="Times New Roman Bold" w:hAnsi="Times New Roman Bold"/>
          <w:b/>
          <w:bCs/>
          <w:caps/>
          <w:szCs w:val="22"/>
        </w:rPr>
      </w:pPr>
      <w:r w:rsidRPr="006A7F29">
        <w:rPr>
          <w:rFonts w:ascii="Times New Roman Bold" w:hAnsi="Times New Roman Bold"/>
          <w:b/>
          <w:bCs/>
          <w:szCs w:val="22"/>
        </w:rPr>
        <w:t>Washington, D.C. 20554</w:t>
      </w:r>
    </w:p>
    <w:p w:rsidR="006A7F29" w:rsidRPr="006A7F29" w:rsidP="003763BD" w14:paraId="2489DD81" w14:textId="77777777">
      <w:pPr>
        <w:widowControl/>
      </w:pPr>
    </w:p>
    <w:p w:rsidR="006A7F29" w:rsidRPr="006A7F29" w:rsidP="003763BD" w14:paraId="58035EC0" w14:textId="77777777">
      <w:pPr>
        <w:widowControl/>
      </w:pPr>
    </w:p>
    <w:tbl>
      <w:tblPr>
        <w:tblW w:w="0" w:type="auto"/>
        <w:tblLayout w:type="fixed"/>
        <w:tblLook w:val="0000"/>
      </w:tblPr>
      <w:tblGrid>
        <w:gridCol w:w="4698"/>
        <w:gridCol w:w="630"/>
        <w:gridCol w:w="4248"/>
      </w:tblGrid>
      <w:tr w14:paraId="7253E41E" w14:textId="77777777" w:rsidTr="009D79FF">
        <w:tblPrEx>
          <w:tblW w:w="0" w:type="auto"/>
          <w:tblLayout w:type="fixed"/>
          <w:tblLook w:val="0000"/>
        </w:tblPrEx>
        <w:tc>
          <w:tcPr>
            <w:tcW w:w="4698" w:type="dxa"/>
          </w:tcPr>
          <w:p w:rsidR="006A7F29" w:rsidRPr="006A7F29" w:rsidP="003763BD" w14:paraId="1456D122" w14:textId="77777777">
            <w:pPr>
              <w:widowControl/>
              <w:tabs>
                <w:tab w:val="center" w:pos="4680"/>
              </w:tabs>
              <w:suppressAutoHyphens/>
              <w:rPr>
                <w:spacing w:val="-2"/>
              </w:rPr>
            </w:pPr>
            <w:r w:rsidRPr="006A7F29">
              <w:rPr>
                <w:spacing w:val="-2"/>
              </w:rPr>
              <w:t>In the Matter of</w:t>
            </w:r>
          </w:p>
          <w:p w:rsidR="006A7F29" w:rsidRPr="006A7F29" w:rsidP="003763BD" w14:paraId="61A1AF9C" w14:textId="77777777">
            <w:pPr>
              <w:widowControl/>
              <w:tabs>
                <w:tab w:val="center" w:pos="4680"/>
              </w:tabs>
              <w:suppressAutoHyphens/>
              <w:rPr>
                <w:spacing w:val="-2"/>
              </w:rPr>
            </w:pPr>
          </w:p>
          <w:p w:rsidR="006A7F29" w:rsidRPr="006A7F29" w:rsidP="003763BD" w14:paraId="12DADE99" w14:textId="77777777">
            <w:pPr>
              <w:widowControl/>
              <w:tabs>
                <w:tab w:val="center" w:pos="4680"/>
              </w:tabs>
              <w:suppressAutoHyphens/>
              <w:rPr>
                <w:spacing w:val="-2"/>
                <w:szCs w:val="22"/>
              </w:rPr>
            </w:pPr>
            <w:r w:rsidRPr="006A7F29">
              <w:rPr>
                <w:spacing w:val="-2"/>
                <w:szCs w:val="22"/>
              </w:rPr>
              <w:t>Improving Wireless Emergency Alerts and Community-Initiated Alerting</w:t>
            </w:r>
          </w:p>
          <w:p w:rsidR="006A7F29" w:rsidRPr="006A7F29" w:rsidP="003763BD" w14:paraId="719A4EC6" w14:textId="77777777">
            <w:pPr>
              <w:widowControl/>
              <w:tabs>
                <w:tab w:val="center" w:pos="4680"/>
              </w:tabs>
              <w:suppressAutoHyphens/>
              <w:rPr>
                <w:spacing w:val="-2"/>
              </w:rPr>
            </w:pPr>
          </w:p>
          <w:p w:rsidR="006A7F29" w:rsidRPr="006A7F29" w:rsidP="003763BD" w14:paraId="47CCEECD" w14:textId="77777777">
            <w:pPr>
              <w:widowControl/>
              <w:tabs>
                <w:tab w:val="center" w:pos="4680"/>
              </w:tabs>
              <w:suppressAutoHyphens/>
              <w:rPr>
                <w:spacing w:val="-2"/>
              </w:rPr>
            </w:pPr>
            <w:r w:rsidRPr="006A7F29">
              <w:rPr>
                <w:spacing w:val="-2"/>
                <w:szCs w:val="22"/>
              </w:rPr>
              <w:t>Amendments to Part 11 of the Commission’s Rules Regarding the Emergency Alert System</w:t>
            </w:r>
          </w:p>
        </w:tc>
        <w:tc>
          <w:tcPr>
            <w:tcW w:w="630" w:type="dxa"/>
          </w:tcPr>
          <w:p w:rsidR="006A7F29" w:rsidRPr="006A7F29" w:rsidP="003763BD" w14:paraId="1BF20578" w14:textId="77777777">
            <w:pPr>
              <w:widowControl/>
              <w:tabs>
                <w:tab w:val="center" w:pos="4680"/>
              </w:tabs>
              <w:suppressAutoHyphens/>
              <w:rPr>
                <w:b/>
                <w:spacing w:val="-2"/>
              </w:rPr>
            </w:pPr>
            <w:r w:rsidRPr="006A7F29">
              <w:rPr>
                <w:b/>
                <w:spacing w:val="-2"/>
              </w:rPr>
              <w:t>)</w:t>
            </w:r>
          </w:p>
          <w:p w:rsidR="006A7F29" w:rsidRPr="006A7F29" w:rsidP="003763BD" w14:paraId="2EC87BA6" w14:textId="77777777">
            <w:pPr>
              <w:widowControl/>
              <w:tabs>
                <w:tab w:val="center" w:pos="4680"/>
              </w:tabs>
              <w:suppressAutoHyphens/>
              <w:rPr>
                <w:b/>
                <w:spacing w:val="-2"/>
              </w:rPr>
            </w:pPr>
            <w:r w:rsidRPr="006A7F29">
              <w:rPr>
                <w:b/>
                <w:spacing w:val="-2"/>
              </w:rPr>
              <w:t>)</w:t>
            </w:r>
          </w:p>
          <w:p w:rsidR="006A7F29" w:rsidRPr="006A7F29" w:rsidP="003763BD" w14:paraId="5C3C6BD7" w14:textId="77777777">
            <w:pPr>
              <w:widowControl/>
              <w:tabs>
                <w:tab w:val="center" w:pos="4680"/>
              </w:tabs>
              <w:suppressAutoHyphens/>
              <w:rPr>
                <w:b/>
                <w:spacing w:val="-2"/>
              </w:rPr>
            </w:pPr>
            <w:r w:rsidRPr="006A7F29">
              <w:rPr>
                <w:b/>
                <w:spacing w:val="-2"/>
              </w:rPr>
              <w:t>)</w:t>
            </w:r>
          </w:p>
          <w:p w:rsidR="006A7F29" w:rsidRPr="006A7F29" w:rsidP="003763BD" w14:paraId="1501FD76" w14:textId="77777777">
            <w:pPr>
              <w:widowControl/>
              <w:tabs>
                <w:tab w:val="center" w:pos="4680"/>
              </w:tabs>
              <w:suppressAutoHyphens/>
              <w:rPr>
                <w:b/>
                <w:spacing w:val="-2"/>
              </w:rPr>
            </w:pPr>
            <w:r w:rsidRPr="006A7F29">
              <w:rPr>
                <w:b/>
                <w:spacing w:val="-2"/>
              </w:rPr>
              <w:t>)</w:t>
            </w:r>
          </w:p>
          <w:p w:rsidR="006A7F29" w:rsidRPr="006A7F29" w:rsidP="003763BD" w14:paraId="08654FFE" w14:textId="77777777">
            <w:pPr>
              <w:widowControl/>
              <w:tabs>
                <w:tab w:val="center" w:pos="4680"/>
              </w:tabs>
              <w:suppressAutoHyphens/>
              <w:rPr>
                <w:b/>
                <w:spacing w:val="-2"/>
              </w:rPr>
            </w:pPr>
            <w:r w:rsidRPr="006A7F29">
              <w:rPr>
                <w:b/>
                <w:spacing w:val="-2"/>
              </w:rPr>
              <w:t>)</w:t>
            </w:r>
          </w:p>
          <w:p w:rsidR="006A7F29" w:rsidRPr="006A7F29" w:rsidP="003763BD" w14:paraId="31BA78A0" w14:textId="77777777">
            <w:pPr>
              <w:widowControl/>
              <w:tabs>
                <w:tab w:val="center" w:pos="4680"/>
              </w:tabs>
              <w:suppressAutoHyphens/>
              <w:rPr>
                <w:b/>
                <w:spacing w:val="-2"/>
              </w:rPr>
            </w:pPr>
            <w:r w:rsidRPr="006A7F29">
              <w:rPr>
                <w:b/>
                <w:spacing w:val="-2"/>
              </w:rPr>
              <w:t>)</w:t>
            </w:r>
          </w:p>
          <w:p w:rsidR="006A7F29" w:rsidRPr="006A7F29" w:rsidP="003763BD" w14:paraId="59B25230" w14:textId="77777777">
            <w:pPr>
              <w:widowControl/>
              <w:tabs>
                <w:tab w:val="center" w:pos="4680"/>
              </w:tabs>
              <w:suppressAutoHyphens/>
              <w:rPr>
                <w:spacing w:val="-2"/>
              </w:rPr>
            </w:pPr>
            <w:r w:rsidRPr="006A7F29">
              <w:rPr>
                <w:b/>
                <w:spacing w:val="-2"/>
              </w:rPr>
              <w:t>)</w:t>
            </w:r>
          </w:p>
        </w:tc>
        <w:tc>
          <w:tcPr>
            <w:tcW w:w="4248" w:type="dxa"/>
          </w:tcPr>
          <w:p w:rsidR="006A7F29" w:rsidRPr="006A7F29" w:rsidP="003763BD" w14:paraId="2907E0E4" w14:textId="77777777">
            <w:pPr>
              <w:widowControl/>
              <w:tabs>
                <w:tab w:val="center" w:pos="4680"/>
              </w:tabs>
              <w:suppressAutoHyphens/>
              <w:rPr>
                <w:spacing w:val="-2"/>
              </w:rPr>
            </w:pPr>
          </w:p>
          <w:p w:rsidR="006A7F29" w:rsidRPr="006A7F29" w:rsidP="003763BD" w14:paraId="2E4B626C" w14:textId="77777777">
            <w:pPr>
              <w:widowControl/>
              <w:tabs>
                <w:tab w:val="center" w:pos="4680"/>
              </w:tabs>
              <w:suppressAutoHyphens/>
              <w:rPr>
                <w:spacing w:val="-2"/>
              </w:rPr>
            </w:pPr>
          </w:p>
          <w:p w:rsidR="006A7F29" w:rsidRPr="006A7F29" w:rsidP="003763BD" w14:paraId="1D0B89AD" w14:textId="77777777">
            <w:pPr>
              <w:widowControl/>
              <w:tabs>
                <w:tab w:val="center" w:pos="4680"/>
              </w:tabs>
              <w:suppressAutoHyphens/>
              <w:rPr>
                <w:spacing w:val="-2"/>
                <w:szCs w:val="22"/>
              </w:rPr>
            </w:pPr>
            <w:r w:rsidRPr="006A7F29">
              <w:rPr>
                <w:spacing w:val="-2"/>
                <w:szCs w:val="22"/>
              </w:rPr>
              <w:t>PS Docket No. 15-91</w:t>
            </w:r>
          </w:p>
          <w:p w:rsidR="006A7F29" w:rsidRPr="006A7F29" w:rsidP="003763BD" w14:paraId="5EAD6D6A" w14:textId="77777777">
            <w:pPr>
              <w:widowControl/>
              <w:tabs>
                <w:tab w:val="center" w:pos="4680"/>
              </w:tabs>
              <w:suppressAutoHyphens/>
              <w:rPr>
                <w:spacing w:val="-2"/>
              </w:rPr>
            </w:pPr>
          </w:p>
          <w:p w:rsidR="006A7F29" w:rsidRPr="006A7F29" w:rsidP="003763BD" w14:paraId="3E4B64DB" w14:textId="77777777">
            <w:pPr>
              <w:widowControl/>
              <w:tabs>
                <w:tab w:val="center" w:pos="4680"/>
              </w:tabs>
              <w:suppressAutoHyphens/>
              <w:rPr>
                <w:spacing w:val="-2"/>
              </w:rPr>
            </w:pPr>
          </w:p>
          <w:p w:rsidR="006A7F29" w:rsidRPr="006A7F29" w:rsidP="003763BD" w14:paraId="6D690E3B" w14:textId="77777777">
            <w:pPr>
              <w:widowControl/>
              <w:tabs>
                <w:tab w:val="center" w:pos="4680"/>
              </w:tabs>
              <w:suppressAutoHyphens/>
              <w:rPr>
                <w:spacing w:val="-2"/>
              </w:rPr>
            </w:pPr>
            <w:r w:rsidRPr="006A7F29">
              <w:rPr>
                <w:spacing w:val="-2"/>
                <w:szCs w:val="22"/>
              </w:rPr>
              <w:t>PS Docket No. 15-94</w:t>
            </w:r>
          </w:p>
        </w:tc>
      </w:tr>
    </w:tbl>
    <w:p w:rsidR="006A7F29" w:rsidRPr="006A7F29" w:rsidP="003763BD" w14:paraId="17634850" w14:textId="77777777">
      <w:pPr>
        <w:widowControl/>
      </w:pPr>
    </w:p>
    <w:p w:rsidR="006A7F29" w:rsidRPr="00E227AB" w:rsidP="003763BD" w14:paraId="56D9F0D0" w14:textId="77777777">
      <w:pPr>
        <w:widowControl/>
        <w:jc w:val="center"/>
        <w:rPr>
          <w:rFonts w:ascii="Times New Roman Bold" w:hAnsi="Times New Roman Bold"/>
          <w:b/>
          <w:bCs/>
          <w:caps/>
          <w:szCs w:val="22"/>
        </w:rPr>
      </w:pPr>
      <w:r w:rsidRPr="00E227AB">
        <w:rPr>
          <w:rFonts w:ascii="Times New Roman Bold" w:hAnsi="Times New Roman Bold"/>
          <w:b/>
          <w:bCs/>
          <w:caps/>
          <w:szCs w:val="22"/>
        </w:rPr>
        <w:t>ORDER</w:t>
      </w:r>
    </w:p>
    <w:p w:rsidR="006A7F29" w:rsidRPr="00E227AB" w:rsidP="003763BD" w14:paraId="01F84DE8" w14:textId="77777777">
      <w:pPr>
        <w:widowControl/>
        <w:tabs>
          <w:tab w:val="left" w:pos="-720"/>
        </w:tabs>
        <w:suppressAutoHyphens/>
        <w:spacing w:line="227" w:lineRule="auto"/>
        <w:rPr>
          <w:spacing w:val="-2"/>
        </w:rPr>
      </w:pPr>
    </w:p>
    <w:p w:rsidR="006A7F29" w:rsidRPr="006A7F29" w:rsidP="003763BD" w14:paraId="2DD177CD" w14:textId="62F01CA3">
      <w:pPr>
        <w:widowControl/>
        <w:tabs>
          <w:tab w:val="left" w:pos="720"/>
          <w:tab w:val="right" w:pos="9360"/>
        </w:tabs>
        <w:suppressAutoHyphens/>
        <w:spacing w:line="227" w:lineRule="auto"/>
        <w:rPr>
          <w:spacing w:val="-2"/>
        </w:rPr>
      </w:pPr>
      <w:r w:rsidRPr="00E227AB">
        <w:rPr>
          <w:b/>
          <w:spacing w:val="-2"/>
        </w:rPr>
        <w:t xml:space="preserve">Adopted:  </w:t>
      </w:r>
      <w:r w:rsidRPr="00E227AB" w:rsidR="00417F3F">
        <w:rPr>
          <w:b/>
          <w:spacing w:val="-2"/>
        </w:rPr>
        <w:t xml:space="preserve">November </w:t>
      </w:r>
      <w:r w:rsidRPr="00E227AB" w:rsidR="0004755C">
        <w:rPr>
          <w:b/>
          <w:spacing w:val="-2"/>
        </w:rPr>
        <w:t>1</w:t>
      </w:r>
      <w:r w:rsidRPr="00E227AB">
        <w:rPr>
          <w:b/>
          <w:spacing w:val="-2"/>
        </w:rPr>
        <w:t>, 2019</w:t>
      </w:r>
      <w:r w:rsidRPr="00E227AB">
        <w:rPr>
          <w:b/>
          <w:spacing w:val="-2"/>
        </w:rPr>
        <w:tab/>
        <w:t xml:space="preserve">Released:  </w:t>
      </w:r>
      <w:r w:rsidRPr="00E227AB" w:rsidR="00417F3F">
        <w:rPr>
          <w:b/>
          <w:spacing w:val="-2"/>
        </w:rPr>
        <w:t>November</w:t>
      </w:r>
      <w:r w:rsidRPr="00E227AB">
        <w:rPr>
          <w:b/>
          <w:spacing w:val="-2"/>
        </w:rPr>
        <w:t xml:space="preserve"> </w:t>
      </w:r>
      <w:r w:rsidRPr="00E227AB" w:rsidR="0004755C">
        <w:rPr>
          <w:b/>
          <w:spacing w:val="-2"/>
        </w:rPr>
        <w:t>1</w:t>
      </w:r>
      <w:r w:rsidRPr="00E227AB">
        <w:rPr>
          <w:b/>
          <w:spacing w:val="-2"/>
        </w:rPr>
        <w:t>, 2019</w:t>
      </w:r>
    </w:p>
    <w:p w:rsidR="006A7F29" w:rsidRPr="006A7F29" w:rsidP="003763BD" w14:paraId="57EDC7FE" w14:textId="77777777">
      <w:pPr>
        <w:widowControl/>
      </w:pPr>
    </w:p>
    <w:p w:rsidR="006A7F29" w:rsidRPr="006A7F29" w:rsidP="003763BD" w14:paraId="581E47EB" w14:textId="77777777">
      <w:pPr>
        <w:widowControl/>
        <w:rPr>
          <w:spacing w:val="-2"/>
        </w:rPr>
      </w:pPr>
      <w:r w:rsidRPr="006A7F29">
        <w:t xml:space="preserve">By the </w:t>
      </w:r>
      <w:r w:rsidRPr="006A7F29">
        <w:rPr>
          <w:spacing w:val="-2"/>
          <w:szCs w:val="22"/>
        </w:rPr>
        <w:t>Deputy Chief, Public Safety and Homeland Security Bureau</w:t>
      </w:r>
      <w:r w:rsidRPr="006A7F29">
        <w:rPr>
          <w:spacing w:val="-2"/>
        </w:rPr>
        <w:t>:</w:t>
      </w:r>
    </w:p>
    <w:p w:rsidR="006A7F29" w:rsidP="003763BD" w14:paraId="1CB9EAC0" w14:textId="77777777">
      <w:pPr>
        <w:keepNext/>
        <w:widowControl/>
        <w:tabs>
          <w:tab w:val="left" w:pos="720"/>
        </w:tabs>
        <w:suppressAutoHyphens/>
        <w:spacing w:after="120"/>
        <w:outlineLvl w:val="0"/>
        <w:rPr>
          <w:spacing w:val="-2"/>
        </w:rPr>
      </w:pPr>
    </w:p>
    <w:p w:rsidR="006A7F29" w:rsidP="003763BD" w14:paraId="236F7C34" w14:textId="77777777">
      <w:pPr>
        <w:pStyle w:val="Heading1"/>
        <w:widowControl/>
        <w:rPr>
          <w:szCs w:val="22"/>
        </w:rPr>
      </w:pPr>
      <w:r w:rsidRPr="006A7F29">
        <w:rPr>
          <w:szCs w:val="22"/>
        </w:rPr>
        <w:t>introduction</w:t>
      </w:r>
    </w:p>
    <w:p w:rsidR="006A7F29" w:rsidRPr="00F92E2E" w:rsidP="00F92E2E" w14:paraId="222F7FFE" w14:textId="4B3A98B0">
      <w:pPr>
        <w:widowControl/>
        <w:numPr>
          <w:ilvl w:val="0"/>
          <w:numId w:val="2"/>
        </w:numPr>
        <w:tabs>
          <w:tab w:val="clear" w:pos="1080"/>
          <w:tab w:val="num" w:pos="1440"/>
        </w:tabs>
        <w:spacing w:after="120"/>
        <w:rPr>
          <w:b/>
          <w:caps/>
          <w:szCs w:val="22"/>
        </w:rPr>
      </w:pPr>
      <w:r w:rsidRPr="00CC4FC4">
        <w:rPr>
          <w:szCs w:val="22"/>
        </w:rPr>
        <w:t>In this Order, the Public Safety and Homeland Security Bureau (Bureau) of the Federal</w:t>
      </w:r>
      <w:r w:rsidRPr="006A7F29">
        <w:t xml:space="preserve"> </w:t>
      </w:r>
      <w:r w:rsidRPr="00CC4FC4">
        <w:rPr>
          <w:szCs w:val="22"/>
        </w:rPr>
        <w:t>Communications</w:t>
      </w:r>
      <w:r w:rsidRPr="006A7F29">
        <w:t xml:space="preserve"> Commission (Commission) </w:t>
      </w:r>
      <w:r w:rsidRPr="00CC4FC4">
        <w:rPr>
          <w:szCs w:val="22"/>
        </w:rPr>
        <w:t>grants</w:t>
      </w:r>
      <w:r w:rsidRPr="006A7F29">
        <w:t xml:space="preserve"> a limited waiver of the Commission’s Wireless </w:t>
      </w:r>
      <w:r w:rsidRPr="00CC4FC4">
        <w:rPr>
          <w:szCs w:val="22"/>
        </w:rPr>
        <w:t>Emergency</w:t>
      </w:r>
      <w:r w:rsidRPr="006A7F29">
        <w:t xml:space="preserve"> Alerts (WEA) rules to permit</w:t>
      </w:r>
      <w:r w:rsidR="00514925">
        <w:t xml:space="preserve"> </w:t>
      </w:r>
      <w:r w:rsidR="00183CAA">
        <w:t>T-Mobile</w:t>
      </w:r>
      <w:r w:rsidR="00896298">
        <w:t xml:space="preserve"> USA</w:t>
      </w:r>
      <w:r w:rsidR="00CC2881">
        <w:t>,</w:t>
      </w:r>
      <w:r w:rsidR="00183CAA">
        <w:t xml:space="preserve"> Inc. (T-Mobile), a</w:t>
      </w:r>
      <w:r w:rsidRPr="003763BD" w:rsidR="00183CAA">
        <w:t xml:space="preserve"> </w:t>
      </w:r>
      <w:r w:rsidRPr="006A7F29">
        <w:t>Participating Commercial Mobile Service (CMS) Provider</w:t>
      </w:r>
      <w:r w:rsidR="00183CAA">
        <w:t>,</w:t>
      </w:r>
      <w:r>
        <w:rPr>
          <w:vertAlign w:val="superscript"/>
        </w:rPr>
        <w:footnoteReference w:id="3"/>
      </w:r>
      <w:r w:rsidRPr="006A7F29">
        <w:t xml:space="preserve"> </w:t>
      </w:r>
      <w:bookmarkStart w:id="0" w:name="_Hlk23410443"/>
      <w:r w:rsidRPr="006A7F29">
        <w:t xml:space="preserve">to </w:t>
      </w:r>
      <w:r w:rsidR="00B60B43">
        <w:t>conduct</w:t>
      </w:r>
      <w:r w:rsidRPr="006A7F29">
        <w:t xml:space="preserve"> </w:t>
      </w:r>
      <w:r w:rsidR="00053B58">
        <w:t>two</w:t>
      </w:r>
      <w:r w:rsidR="00CC2881">
        <w:t xml:space="preserve"> test</w:t>
      </w:r>
      <w:r w:rsidR="00053B58">
        <w:t>s</w:t>
      </w:r>
      <w:r w:rsidR="00CC2881">
        <w:t xml:space="preserve"> </w:t>
      </w:r>
      <w:r w:rsidR="009E3090">
        <w:t xml:space="preserve">to </w:t>
      </w:r>
      <w:r w:rsidR="00896298">
        <w:t>assess</w:t>
      </w:r>
      <w:r w:rsidR="009E3090">
        <w:t xml:space="preserve"> </w:t>
      </w:r>
      <w:r w:rsidR="00682989">
        <w:t>its</w:t>
      </w:r>
      <w:r w:rsidR="009E3090">
        <w:t xml:space="preserve"> ability to perform </w:t>
      </w:r>
      <w:r w:rsidR="00183CAA">
        <w:t>enhanced</w:t>
      </w:r>
      <w:r w:rsidR="009E3090">
        <w:t xml:space="preserve"> </w:t>
      </w:r>
      <w:r w:rsidR="00655405">
        <w:t>geographic targeting (</w:t>
      </w:r>
      <w:r w:rsidR="00183CAA">
        <w:t>geotargeting</w:t>
      </w:r>
      <w:r w:rsidR="00655405">
        <w:t>) of WEA Alert Messages</w:t>
      </w:r>
      <w:bookmarkEnd w:id="0"/>
      <w:r w:rsidR="00CC2881">
        <w:t xml:space="preserve">.  </w:t>
      </w:r>
      <w:r w:rsidR="00053B58">
        <w:t xml:space="preserve">For both tests, </w:t>
      </w:r>
      <w:r w:rsidR="00CC2881">
        <w:t>T-Mobile will send a State/Local WEA Test</w:t>
      </w:r>
      <w:r w:rsidR="009E3090">
        <w:t xml:space="preserve"> </w:t>
      </w:r>
      <w:r w:rsidR="00CC2881">
        <w:t xml:space="preserve">from </w:t>
      </w:r>
      <w:r w:rsidR="009E3090">
        <w:t xml:space="preserve">its </w:t>
      </w:r>
      <w:r w:rsidR="00796E00">
        <w:t xml:space="preserve">CMS Provider </w:t>
      </w:r>
      <w:r w:rsidR="00CC2881">
        <w:t xml:space="preserve">Alert Gateways </w:t>
      </w:r>
      <w:r w:rsidR="00796E00">
        <w:t xml:space="preserve">(CMS gateways) </w:t>
      </w:r>
      <w:r w:rsidR="00053B58">
        <w:t>to the WEA-capable mobile devices of its subscribers that have affirmatively opted in to receive such test messages</w:t>
      </w:r>
      <w:r w:rsidR="00053B58">
        <w:rPr>
          <w:szCs w:val="22"/>
        </w:rPr>
        <w:t>.</w:t>
      </w:r>
      <w:r>
        <w:rPr>
          <w:rStyle w:val="FootnoteReference"/>
          <w:szCs w:val="22"/>
        </w:rPr>
        <w:footnoteReference w:id="4"/>
      </w:r>
      <w:r w:rsidR="00053B58">
        <w:rPr>
          <w:szCs w:val="22"/>
        </w:rPr>
        <w:t xml:space="preserve">  The first test will occur in Bel</w:t>
      </w:r>
      <w:r w:rsidR="00886B7F">
        <w:rPr>
          <w:szCs w:val="22"/>
        </w:rPr>
        <w:t>le</w:t>
      </w:r>
      <w:r w:rsidR="00053B58">
        <w:rPr>
          <w:szCs w:val="22"/>
        </w:rPr>
        <w:t>v</w:t>
      </w:r>
      <w:r w:rsidR="00886B7F">
        <w:rPr>
          <w:szCs w:val="22"/>
        </w:rPr>
        <w:t>ue</w:t>
      </w:r>
      <w:r w:rsidR="00053B58">
        <w:rPr>
          <w:szCs w:val="22"/>
        </w:rPr>
        <w:t xml:space="preserve">, Washington on the evening of </w:t>
      </w:r>
      <w:r w:rsidR="00A2616A">
        <w:rPr>
          <w:szCs w:val="22"/>
        </w:rPr>
        <w:t>November 4</w:t>
      </w:r>
      <w:r w:rsidR="00053B58">
        <w:rPr>
          <w:szCs w:val="22"/>
        </w:rPr>
        <w:t>, 2019</w:t>
      </w:r>
      <w:r w:rsidR="00896298">
        <w:rPr>
          <w:szCs w:val="22"/>
        </w:rPr>
        <w:t xml:space="preserve"> </w:t>
      </w:r>
      <w:r w:rsidR="00053B58">
        <w:rPr>
          <w:szCs w:val="22"/>
        </w:rPr>
        <w:t xml:space="preserve">with a backup date of November </w:t>
      </w:r>
      <w:r w:rsidR="00E2103C">
        <w:rPr>
          <w:szCs w:val="22"/>
        </w:rPr>
        <w:t>7</w:t>
      </w:r>
      <w:r w:rsidR="00053B58">
        <w:rPr>
          <w:szCs w:val="22"/>
        </w:rPr>
        <w:t>, 2019.</w:t>
      </w:r>
      <w:r>
        <w:rPr>
          <w:rStyle w:val="FootnoteReference"/>
          <w:szCs w:val="22"/>
        </w:rPr>
        <w:footnoteReference w:id="5"/>
      </w:r>
      <w:r w:rsidR="00053B58">
        <w:rPr>
          <w:szCs w:val="22"/>
        </w:rPr>
        <w:t xml:space="preserve">  The second test will occur in Concord, California on November </w:t>
      </w:r>
      <w:r w:rsidR="00E2103C">
        <w:rPr>
          <w:szCs w:val="22"/>
        </w:rPr>
        <w:t>14</w:t>
      </w:r>
      <w:r w:rsidR="00053B58">
        <w:rPr>
          <w:szCs w:val="22"/>
        </w:rPr>
        <w:t>, 2019</w:t>
      </w:r>
      <w:r w:rsidRPr="00896298" w:rsidR="00896298">
        <w:rPr>
          <w:szCs w:val="22"/>
        </w:rPr>
        <w:t xml:space="preserve"> </w:t>
      </w:r>
      <w:r w:rsidR="00053B58">
        <w:rPr>
          <w:szCs w:val="22"/>
        </w:rPr>
        <w:t xml:space="preserve">with a backup date of November </w:t>
      </w:r>
      <w:r w:rsidR="00E2103C">
        <w:rPr>
          <w:szCs w:val="22"/>
        </w:rPr>
        <w:t>15</w:t>
      </w:r>
      <w:r w:rsidR="00053B58">
        <w:rPr>
          <w:szCs w:val="22"/>
        </w:rPr>
        <w:t>, 2019</w:t>
      </w:r>
      <w:r w:rsidR="009C03D9">
        <w:rPr>
          <w:szCs w:val="22"/>
        </w:rPr>
        <w:t>.</w:t>
      </w:r>
      <w:r>
        <w:rPr>
          <w:vertAlign w:val="superscript"/>
        </w:rPr>
        <w:footnoteReference w:id="6"/>
      </w:r>
      <w:r w:rsidRPr="006A7F29">
        <w:t xml:space="preserve">  For the reasons discussed below we grant</w:t>
      </w:r>
      <w:r w:rsidR="0014518A">
        <w:t xml:space="preserve"> T-Mobile</w:t>
      </w:r>
      <w:r w:rsidR="00F92E2E">
        <w:t>’s</w:t>
      </w:r>
      <w:r w:rsidR="0014518A">
        <w:t xml:space="preserve"> </w:t>
      </w:r>
      <w:r w:rsidRPr="006A7F29">
        <w:t>request</w:t>
      </w:r>
      <w:r w:rsidR="00A6225F">
        <w:t>,</w:t>
      </w:r>
      <w:r w:rsidRPr="006A7F29">
        <w:t xml:space="preserve"> subject to certain conditions.</w:t>
      </w:r>
    </w:p>
    <w:p w:rsidR="006A7F29" w:rsidRPr="006A7F29" w:rsidP="003763BD" w14:paraId="134E065F" w14:textId="77777777">
      <w:pPr>
        <w:keepNext/>
        <w:widowControl/>
        <w:numPr>
          <w:ilvl w:val="0"/>
          <w:numId w:val="3"/>
        </w:numPr>
        <w:tabs>
          <w:tab w:val="left" w:pos="720"/>
        </w:tabs>
        <w:suppressAutoHyphens/>
        <w:spacing w:after="120"/>
        <w:outlineLvl w:val="0"/>
        <w:rPr>
          <w:b/>
          <w:caps/>
          <w:szCs w:val="22"/>
        </w:rPr>
      </w:pPr>
      <w:r w:rsidRPr="006A7F29">
        <w:rPr>
          <w:b/>
          <w:caps/>
          <w:szCs w:val="22"/>
        </w:rPr>
        <w:t>background</w:t>
      </w:r>
    </w:p>
    <w:p w:rsidR="00780DE9" w:rsidP="00780DE9" w14:paraId="7DA98B23" w14:textId="0668B10D">
      <w:pPr>
        <w:pStyle w:val="ParaNum"/>
      </w:pPr>
      <w:r w:rsidRPr="00780DE9">
        <w:t>The WEA system allows authorized government entities to send geographically targeted emergency alerts to commercial wireless subscribers who have WEA-capable mobile devices, and whose commercial wireless service providers are Participating CMS Providers.</w:t>
      </w:r>
      <w:r>
        <w:rPr>
          <w:vertAlign w:val="superscript"/>
        </w:rPr>
        <w:footnoteReference w:id="7"/>
      </w:r>
      <w:r w:rsidRPr="00780DE9">
        <w:t xml:space="preserve"> </w:t>
      </w:r>
      <w:r w:rsidRPr="00780DE9" w:rsidR="00F92E2E">
        <w:t xml:space="preserve"> </w:t>
      </w:r>
      <w:r w:rsidR="00DA4886">
        <w:t>WEA messages are initiated by authorized federal, state, local and Tribal officials, who transmit messages to</w:t>
      </w:r>
      <w:r>
        <w:t xml:space="preserve"> the</w:t>
      </w:r>
      <w:r w:rsidRPr="00780DE9">
        <w:rPr>
          <w:szCs w:val="22"/>
        </w:rPr>
        <w:t xml:space="preserve"> </w:t>
      </w:r>
      <w:r w:rsidRPr="006A7F29">
        <w:rPr>
          <w:szCs w:val="22"/>
        </w:rPr>
        <w:t>Integrated Public Alert and Warning System (IPAWS)</w:t>
      </w:r>
      <w:r>
        <w:rPr>
          <w:szCs w:val="22"/>
        </w:rPr>
        <w:t>, an alert aggregato</w:t>
      </w:r>
      <w:r w:rsidR="001005F7">
        <w:rPr>
          <w:szCs w:val="22"/>
        </w:rPr>
        <w:t>r administered by t</w:t>
      </w:r>
      <w:r w:rsidRPr="006A7F29" w:rsidR="001005F7">
        <w:rPr>
          <w:szCs w:val="22"/>
        </w:rPr>
        <w:t xml:space="preserve">he Department of Homeland </w:t>
      </w:r>
      <w:r w:rsidRPr="006A7F29" w:rsidR="001005F7">
        <w:rPr>
          <w:szCs w:val="22"/>
        </w:rPr>
        <w:t>Security’s Federal Emergency Management Agency (FEMA</w:t>
      </w:r>
      <w:r w:rsidR="0039606B">
        <w:rPr>
          <w:szCs w:val="22"/>
        </w:rPr>
        <w:t>)</w:t>
      </w:r>
      <w:r w:rsidR="001005F7">
        <w:rPr>
          <w:szCs w:val="22"/>
        </w:rPr>
        <w:t>.</w:t>
      </w:r>
      <w:r>
        <w:rPr>
          <w:rStyle w:val="FootnoteReference"/>
          <w:szCs w:val="22"/>
        </w:rPr>
        <w:footnoteReference w:id="8"/>
      </w:r>
      <w:r w:rsidR="001005F7">
        <w:rPr>
          <w:szCs w:val="22"/>
        </w:rPr>
        <w:t xml:space="preserve"> </w:t>
      </w:r>
      <w:r w:rsidRPr="006A7F29">
        <w:rPr>
          <w:szCs w:val="22"/>
        </w:rPr>
        <w:t xml:space="preserve"> </w:t>
      </w:r>
      <w:r w:rsidR="00BB700F">
        <w:rPr>
          <w:szCs w:val="22"/>
        </w:rPr>
        <w:t>FEMA</w:t>
      </w:r>
      <w:r w:rsidR="00DA4886">
        <w:rPr>
          <w:szCs w:val="22"/>
        </w:rPr>
        <w:t xml:space="preserve"> IPAWS</w:t>
      </w:r>
      <w:r w:rsidR="00BB700F">
        <w:rPr>
          <w:szCs w:val="22"/>
        </w:rPr>
        <w:t xml:space="preserve">, in turn, </w:t>
      </w:r>
      <w:r w:rsidR="00DA4886">
        <w:rPr>
          <w:szCs w:val="22"/>
        </w:rPr>
        <w:t xml:space="preserve">then </w:t>
      </w:r>
      <w:r w:rsidR="00BB700F">
        <w:rPr>
          <w:szCs w:val="22"/>
        </w:rPr>
        <w:t xml:space="preserve">transmits the WEA message to the CMS gateway, a secure interface that </w:t>
      </w:r>
      <w:r w:rsidR="001005F7">
        <w:rPr>
          <w:szCs w:val="22"/>
        </w:rPr>
        <w:t>receive</w:t>
      </w:r>
      <w:r w:rsidR="00BB700F">
        <w:rPr>
          <w:szCs w:val="22"/>
        </w:rPr>
        <w:t>s</w:t>
      </w:r>
      <w:r w:rsidR="001005F7">
        <w:rPr>
          <w:szCs w:val="22"/>
        </w:rPr>
        <w:t>, authenticate</w:t>
      </w:r>
      <w:r w:rsidR="00BB700F">
        <w:rPr>
          <w:szCs w:val="22"/>
        </w:rPr>
        <w:t>s</w:t>
      </w:r>
      <w:r w:rsidR="001005F7">
        <w:rPr>
          <w:szCs w:val="22"/>
        </w:rPr>
        <w:t xml:space="preserve"> and validate</w:t>
      </w:r>
      <w:r w:rsidR="00BB700F">
        <w:rPr>
          <w:szCs w:val="22"/>
        </w:rPr>
        <w:t>s</w:t>
      </w:r>
      <w:r w:rsidR="001005F7">
        <w:rPr>
          <w:szCs w:val="22"/>
        </w:rPr>
        <w:t xml:space="preserve"> WEA </w:t>
      </w:r>
      <w:r w:rsidR="00BB700F">
        <w:rPr>
          <w:szCs w:val="22"/>
        </w:rPr>
        <w:t>messages</w:t>
      </w:r>
      <w:r w:rsidR="001005F7">
        <w:rPr>
          <w:szCs w:val="22"/>
        </w:rPr>
        <w:t>.</w:t>
      </w:r>
      <w:r>
        <w:rPr>
          <w:rStyle w:val="FootnoteReference"/>
          <w:szCs w:val="22"/>
        </w:rPr>
        <w:footnoteReference w:id="9"/>
      </w:r>
      <w:r w:rsidRPr="006A7F29">
        <w:rPr>
          <w:szCs w:val="22"/>
        </w:rPr>
        <w:t xml:space="preserve"> </w:t>
      </w:r>
      <w:r w:rsidR="001005F7">
        <w:rPr>
          <w:szCs w:val="22"/>
        </w:rPr>
        <w:t xml:space="preserve"> Once CMS Providers receive the WEA alert</w:t>
      </w:r>
      <w:r w:rsidR="00BB700F">
        <w:rPr>
          <w:szCs w:val="22"/>
        </w:rPr>
        <w:t xml:space="preserve"> from the CMS gateway</w:t>
      </w:r>
      <w:r w:rsidR="001005F7">
        <w:rPr>
          <w:szCs w:val="22"/>
        </w:rPr>
        <w:t>, they use their network infrastructure to deliver it to their subscribers’ WEA-capable mobile devices within a geographically targeted area.</w:t>
      </w:r>
      <w:r>
        <w:rPr>
          <w:rStyle w:val="FootnoteReference"/>
          <w:szCs w:val="22"/>
        </w:rPr>
        <w:footnoteReference w:id="10"/>
      </w:r>
      <w:r w:rsidRPr="00780DE9">
        <w:t xml:space="preserve">  </w:t>
      </w:r>
    </w:p>
    <w:p w:rsidR="00780DE9" w:rsidP="003763BD" w14:paraId="6954F38E" w14:textId="2121EA15">
      <w:pPr>
        <w:widowControl/>
        <w:numPr>
          <w:ilvl w:val="0"/>
          <w:numId w:val="2"/>
        </w:numPr>
        <w:tabs>
          <w:tab w:val="clear" w:pos="1080"/>
          <w:tab w:val="num" w:pos="1440"/>
        </w:tabs>
        <w:spacing w:after="120"/>
        <w:rPr>
          <w:szCs w:val="22"/>
        </w:rPr>
      </w:pPr>
      <w:r w:rsidRPr="00641BA8">
        <w:rPr>
          <w:szCs w:val="22"/>
        </w:rPr>
        <w:t>The Commission’s rules prohibit use of the WEA Attention Signal except during actual emergencies, authorized tests, and certain public service announcements.</w:t>
      </w:r>
      <w:r>
        <w:rPr>
          <w:rStyle w:val="FootnoteReference"/>
          <w:sz w:val="22"/>
          <w:szCs w:val="22"/>
        </w:rPr>
        <w:footnoteReference w:id="11"/>
      </w:r>
      <w:r w:rsidRPr="00641BA8">
        <w:rPr>
          <w:szCs w:val="22"/>
        </w:rPr>
        <w:t xml:space="preserve">  Additionally, the Commission’s rules allow testing of WEA functionality in limited circumstances.</w:t>
      </w:r>
      <w:r>
        <w:rPr>
          <w:rStyle w:val="FootnoteReference"/>
          <w:sz w:val="22"/>
          <w:szCs w:val="22"/>
        </w:rPr>
        <w:footnoteReference w:id="12"/>
      </w:r>
      <w:r w:rsidRPr="00641BA8">
        <w:rPr>
          <w:szCs w:val="22"/>
        </w:rPr>
        <w:t xml:space="preserve">  </w:t>
      </w:r>
      <w:r w:rsidRPr="006A7F29" w:rsidR="004B391A">
        <w:rPr>
          <w:szCs w:val="22"/>
        </w:rPr>
        <w:t xml:space="preserve">On </w:t>
      </w:r>
      <w:r w:rsidR="004B47A6">
        <w:rPr>
          <w:szCs w:val="22"/>
        </w:rPr>
        <w:t xml:space="preserve">September </w:t>
      </w:r>
      <w:r w:rsidR="00F91277">
        <w:rPr>
          <w:szCs w:val="22"/>
        </w:rPr>
        <w:t>29</w:t>
      </w:r>
      <w:r w:rsidRPr="006A7F29" w:rsidR="004B391A">
        <w:rPr>
          <w:szCs w:val="22"/>
        </w:rPr>
        <w:t>, 2016</w:t>
      </w:r>
      <w:r>
        <w:rPr>
          <w:szCs w:val="22"/>
        </w:rPr>
        <w:t>,</w:t>
      </w:r>
      <w:r w:rsidRPr="006A7F29" w:rsidR="004B391A">
        <w:rPr>
          <w:szCs w:val="22"/>
        </w:rPr>
        <w:t xml:space="preserve"> </w:t>
      </w:r>
      <w:r>
        <w:rPr>
          <w:szCs w:val="22"/>
        </w:rPr>
        <w:t xml:space="preserve">the </w:t>
      </w:r>
      <w:r w:rsidRPr="006A7F29" w:rsidR="004B391A">
        <w:rPr>
          <w:szCs w:val="22"/>
        </w:rPr>
        <w:t xml:space="preserve">Commission adopted a </w:t>
      </w:r>
      <w:r w:rsidRPr="008F61D1" w:rsidR="004B391A">
        <w:rPr>
          <w:i/>
          <w:szCs w:val="22"/>
        </w:rPr>
        <w:t>Report and Order</w:t>
      </w:r>
      <w:r w:rsidRPr="006A7F29" w:rsidR="004B391A">
        <w:rPr>
          <w:szCs w:val="22"/>
        </w:rPr>
        <w:t xml:space="preserve"> </w:t>
      </w:r>
      <w:r>
        <w:rPr>
          <w:szCs w:val="22"/>
        </w:rPr>
        <w:t>permitt</w:t>
      </w:r>
      <w:r w:rsidR="007B2423">
        <w:rPr>
          <w:szCs w:val="22"/>
        </w:rPr>
        <w:t>ing</w:t>
      </w:r>
      <w:r w:rsidRPr="006A7F29" w:rsidR="004B391A">
        <w:rPr>
          <w:szCs w:val="22"/>
        </w:rPr>
        <w:t xml:space="preserve"> </w:t>
      </w:r>
      <w:r w:rsidR="007B2423">
        <w:rPr>
          <w:szCs w:val="22"/>
        </w:rPr>
        <w:t>authorized alert originators</w:t>
      </w:r>
      <w:r w:rsidRPr="006A7F29" w:rsidR="004B391A">
        <w:rPr>
          <w:szCs w:val="22"/>
        </w:rPr>
        <w:t xml:space="preserve"> </w:t>
      </w:r>
      <w:r w:rsidRPr="00641BA8">
        <w:rPr>
          <w:szCs w:val="22"/>
        </w:rPr>
        <w:t>to conduct end-to-end WEA tests to the public to assess how WEA is working within their jurisdictions</w:t>
      </w:r>
      <w:r w:rsidR="00A2616A">
        <w:rPr>
          <w:szCs w:val="22"/>
        </w:rPr>
        <w:t xml:space="preserve"> through the use of a new “State/Local WEA Test” WEA category</w:t>
      </w:r>
      <w:r w:rsidRPr="006A7F29" w:rsidR="004B391A">
        <w:rPr>
          <w:szCs w:val="22"/>
        </w:rPr>
        <w:t>.</w:t>
      </w:r>
      <w:r>
        <w:rPr>
          <w:szCs w:val="22"/>
          <w:vertAlign w:val="superscript"/>
        </w:rPr>
        <w:footnoteReference w:id="13"/>
      </w:r>
      <w:r w:rsidRPr="006A7F29" w:rsidR="004B391A">
        <w:rPr>
          <w:szCs w:val="22"/>
        </w:rPr>
        <w:t xml:space="preserve">  </w:t>
      </w:r>
      <w:r>
        <w:rPr>
          <w:szCs w:val="22"/>
        </w:rPr>
        <w:t>Only those subscribers who affirmatively opt in to receive such tests would receive the WEA test message.</w:t>
      </w:r>
      <w:r>
        <w:rPr>
          <w:rStyle w:val="FootnoteReference"/>
          <w:szCs w:val="22"/>
        </w:rPr>
        <w:footnoteReference w:id="14"/>
      </w:r>
      <w:r>
        <w:rPr>
          <w:szCs w:val="22"/>
        </w:rPr>
        <w:t xml:space="preserve">  </w:t>
      </w:r>
      <w:r w:rsidRPr="006A7F29" w:rsidR="004B391A">
        <w:rPr>
          <w:szCs w:val="22"/>
        </w:rPr>
        <w:t xml:space="preserve">The rules allowing </w:t>
      </w:r>
      <w:r>
        <w:rPr>
          <w:szCs w:val="22"/>
        </w:rPr>
        <w:t>these</w:t>
      </w:r>
      <w:r w:rsidRPr="006A7F29" w:rsidR="004B391A">
        <w:rPr>
          <w:szCs w:val="22"/>
        </w:rPr>
        <w:t xml:space="preserve"> State/Local WEA Tests</w:t>
      </w:r>
      <w:r w:rsidR="00A2616A">
        <w:rPr>
          <w:szCs w:val="22"/>
        </w:rPr>
        <w:t xml:space="preserve"> </w:t>
      </w:r>
      <w:r w:rsidRPr="006A7F29" w:rsidR="004B391A">
        <w:rPr>
          <w:szCs w:val="22"/>
        </w:rPr>
        <w:t>became effective on May 1, 2019</w:t>
      </w:r>
      <w:r>
        <w:rPr>
          <w:szCs w:val="22"/>
        </w:rPr>
        <w:t>.</w:t>
      </w:r>
      <w:r>
        <w:rPr>
          <w:szCs w:val="22"/>
          <w:vertAlign w:val="superscript"/>
        </w:rPr>
        <w:footnoteReference w:id="15"/>
      </w:r>
      <w:r>
        <w:rPr>
          <w:szCs w:val="22"/>
          <w:vertAlign w:val="superscript"/>
        </w:rPr>
        <w:t xml:space="preserve"> </w:t>
      </w:r>
      <w:r w:rsidRPr="006A7F29" w:rsidR="004B391A">
        <w:rPr>
          <w:szCs w:val="22"/>
        </w:rPr>
        <w:t xml:space="preserve"> </w:t>
      </w:r>
      <w:r w:rsidR="007B2423">
        <w:rPr>
          <w:szCs w:val="22"/>
        </w:rPr>
        <w:t xml:space="preserve"> FEMA </w:t>
      </w:r>
      <w:r w:rsidRPr="006A7F29" w:rsidR="004B391A">
        <w:rPr>
          <w:szCs w:val="22"/>
        </w:rPr>
        <w:t>has informed the Bureau</w:t>
      </w:r>
      <w:r w:rsidR="007B2423">
        <w:rPr>
          <w:szCs w:val="22"/>
        </w:rPr>
        <w:t xml:space="preserve">, however, </w:t>
      </w:r>
      <w:r w:rsidRPr="006A7F29" w:rsidR="004B391A">
        <w:rPr>
          <w:szCs w:val="22"/>
        </w:rPr>
        <w:t xml:space="preserve">that IPAWS </w:t>
      </w:r>
      <w:r w:rsidR="00683C92">
        <w:rPr>
          <w:szCs w:val="22"/>
        </w:rPr>
        <w:t>is not</w:t>
      </w:r>
      <w:r w:rsidRPr="006A7F29" w:rsidR="004B391A">
        <w:rPr>
          <w:szCs w:val="22"/>
        </w:rPr>
        <w:t xml:space="preserve"> </w:t>
      </w:r>
      <w:r w:rsidR="001F73EA">
        <w:rPr>
          <w:szCs w:val="22"/>
        </w:rPr>
        <w:t xml:space="preserve">yet </w:t>
      </w:r>
      <w:r w:rsidRPr="006A7F29" w:rsidR="004B391A">
        <w:rPr>
          <w:szCs w:val="22"/>
        </w:rPr>
        <w:t>ready to</w:t>
      </w:r>
      <w:r w:rsidR="00796E00">
        <w:rPr>
          <w:szCs w:val="22"/>
        </w:rPr>
        <w:t xml:space="preserve"> support </w:t>
      </w:r>
      <w:r w:rsidR="00683C92">
        <w:rPr>
          <w:szCs w:val="22"/>
        </w:rPr>
        <w:t xml:space="preserve">certain WEA enhancements, including </w:t>
      </w:r>
      <w:r w:rsidR="007B2423">
        <w:rPr>
          <w:szCs w:val="22"/>
        </w:rPr>
        <w:t>State/Local WEA Tests</w:t>
      </w:r>
      <w:r w:rsidR="00683C92">
        <w:rPr>
          <w:szCs w:val="22"/>
        </w:rPr>
        <w:t xml:space="preserve">, </w:t>
      </w:r>
      <w:r w:rsidRPr="006A7F29" w:rsidR="004B391A">
        <w:rPr>
          <w:szCs w:val="22"/>
        </w:rPr>
        <w:t>pending further necessary technical changes to IPAWS.</w:t>
      </w:r>
      <w:r>
        <w:rPr>
          <w:szCs w:val="22"/>
          <w:vertAlign w:val="superscript"/>
        </w:rPr>
        <w:footnoteReference w:id="16"/>
      </w:r>
      <w:r w:rsidRPr="006A7F29" w:rsidR="004B391A">
        <w:rPr>
          <w:szCs w:val="22"/>
        </w:rPr>
        <w:t xml:space="preserve">  Accordingly, </w:t>
      </w:r>
      <w:r w:rsidR="00183CAA">
        <w:rPr>
          <w:szCs w:val="22"/>
        </w:rPr>
        <w:t>entities</w:t>
      </w:r>
      <w:r w:rsidRPr="006A7F29" w:rsidR="004B391A">
        <w:rPr>
          <w:szCs w:val="22"/>
        </w:rPr>
        <w:t xml:space="preserve"> wishing to conduct end-to-end WEA tests prior to IPAWS’s readiness to support State/Local WEA Tests </w:t>
      </w:r>
      <w:r w:rsidR="001E041A">
        <w:rPr>
          <w:szCs w:val="22"/>
        </w:rPr>
        <w:t xml:space="preserve">have </w:t>
      </w:r>
      <w:r w:rsidRPr="006A7F29" w:rsidR="004B391A">
        <w:rPr>
          <w:szCs w:val="22"/>
        </w:rPr>
        <w:t>request</w:t>
      </w:r>
      <w:r w:rsidR="001E041A">
        <w:rPr>
          <w:szCs w:val="22"/>
        </w:rPr>
        <w:t>ed</w:t>
      </w:r>
      <w:r w:rsidR="00A2616A">
        <w:rPr>
          <w:szCs w:val="22"/>
        </w:rPr>
        <w:t xml:space="preserve"> a waiver to </w:t>
      </w:r>
      <w:r w:rsidRPr="006A7F29" w:rsidR="004B391A">
        <w:rPr>
          <w:szCs w:val="22"/>
        </w:rPr>
        <w:t xml:space="preserve">use existing WEA message classifications </w:t>
      </w:r>
      <w:r w:rsidR="007B2423">
        <w:rPr>
          <w:szCs w:val="22"/>
        </w:rPr>
        <w:t xml:space="preserve">instead of State/Local WEA Tests to </w:t>
      </w:r>
      <w:r w:rsidRPr="006A7F29" w:rsidR="004B391A">
        <w:rPr>
          <w:szCs w:val="22"/>
        </w:rPr>
        <w:t xml:space="preserve">permit </w:t>
      </w:r>
      <w:r w:rsidR="007B2423">
        <w:rPr>
          <w:szCs w:val="22"/>
        </w:rPr>
        <w:t>end-to-end testing</w:t>
      </w:r>
      <w:r w:rsidRPr="006A7F29" w:rsidR="004B391A">
        <w:rPr>
          <w:szCs w:val="22"/>
        </w:rPr>
        <w:t>.</w:t>
      </w:r>
      <w:r>
        <w:rPr>
          <w:rStyle w:val="FootnoteReference"/>
          <w:szCs w:val="22"/>
        </w:rPr>
        <w:footnoteReference w:id="17"/>
      </w:r>
      <w:r>
        <w:rPr>
          <w:szCs w:val="22"/>
        </w:rPr>
        <w:t xml:space="preserve">  </w:t>
      </w:r>
    </w:p>
    <w:p w:rsidR="0017495D" w:rsidRPr="008B1C74" w:rsidP="003763BD" w14:paraId="73187679" w14:textId="1D6122D8">
      <w:pPr>
        <w:widowControl/>
        <w:numPr>
          <w:ilvl w:val="0"/>
          <w:numId w:val="2"/>
        </w:numPr>
        <w:tabs>
          <w:tab w:val="clear" w:pos="1080"/>
          <w:tab w:val="num" w:pos="1440"/>
        </w:tabs>
        <w:spacing w:after="120"/>
        <w:rPr>
          <w:szCs w:val="22"/>
        </w:rPr>
      </w:pPr>
      <w:r w:rsidRPr="008B1C74">
        <w:rPr>
          <w:szCs w:val="22"/>
        </w:rPr>
        <w:t>O</w:t>
      </w:r>
      <w:r w:rsidRPr="008B1C74" w:rsidR="00D71B4D">
        <w:rPr>
          <w:szCs w:val="22"/>
        </w:rPr>
        <w:t xml:space="preserve">n </w:t>
      </w:r>
      <w:r w:rsidRPr="008B1C74" w:rsidR="00D72EBB">
        <w:rPr>
          <w:szCs w:val="22"/>
        </w:rPr>
        <w:t>January 30, 2018</w:t>
      </w:r>
      <w:r w:rsidRPr="008B1C74">
        <w:rPr>
          <w:szCs w:val="22"/>
        </w:rPr>
        <w:t>,</w:t>
      </w:r>
      <w:r w:rsidRPr="008B1C74" w:rsidR="00E90E6D">
        <w:rPr>
          <w:szCs w:val="22"/>
        </w:rPr>
        <w:t xml:space="preserve"> </w:t>
      </w:r>
      <w:r w:rsidRPr="008B1C74">
        <w:rPr>
          <w:szCs w:val="22"/>
        </w:rPr>
        <w:t xml:space="preserve">the Commission </w:t>
      </w:r>
      <w:r w:rsidR="0004012B">
        <w:rPr>
          <w:szCs w:val="22"/>
        </w:rPr>
        <w:t xml:space="preserve">adopted measures to </w:t>
      </w:r>
      <w:r w:rsidRPr="008B1C74" w:rsidR="007B2423">
        <w:rPr>
          <w:szCs w:val="22"/>
        </w:rPr>
        <w:t>enhance the accuracy of WEA geotargeting</w:t>
      </w:r>
      <w:r w:rsidRPr="008B1C74" w:rsidR="00376E4B">
        <w:rPr>
          <w:szCs w:val="22"/>
        </w:rPr>
        <w:t>.</w:t>
      </w:r>
      <w:r>
        <w:rPr>
          <w:rStyle w:val="FootnoteReference"/>
          <w:szCs w:val="22"/>
        </w:rPr>
        <w:footnoteReference w:id="18"/>
      </w:r>
      <w:r w:rsidRPr="008B1C74" w:rsidR="00376E4B">
        <w:rPr>
          <w:szCs w:val="22"/>
        </w:rPr>
        <w:t xml:space="preserve">  </w:t>
      </w:r>
      <w:r w:rsidRPr="008B1C74" w:rsidR="007B2423">
        <w:rPr>
          <w:szCs w:val="22"/>
        </w:rPr>
        <w:t xml:space="preserve">Pursuant to this rule, </w:t>
      </w:r>
      <w:r w:rsidR="009A5DC1">
        <w:t xml:space="preserve">Participating </w:t>
      </w:r>
      <w:r w:rsidR="003023E6">
        <w:t xml:space="preserve">CMS Providers </w:t>
      </w:r>
      <w:r w:rsidR="007B2423">
        <w:t>are required to</w:t>
      </w:r>
      <w:r w:rsidR="00B07537">
        <w:t xml:space="preserve"> </w:t>
      </w:r>
      <w:r w:rsidR="000F373F">
        <w:t xml:space="preserve">deliver WEA Alert Messages to a geographic area that </w:t>
      </w:r>
      <w:r w:rsidR="000F6D1C">
        <w:t>“match</w:t>
      </w:r>
      <w:r w:rsidR="000F373F">
        <w:t>es</w:t>
      </w:r>
      <w:r w:rsidR="000F6D1C">
        <w:t>”</w:t>
      </w:r>
      <w:r w:rsidR="00642FFB">
        <w:t xml:space="preserve"> the </w:t>
      </w:r>
      <w:r w:rsidR="000F373F">
        <w:t>target area specified by the alert originator</w:t>
      </w:r>
      <w:r w:rsidR="002510C8">
        <w:t>.</w:t>
      </w:r>
      <w:r>
        <w:rPr>
          <w:rStyle w:val="FootnoteReference"/>
        </w:rPr>
        <w:footnoteReference w:id="19"/>
      </w:r>
      <w:r w:rsidR="002510C8">
        <w:t xml:space="preserve">  </w:t>
      </w:r>
      <w:r w:rsidR="00417F76">
        <w:t>“Mat</w:t>
      </w:r>
      <w:r w:rsidR="00AE6B51">
        <w:t xml:space="preserve">ching” is achieved when </w:t>
      </w:r>
      <w:r w:rsidR="0017740D">
        <w:t>“</w:t>
      </w:r>
      <w:r w:rsidRPr="00240357" w:rsidR="00240357">
        <w:t>100 percent of devices within the specified area receive the Alert Message with not more than 0.1 of a mile overshoot.</w:t>
      </w:r>
      <w:r w:rsidR="00104213">
        <w:t>”</w:t>
      </w:r>
      <w:r>
        <w:rPr>
          <w:vertAlign w:val="superscript"/>
        </w:rPr>
        <w:footnoteReference w:id="20"/>
      </w:r>
      <w:r w:rsidR="000C2F8F">
        <w:t xml:space="preserve">  </w:t>
      </w:r>
      <w:r w:rsidRPr="008B1C74" w:rsidR="00683C92">
        <w:rPr>
          <w:szCs w:val="22"/>
        </w:rPr>
        <w:t>Th</w:t>
      </w:r>
      <w:r w:rsidR="00683C92">
        <w:rPr>
          <w:szCs w:val="22"/>
        </w:rPr>
        <w:t xml:space="preserve">e enhanced geotargeting </w:t>
      </w:r>
      <w:r w:rsidRPr="008B1C74" w:rsidR="00683C92">
        <w:rPr>
          <w:szCs w:val="22"/>
        </w:rPr>
        <w:t>rule will become effective on November 30, 2019.</w:t>
      </w:r>
      <w:r>
        <w:rPr>
          <w:rStyle w:val="FootnoteReference"/>
          <w:szCs w:val="22"/>
        </w:rPr>
        <w:footnoteReference w:id="21"/>
      </w:r>
      <w:r w:rsidRPr="008B1C74" w:rsidR="00683C92">
        <w:rPr>
          <w:szCs w:val="22"/>
        </w:rPr>
        <w:t xml:space="preserve">  </w:t>
      </w:r>
      <w:r w:rsidR="000F373F">
        <w:t xml:space="preserve">The Alliance for Telecommunications Industry Solutions (ATIS) has standardized industry’s approach to meeting the </w:t>
      </w:r>
      <w:r w:rsidR="00655405">
        <w:t>enhanced geotargeting requirement</w:t>
      </w:r>
      <w:r w:rsidR="000F373F">
        <w:t xml:space="preserve"> through a technique called “device-based geofencing.”</w:t>
      </w:r>
      <w:r>
        <w:rPr>
          <w:rStyle w:val="FootnoteReference"/>
        </w:rPr>
        <w:footnoteReference w:id="22"/>
      </w:r>
      <w:r w:rsidR="000F373F">
        <w:t xml:space="preserve">  With device-based geo-fencing, </w:t>
      </w:r>
      <w:r w:rsidR="00604CA6">
        <w:t>and subject</w:t>
      </w:r>
      <w:r w:rsidR="000F373F">
        <w:t xml:space="preserve"> to technical limitations, WEA-capable mobile devices that receive the WEA Alert Message will display it only if they are located within the target area.</w:t>
      </w:r>
      <w:r>
        <w:rPr>
          <w:rStyle w:val="FootnoteReference"/>
        </w:rPr>
        <w:footnoteReference w:id="23"/>
      </w:r>
      <w:r w:rsidR="000F373F">
        <w:t xml:space="preserve">  Otherwise, they will suppress it. </w:t>
      </w:r>
      <w:r w:rsidR="00604CA6">
        <w:t xml:space="preserve"> </w:t>
      </w:r>
    </w:p>
    <w:p w:rsidR="000A64ED" w:rsidRPr="00E43B5C" w:rsidP="00E43B5C" w14:paraId="544A465F" w14:textId="32828366">
      <w:pPr>
        <w:widowControl/>
        <w:numPr>
          <w:ilvl w:val="0"/>
          <w:numId w:val="2"/>
        </w:numPr>
        <w:tabs>
          <w:tab w:val="clear" w:pos="1080"/>
          <w:tab w:val="num" w:pos="1440"/>
        </w:tabs>
        <w:spacing w:after="120"/>
        <w:rPr>
          <w:color w:val="000000"/>
          <w:szCs w:val="22"/>
        </w:rPr>
      </w:pPr>
      <w:r>
        <w:rPr>
          <w:szCs w:val="22"/>
        </w:rPr>
        <w:t xml:space="preserve">In light of </w:t>
      </w:r>
      <w:r w:rsidR="00A42E92">
        <w:rPr>
          <w:szCs w:val="22"/>
        </w:rPr>
        <w:t>the foregoing circumstances</w:t>
      </w:r>
      <w:r>
        <w:rPr>
          <w:szCs w:val="22"/>
        </w:rPr>
        <w:t xml:space="preserve">, T-Mobile </w:t>
      </w:r>
      <w:r w:rsidR="00C500F7">
        <w:rPr>
          <w:szCs w:val="22"/>
        </w:rPr>
        <w:t xml:space="preserve">seeks a waiver of </w:t>
      </w:r>
      <w:r w:rsidR="00814D4D">
        <w:rPr>
          <w:color w:val="000000"/>
          <w:szCs w:val="22"/>
        </w:rPr>
        <w:t xml:space="preserve">Sections 10.320, 10.350, and 10.520(d) of the Commission’s rules to </w:t>
      </w:r>
      <w:r>
        <w:rPr>
          <w:szCs w:val="22"/>
        </w:rPr>
        <w:t xml:space="preserve">evaluate and </w:t>
      </w:r>
      <w:r w:rsidR="00682989">
        <w:rPr>
          <w:szCs w:val="22"/>
        </w:rPr>
        <w:t xml:space="preserve">confirm its </w:t>
      </w:r>
      <w:r>
        <w:rPr>
          <w:szCs w:val="22"/>
        </w:rPr>
        <w:t xml:space="preserve">ability to comply with the </w:t>
      </w:r>
      <w:r w:rsidR="001F73EA">
        <w:rPr>
          <w:szCs w:val="22"/>
        </w:rPr>
        <w:t>Commission’s rules</w:t>
      </w:r>
      <w:r>
        <w:rPr>
          <w:szCs w:val="22"/>
        </w:rPr>
        <w:t xml:space="preserve"> </w:t>
      </w:r>
      <w:r w:rsidR="00C500F7">
        <w:rPr>
          <w:szCs w:val="22"/>
        </w:rPr>
        <w:t>by</w:t>
      </w:r>
      <w:r>
        <w:rPr>
          <w:szCs w:val="22"/>
        </w:rPr>
        <w:t xml:space="preserve"> </w:t>
      </w:r>
      <w:r w:rsidR="00886B7F">
        <w:rPr>
          <w:szCs w:val="22"/>
        </w:rPr>
        <w:t>initiat</w:t>
      </w:r>
      <w:r w:rsidR="00C500F7">
        <w:rPr>
          <w:szCs w:val="22"/>
        </w:rPr>
        <w:t>ing</w:t>
      </w:r>
      <w:r w:rsidR="00886B7F">
        <w:rPr>
          <w:szCs w:val="22"/>
        </w:rPr>
        <w:t xml:space="preserve"> a State/Local WEA Test at </w:t>
      </w:r>
      <w:r w:rsidR="00C500F7">
        <w:rPr>
          <w:szCs w:val="22"/>
        </w:rPr>
        <w:t xml:space="preserve">its </w:t>
      </w:r>
      <w:r w:rsidR="00886B7F">
        <w:rPr>
          <w:szCs w:val="22"/>
        </w:rPr>
        <w:t>CMS gateway.</w:t>
      </w:r>
      <w:r>
        <w:rPr>
          <w:rStyle w:val="FootnoteReference"/>
          <w:szCs w:val="22"/>
        </w:rPr>
        <w:footnoteReference w:id="24"/>
      </w:r>
      <w:r w:rsidR="00886B7F">
        <w:rPr>
          <w:szCs w:val="22"/>
        </w:rPr>
        <w:t xml:space="preserve">  </w:t>
      </w:r>
      <w:r w:rsidRPr="00596B69" w:rsidR="00FE2B8B">
        <w:rPr>
          <w:szCs w:val="22"/>
        </w:rPr>
        <w:t>Typically, a Participating CMS Provider would receive a State/Local WEA Test at its CMS gateway after it has been received from an authorized alert originator through IPAWS.</w:t>
      </w:r>
      <w:r w:rsidR="00FE2B8B">
        <w:rPr>
          <w:szCs w:val="22"/>
        </w:rPr>
        <w:t xml:space="preserve">  The Participating CMS Provider would then transmit the alert from its CMS gateway to WEA-capable mobile devices utilizing its network.</w:t>
      </w:r>
      <w:r w:rsidRPr="00596B69" w:rsidR="00FE2B8B">
        <w:rPr>
          <w:szCs w:val="22"/>
        </w:rPr>
        <w:t xml:space="preserve"> </w:t>
      </w:r>
      <w:r w:rsidR="00FE2B8B">
        <w:rPr>
          <w:szCs w:val="22"/>
        </w:rPr>
        <w:t xml:space="preserve"> </w:t>
      </w:r>
      <w:r w:rsidRPr="00596B69" w:rsidR="00FE2B8B">
        <w:rPr>
          <w:szCs w:val="22"/>
        </w:rPr>
        <w:t>T-Mobile proposes to send the State/Local WEA Test</w:t>
      </w:r>
      <w:r w:rsidR="00FE2B8B">
        <w:rPr>
          <w:szCs w:val="22"/>
        </w:rPr>
        <w:t xml:space="preserve"> for a portion of the system,</w:t>
      </w:r>
      <w:r w:rsidRPr="00596B69" w:rsidR="00FE2B8B">
        <w:rPr>
          <w:szCs w:val="22"/>
        </w:rPr>
        <w:t xml:space="preserve"> directly from the CMS gateway to WEA-capable mobile devices utilizing the T-Mobile network’s enhanced geotargeting capability</w:t>
      </w:r>
      <w:r w:rsidR="00886B7F">
        <w:rPr>
          <w:szCs w:val="22"/>
        </w:rPr>
        <w:t>.</w:t>
      </w:r>
      <w:r>
        <w:rPr>
          <w:rStyle w:val="FootnoteReference"/>
          <w:szCs w:val="22"/>
        </w:rPr>
        <w:footnoteReference w:id="25"/>
      </w:r>
      <w:r w:rsidR="00886B7F">
        <w:rPr>
          <w:szCs w:val="22"/>
        </w:rPr>
        <w:t xml:space="preserve">  T-Mobile will target a single State/Local WEA Test to a small industrial area in Bellevue, Washington</w:t>
      </w:r>
      <w:r w:rsidR="00B751D5">
        <w:rPr>
          <w:szCs w:val="22"/>
        </w:rPr>
        <w:t xml:space="preserve"> on </w:t>
      </w:r>
      <w:r w:rsidR="009C03D9">
        <w:rPr>
          <w:szCs w:val="22"/>
        </w:rPr>
        <w:t>November 4</w:t>
      </w:r>
      <w:r w:rsidR="00B751D5">
        <w:rPr>
          <w:szCs w:val="22"/>
        </w:rPr>
        <w:t>, 2019 and</w:t>
      </w:r>
      <w:r w:rsidR="00886B7F">
        <w:rPr>
          <w:szCs w:val="22"/>
        </w:rPr>
        <w:t xml:space="preserve"> </w:t>
      </w:r>
      <w:r w:rsidR="00B751D5">
        <w:rPr>
          <w:szCs w:val="22"/>
        </w:rPr>
        <w:t xml:space="preserve">a second State/Local WEA Test to a similar area in </w:t>
      </w:r>
      <w:r w:rsidR="00886B7F">
        <w:rPr>
          <w:szCs w:val="22"/>
        </w:rPr>
        <w:t xml:space="preserve">Concord, California </w:t>
      </w:r>
      <w:r w:rsidR="00B751D5">
        <w:rPr>
          <w:szCs w:val="22"/>
        </w:rPr>
        <w:t xml:space="preserve">on November </w:t>
      </w:r>
      <w:r w:rsidR="009C03D9">
        <w:rPr>
          <w:szCs w:val="22"/>
        </w:rPr>
        <w:t>14</w:t>
      </w:r>
      <w:r w:rsidR="00B751D5">
        <w:rPr>
          <w:szCs w:val="22"/>
        </w:rPr>
        <w:t>, 2019.</w:t>
      </w:r>
      <w:r>
        <w:rPr>
          <w:rStyle w:val="FootnoteReference"/>
          <w:szCs w:val="22"/>
        </w:rPr>
        <w:footnoteReference w:id="26"/>
      </w:r>
      <w:r w:rsidR="00B751D5">
        <w:rPr>
          <w:szCs w:val="22"/>
        </w:rPr>
        <w:t xml:space="preserve">  </w:t>
      </w:r>
      <w:r w:rsidR="00E43B5C">
        <w:rPr>
          <w:szCs w:val="22"/>
        </w:rPr>
        <w:t>The State/Local WEA Tes</w:t>
      </w:r>
      <w:r w:rsidR="00655405">
        <w:rPr>
          <w:szCs w:val="22"/>
        </w:rPr>
        <w:t>t</w:t>
      </w:r>
      <w:r w:rsidR="00E43B5C">
        <w:rPr>
          <w:szCs w:val="22"/>
        </w:rPr>
        <w:t xml:space="preserve"> </w:t>
      </w:r>
      <w:r w:rsidR="00655405">
        <w:rPr>
          <w:szCs w:val="22"/>
        </w:rPr>
        <w:t xml:space="preserve">message </w:t>
      </w:r>
      <w:r w:rsidR="00814D4D">
        <w:rPr>
          <w:szCs w:val="22"/>
        </w:rPr>
        <w:t xml:space="preserve">will be </w:t>
      </w:r>
      <w:r w:rsidR="00E43B5C">
        <w:rPr>
          <w:szCs w:val="22"/>
        </w:rPr>
        <w:t xml:space="preserve">delivered </w:t>
      </w:r>
      <w:r w:rsidR="00814D4D">
        <w:rPr>
          <w:szCs w:val="22"/>
        </w:rPr>
        <w:t xml:space="preserve">only </w:t>
      </w:r>
      <w:r w:rsidR="00E43B5C">
        <w:rPr>
          <w:szCs w:val="22"/>
        </w:rPr>
        <w:t>to the WEA-capable mobile devices of T-Mobile subscribers that have affirmatively opted in to receiving such tests</w:t>
      </w:r>
      <w:r w:rsidR="00A059BA">
        <w:rPr>
          <w:szCs w:val="22"/>
        </w:rPr>
        <w:t>, in compliance with our State/Local testing requirements</w:t>
      </w:r>
      <w:r w:rsidR="00814D4D">
        <w:rPr>
          <w:szCs w:val="22"/>
        </w:rPr>
        <w:t>.</w:t>
      </w:r>
      <w:r>
        <w:rPr>
          <w:rStyle w:val="FootnoteReference"/>
          <w:szCs w:val="22"/>
        </w:rPr>
        <w:footnoteReference w:id="27"/>
      </w:r>
      <w:r w:rsidR="00814D4D">
        <w:rPr>
          <w:szCs w:val="22"/>
        </w:rPr>
        <w:t xml:space="preserve">  The test message </w:t>
      </w:r>
      <w:r w:rsidR="00E43B5C">
        <w:rPr>
          <w:szCs w:val="22"/>
        </w:rPr>
        <w:t>would read as follows: “THIS IS A TEST OF THE WIRELESS EMERGENCY ALERT SYSTEM. NO ACTION IS REQUIRED.”</w:t>
      </w:r>
      <w:r>
        <w:rPr>
          <w:rStyle w:val="FootnoteReference"/>
          <w:szCs w:val="22"/>
        </w:rPr>
        <w:footnoteReference w:id="28"/>
      </w:r>
      <w:r w:rsidR="00E43B5C">
        <w:rPr>
          <w:szCs w:val="22"/>
        </w:rPr>
        <w:t xml:space="preserve">  T-Mobile commits to notifying first responder organization such as police and fire agencies and 911 Public Safety Answering Points serving the test locations.</w:t>
      </w:r>
      <w:r>
        <w:rPr>
          <w:rStyle w:val="FootnoteReference"/>
          <w:szCs w:val="22"/>
        </w:rPr>
        <w:footnoteReference w:id="29"/>
      </w:r>
      <w:r w:rsidR="00E43B5C">
        <w:rPr>
          <w:color w:val="000000"/>
          <w:szCs w:val="22"/>
        </w:rPr>
        <w:t xml:space="preserve">  </w:t>
      </w:r>
    </w:p>
    <w:p w:rsidR="006A7F29" w:rsidRPr="006A7F29" w:rsidP="003763BD" w14:paraId="6101DF45" w14:textId="77777777">
      <w:pPr>
        <w:keepNext/>
        <w:widowControl/>
        <w:numPr>
          <w:ilvl w:val="0"/>
          <w:numId w:val="3"/>
        </w:numPr>
        <w:tabs>
          <w:tab w:val="left" w:pos="720"/>
        </w:tabs>
        <w:suppressAutoHyphens/>
        <w:spacing w:after="120"/>
        <w:outlineLvl w:val="0"/>
        <w:rPr>
          <w:b/>
          <w:caps/>
          <w:szCs w:val="22"/>
        </w:rPr>
      </w:pPr>
      <w:r w:rsidRPr="006A7F29">
        <w:rPr>
          <w:b/>
          <w:caps/>
          <w:szCs w:val="22"/>
        </w:rPr>
        <w:t>discussion</w:t>
      </w:r>
    </w:p>
    <w:p w:rsidR="007C2CD1" w:rsidRPr="0092562C" w:rsidP="002B6B26" w14:paraId="406425FE" w14:textId="6D84230E">
      <w:pPr>
        <w:pStyle w:val="ParaNum"/>
      </w:pPr>
      <w:r w:rsidRPr="0092562C">
        <w:t>A provision of the Commission’s rules “may</w:t>
      </w:r>
      <w:r w:rsidRPr="0092562C">
        <w:rPr>
          <w:spacing w:val="-5"/>
        </w:rPr>
        <w:t xml:space="preserve"> </w:t>
      </w:r>
      <w:r w:rsidRPr="0092562C">
        <w:t>be</w:t>
      </w:r>
      <w:r w:rsidRPr="0092562C">
        <w:rPr>
          <w:spacing w:val="-5"/>
        </w:rPr>
        <w:t xml:space="preserve"> </w:t>
      </w:r>
      <w:r w:rsidRPr="002B6B26">
        <w:rPr>
          <w:spacing w:val="-1"/>
        </w:rPr>
        <w:t>waived</w:t>
      </w:r>
      <w:r w:rsidRPr="002B6B26">
        <w:rPr>
          <w:spacing w:val="-4"/>
        </w:rPr>
        <w:t xml:space="preserve"> </w:t>
      </w:r>
      <w:r w:rsidRPr="002B6B26">
        <w:t>by</w:t>
      </w:r>
      <w:r w:rsidRPr="002B6B26">
        <w:rPr>
          <w:spacing w:val="-4"/>
        </w:rPr>
        <w:t xml:space="preserve"> </w:t>
      </w:r>
      <w:r w:rsidRPr="002B6B26">
        <w:t>the</w:t>
      </w:r>
      <w:r w:rsidRPr="002B6B26">
        <w:rPr>
          <w:spacing w:val="-4"/>
        </w:rPr>
        <w:t xml:space="preserve"> </w:t>
      </w:r>
      <w:r w:rsidRPr="002B6B26">
        <w:rPr>
          <w:spacing w:val="-1"/>
        </w:rPr>
        <w:t>Commission</w:t>
      </w:r>
      <w:r w:rsidRPr="002B6B26">
        <w:rPr>
          <w:spacing w:val="-4"/>
        </w:rPr>
        <w:t xml:space="preserve"> </w:t>
      </w:r>
      <w:r w:rsidRPr="002B6B26">
        <w:t>on</w:t>
      </w:r>
      <w:r w:rsidRPr="002B6B26">
        <w:rPr>
          <w:spacing w:val="-4"/>
        </w:rPr>
        <w:t xml:space="preserve"> </w:t>
      </w:r>
      <w:r w:rsidRPr="002B6B26">
        <w:t>its</w:t>
      </w:r>
      <w:r w:rsidRPr="002B6B26">
        <w:rPr>
          <w:spacing w:val="-4"/>
        </w:rPr>
        <w:t xml:space="preserve"> </w:t>
      </w:r>
      <w:r w:rsidRPr="002B6B26">
        <w:t>own</w:t>
      </w:r>
      <w:r w:rsidRPr="002B6B26">
        <w:rPr>
          <w:spacing w:val="27"/>
        </w:rPr>
        <w:t xml:space="preserve"> </w:t>
      </w:r>
      <w:r w:rsidRPr="002B6B26">
        <w:rPr>
          <w:spacing w:val="-1"/>
        </w:rPr>
        <w:t>motion</w:t>
      </w:r>
      <w:r w:rsidRPr="002B6B26">
        <w:rPr>
          <w:spacing w:val="-3"/>
        </w:rPr>
        <w:t xml:space="preserve"> </w:t>
      </w:r>
      <w:r w:rsidRPr="002B6B26">
        <w:t>or</w:t>
      </w:r>
      <w:r w:rsidRPr="002B6B26">
        <w:rPr>
          <w:spacing w:val="-3"/>
        </w:rPr>
        <w:t xml:space="preserve"> </w:t>
      </w:r>
      <w:r w:rsidRPr="002B6B26">
        <w:t>on</w:t>
      </w:r>
      <w:r w:rsidRPr="002B6B26">
        <w:rPr>
          <w:spacing w:val="-3"/>
        </w:rPr>
        <w:t xml:space="preserve"> </w:t>
      </w:r>
      <w:r w:rsidRPr="002B6B26">
        <w:t>petition</w:t>
      </w:r>
      <w:r w:rsidRPr="002B6B26">
        <w:rPr>
          <w:spacing w:val="-3"/>
        </w:rPr>
        <w:t xml:space="preserve"> </w:t>
      </w:r>
      <w:r w:rsidRPr="002B6B26">
        <w:rPr>
          <w:spacing w:val="-1"/>
        </w:rPr>
        <w:t>if</w:t>
      </w:r>
      <w:r w:rsidRPr="002B6B26">
        <w:rPr>
          <w:spacing w:val="-3"/>
        </w:rPr>
        <w:t xml:space="preserve"> </w:t>
      </w:r>
      <w:r w:rsidRPr="002B6B26">
        <w:t>good</w:t>
      </w:r>
      <w:r w:rsidRPr="002B6B26">
        <w:rPr>
          <w:spacing w:val="-2"/>
        </w:rPr>
        <w:t xml:space="preserve"> </w:t>
      </w:r>
      <w:r w:rsidRPr="002B6B26">
        <w:t>cause</w:t>
      </w:r>
      <w:r w:rsidRPr="002B6B26">
        <w:rPr>
          <w:spacing w:val="-4"/>
        </w:rPr>
        <w:t xml:space="preserve"> </w:t>
      </w:r>
      <w:r w:rsidRPr="002B6B26">
        <w:t>therefor</w:t>
      </w:r>
      <w:r w:rsidRPr="002B6B26">
        <w:rPr>
          <w:spacing w:val="-4"/>
        </w:rPr>
        <w:t xml:space="preserve"> </w:t>
      </w:r>
      <w:r w:rsidRPr="002B6B26">
        <w:rPr>
          <w:spacing w:val="-1"/>
        </w:rPr>
        <w:t>is</w:t>
      </w:r>
      <w:r w:rsidRPr="002B6B26">
        <w:rPr>
          <w:spacing w:val="-3"/>
        </w:rPr>
        <w:t xml:space="preserve"> </w:t>
      </w:r>
      <w:r w:rsidRPr="002B6B26">
        <w:rPr>
          <w:spacing w:val="-1"/>
        </w:rPr>
        <w:t>shown.”</w:t>
      </w:r>
      <w:r>
        <w:rPr>
          <w:spacing w:val="-1"/>
          <w:vertAlign w:val="superscript"/>
        </w:rPr>
        <w:footnoteReference w:id="30"/>
      </w:r>
      <w:r w:rsidRPr="0092562C">
        <w:t xml:space="preserve">  The</w:t>
      </w:r>
      <w:r w:rsidRPr="0092562C">
        <w:rPr>
          <w:spacing w:val="-4"/>
        </w:rPr>
        <w:t xml:space="preserve"> </w:t>
      </w:r>
      <w:r w:rsidRPr="0092562C">
        <w:t>Commission</w:t>
      </w:r>
      <w:r w:rsidRPr="002B6B26">
        <w:rPr>
          <w:spacing w:val="-3"/>
        </w:rPr>
        <w:t xml:space="preserve"> </w:t>
      </w:r>
      <w:r w:rsidRPr="002B6B26">
        <w:t>may</w:t>
      </w:r>
      <w:r w:rsidRPr="002B6B26">
        <w:rPr>
          <w:spacing w:val="-4"/>
        </w:rPr>
        <w:t xml:space="preserve"> </w:t>
      </w:r>
      <w:r w:rsidRPr="002B6B26">
        <w:t>find</w:t>
      </w:r>
      <w:r w:rsidRPr="002B6B26">
        <w:rPr>
          <w:spacing w:val="-3"/>
        </w:rPr>
        <w:t xml:space="preserve"> </w:t>
      </w:r>
      <w:r w:rsidRPr="002B6B26">
        <w:t>good</w:t>
      </w:r>
      <w:r w:rsidRPr="002B6B26">
        <w:rPr>
          <w:spacing w:val="-2"/>
        </w:rPr>
        <w:t xml:space="preserve"> </w:t>
      </w:r>
      <w:r w:rsidRPr="002B6B26">
        <w:t>cause to extend</w:t>
      </w:r>
      <w:r w:rsidRPr="002B6B26">
        <w:rPr>
          <w:spacing w:val="-6"/>
        </w:rPr>
        <w:t xml:space="preserve"> </w:t>
      </w:r>
      <w:r w:rsidRPr="002B6B26">
        <w:t>a</w:t>
      </w:r>
      <w:r w:rsidRPr="002B6B26">
        <w:rPr>
          <w:spacing w:val="-7"/>
        </w:rPr>
        <w:t xml:space="preserve"> </w:t>
      </w:r>
      <w:r w:rsidRPr="002B6B26">
        <w:rPr>
          <w:spacing w:val="-1"/>
        </w:rPr>
        <w:t>waiver</w:t>
      </w:r>
      <w:r w:rsidRPr="002B6B26">
        <w:rPr>
          <w:spacing w:val="-6"/>
        </w:rPr>
        <w:t xml:space="preserve"> </w:t>
      </w:r>
      <w:r w:rsidRPr="002B6B26">
        <w:t>“if</w:t>
      </w:r>
      <w:r w:rsidRPr="002B6B26">
        <w:rPr>
          <w:spacing w:val="-6"/>
        </w:rPr>
        <w:t xml:space="preserve"> </w:t>
      </w:r>
      <w:r w:rsidRPr="002B6B26">
        <w:rPr>
          <w:spacing w:val="-1"/>
        </w:rPr>
        <w:t>special</w:t>
      </w:r>
      <w:r w:rsidRPr="002B6B26">
        <w:rPr>
          <w:spacing w:val="-5"/>
        </w:rPr>
        <w:t xml:space="preserve"> </w:t>
      </w:r>
      <w:r w:rsidRPr="002B6B26">
        <w:t>circumstances</w:t>
      </w:r>
      <w:r w:rsidRPr="002B6B26">
        <w:rPr>
          <w:spacing w:val="-5"/>
        </w:rPr>
        <w:t xml:space="preserve"> </w:t>
      </w:r>
      <w:r w:rsidRPr="002B6B26">
        <w:rPr>
          <w:spacing w:val="-1"/>
        </w:rPr>
        <w:t>warrant</w:t>
      </w:r>
      <w:r w:rsidRPr="002B6B26">
        <w:rPr>
          <w:spacing w:val="-5"/>
        </w:rPr>
        <w:t xml:space="preserve"> </w:t>
      </w:r>
      <w:r w:rsidRPr="002B6B26">
        <w:t>a</w:t>
      </w:r>
      <w:r w:rsidRPr="002B6B26">
        <w:rPr>
          <w:spacing w:val="-5"/>
        </w:rPr>
        <w:t xml:space="preserve"> </w:t>
      </w:r>
      <w:r w:rsidRPr="002B6B26">
        <w:rPr>
          <w:spacing w:val="-1"/>
        </w:rPr>
        <w:t>deviation</w:t>
      </w:r>
      <w:r w:rsidRPr="002B6B26">
        <w:rPr>
          <w:spacing w:val="-6"/>
        </w:rPr>
        <w:t xml:space="preserve"> </w:t>
      </w:r>
      <w:r w:rsidRPr="002B6B26">
        <w:t>from</w:t>
      </w:r>
      <w:r w:rsidRPr="002B6B26">
        <w:rPr>
          <w:spacing w:val="-5"/>
        </w:rPr>
        <w:t xml:space="preserve"> </w:t>
      </w:r>
      <w:r w:rsidRPr="002B6B26">
        <w:t>the</w:t>
      </w:r>
      <w:r w:rsidRPr="002B6B26">
        <w:rPr>
          <w:spacing w:val="-6"/>
        </w:rPr>
        <w:t xml:space="preserve"> </w:t>
      </w:r>
      <w:r w:rsidRPr="002B6B26">
        <w:t>general</w:t>
      </w:r>
      <w:r w:rsidRPr="002B6B26">
        <w:rPr>
          <w:spacing w:val="-5"/>
        </w:rPr>
        <w:t xml:space="preserve"> </w:t>
      </w:r>
      <w:r w:rsidRPr="002B6B26">
        <w:t>rule</w:t>
      </w:r>
      <w:r w:rsidRPr="002B6B26">
        <w:rPr>
          <w:spacing w:val="-5"/>
        </w:rPr>
        <w:t xml:space="preserve"> </w:t>
      </w:r>
      <w:r w:rsidRPr="002B6B26">
        <w:rPr>
          <w:spacing w:val="-1"/>
        </w:rPr>
        <w:t>and</w:t>
      </w:r>
      <w:r w:rsidRPr="002B6B26">
        <w:rPr>
          <w:spacing w:val="-5"/>
        </w:rPr>
        <w:t xml:space="preserve"> </w:t>
      </w:r>
      <w:r w:rsidRPr="002B6B26">
        <w:rPr>
          <w:spacing w:val="-1"/>
        </w:rPr>
        <w:t>such</w:t>
      </w:r>
      <w:r w:rsidRPr="002B6B26">
        <w:rPr>
          <w:spacing w:val="-6"/>
        </w:rPr>
        <w:t xml:space="preserve"> </w:t>
      </w:r>
      <w:r w:rsidRPr="002B6B26">
        <w:t xml:space="preserve">deviation </w:t>
      </w:r>
      <w:r w:rsidRPr="002B6B26">
        <w:rPr>
          <w:spacing w:val="-1"/>
        </w:rPr>
        <w:t>will</w:t>
      </w:r>
      <w:r w:rsidRPr="002B6B26">
        <w:rPr>
          <w:spacing w:val="-4"/>
        </w:rPr>
        <w:t xml:space="preserve"> </w:t>
      </w:r>
      <w:r w:rsidRPr="002B6B26">
        <w:rPr>
          <w:spacing w:val="-1"/>
        </w:rPr>
        <w:t>serve</w:t>
      </w:r>
      <w:r w:rsidRPr="002B6B26">
        <w:rPr>
          <w:spacing w:val="-4"/>
        </w:rPr>
        <w:t xml:space="preserve"> </w:t>
      </w:r>
      <w:r w:rsidRPr="002B6B26">
        <w:t>the</w:t>
      </w:r>
      <w:r w:rsidRPr="002B6B26">
        <w:rPr>
          <w:spacing w:val="-5"/>
        </w:rPr>
        <w:t xml:space="preserve"> </w:t>
      </w:r>
      <w:r w:rsidRPr="002B6B26">
        <w:t>public</w:t>
      </w:r>
      <w:r w:rsidRPr="002B6B26">
        <w:rPr>
          <w:spacing w:val="-3"/>
        </w:rPr>
        <w:t xml:space="preserve"> </w:t>
      </w:r>
      <w:r w:rsidRPr="002B6B26">
        <w:rPr>
          <w:spacing w:val="-1"/>
        </w:rPr>
        <w:t>interest.”</w:t>
      </w:r>
      <w:r>
        <w:rPr>
          <w:spacing w:val="-1"/>
          <w:vertAlign w:val="superscript"/>
        </w:rPr>
        <w:footnoteReference w:id="31"/>
      </w:r>
      <w:r w:rsidRPr="0092562C">
        <w:rPr>
          <w:spacing w:val="-1"/>
        </w:rPr>
        <w:t xml:space="preserve">  </w:t>
      </w:r>
      <w:r w:rsidRPr="0092562C" w:rsidR="00297109">
        <w:t>Ensuring wireless emergency alerts are directed to those for whom they are relevant</w:t>
      </w:r>
      <w:r w:rsidRPr="0092562C">
        <w:t xml:space="preserve"> is critical because</w:t>
      </w:r>
      <w:r w:rsidRPr="002B6B26" w:rsidR="007B3C43">
        <w:t xml:space="preserve"> it will “encourage emergency managers to use WEA, enable them to use WEA to more effectively move consumers to take protective actions, and will reduce the potential for over-alerting and subscriber opt out</w:t>
      </w:r>
      <w:r w:rsidRPr="002B6B26" w:rsidR="00297109">
        <w:t>.</w:t>
      </w:r>
      <w:r w:rsidRPr="002B6B26" w:rsidR="007B3C43">
        <w:t>”</w:t>
      </w:r>
      <w:r>
        <w:rPr>
          <w:rStyle w:val="FootnoteReference"/>
          <w:szCs w:val="22"/>
        </w:rPr>
        <w:footnoteReference w:id="32"/>
      </w:r>
      <w:r w:rsidRPr="0092562C" w:rsidR="00297109">
        <w:t xml:space="preserve">  </w:t>
      </w:r>
      <w:bookmarkStart w:id="1" w:name="_Hlk23338889"/>
      <w:r w:rsidRPr="0092562C" w:rsidR="0033556D">
        <w:t>The Commission has previously recognized that compliance with enhanced geotargeting necessitates testing</w:t>
      </w:r>
      <w:r w:rsidRPr="002B6B26" w:rsidR="00204E0B">
        <w:t>,</w:t>
      </w:r>
      <w:r>
        <w:rPr>
          <w:rStyle w:val="FootnoteReference"/>
          <w:szCs w:val="22"/>
        </w:rPr>
        <w:footnoteReference w:id="33"/>
      </w:r>
      <w:r w:rsidRPr="0092562C" w:rsidR="0033556D">
        <w:t xml:space="preserve"> </w:t>
      </w:r>
      <w:r w:rsidRPr="0092562C" w:rsidR="00204E0B">
        <w:t xml:space="preserve">and </w:t>
      </w:r>
      <w:r w:rsidRPr="0092562C" w:rsidR="006A119D">
        <w:t>w</w:t>
      </w:r>
      <w:r w:rsidRPr="002B6B26" w:rsidR="006A119D">
        <w:t xml:space="preserve">e find that there is good cause to grant T-Mobile’s request for a waiver to initiate a State/Local WEA Test at its CMS gateway in order to </w:t>
      </w:r>
      <w:bookmarkEnd w:id="1"/>
      <w:r w:rsidRPr="002B6B26" w:rsidR="00604CA6">
        <w:t>do so</w:t>
      </w:r>
      <w:r w:rsidRPr="002B6B26" w:rsidR="00704AE1">
        <w:t>.</w:t>
      </w:r>
      <w:r w:rsidRPr="002B6B26" w:rsidR="00297109">
        <w:t xml:space="preserve">  </w:t>
      </w:r>
      <w:r w:rsidR="007F3C0A">
        <w:t>T-Mobile indicates that it has been working diligently with vendors and others to meet the November 30, 2019 enhanced geotargeting compliance deadline, but “</w:t>
      </w:r>
      <w:r w:rsidRPr="007F3C0A" w:rsidR="007F3C0A">
        <w:t>testing must be conducted to assess the proper functioning of the new geo-targeting feature</w:t>
      </w:r>
      <w:r w:rsidR="007F3C0A">
        <w:t>,” and “[a]</w:t>
      </w:r>
      <w:r w:rsidRPr="007F3C0A" w:rsidR="007F3C0A">
        <w:t>bsent</w:t>
      </w:r>
      <w:r w:rsidRPr="007F3C0A" w:rsidR="007F3C0A">
        <w:t xml:space="preserve"> a waiver, the benefits of these new requirements may not be fully realized in a timely manner</w:t>
      </w:r>
      <w:r w:rsidR="007F3C0A">
        <w:t>.”</w:t>
      </w:r>
      <w:r>
        <w:rPr>
          <w:rStyle w:val="FootnoteReference"/>
        </w:rPr>
        <w:footnoteReference w:id="34"/>
      </w:r>
      <w:r w:rsidR="007F3C0A">
        <w:t xml:space="preserve">  </w:t>
      </w:r>
      <w:r w:rsidRPr="002B6B26" w:rsidR="00604CA6">
        <w:t>We are persuaded that the test will help T-Mobile assess the proper functioning of enhanced geotargeting,</w:t>
      </w:r>
      <w:r>
        <w:rPr>
          <w:rStyle w:val="FootnoteReference"/>
          <w:szCs w:val="22"/>
        </w:rPr>
        <w:footnoteReference w:id="35"/>
      </w:r>
      <w:r w:rsidRPr="0092562C" w:rsidR="00604CA6">
        <w:t xml:space="preserve"> so that T-Mobile can complete its implementation of enhanced geotargeting </w:t>
      </w:r>
      <w:r w:rsidR="00D26456">
        <w:t>by November 30, 2019</w:t>
      </w:r>
      <w:r w:rsidRPr="0092562C" w:rsidR="00604CA6">
        <w:t xml:space="preserve">.  </w:t>
      </w:r>
    </w:p>
    <w:p w:rsidR="00297109" w:rsidRPr="00297109" w:rsidP="00E43B5C" w14:paraId="7E87B69A" w14:textId="0818D3D6">
      <w:pPr>
        <w:widowControl/>
        <w:numPr>
          <w:ilvl w:val="0"/>
          <w:numId w:val="2"/>
        </w:numPr>
        <w:tabs>
          <w:tab w:val="clear" w:pos="1080"/>
          <w:tab w:val="num" w:pos="1440"/>
        </w:tabs>
        <w:spacing w:after="120"/>
        <w:rPr>
          <w:szCs w:val="22"/>
        </w:rPr>
      </w:pPr>
      <w:r>
        <w:rPr>
          <w:szCs w:val="22"/>
        </w:rPr>
        <w:t xml:space="preserve">Furthermore, </w:t>
      </w:r>
      <w:r w:rsidR="007077AC">
        <w:rPr>
          <w:szCs w:val="22"/>
        </w:rPr>
        <w:t xml:space="preserve">we are persuaded that </w:t>
      </w:r>
      <w:r w:rsidR="007077AC">
        <w:rPr>
          <w:szCs w:val="22"/>
        </w:rPr>
        <w:t>the means by which</w:t>
      </w:r>
      <w:r w:rsidR="007077AC">
        <w:rPr>
          <w:szCs w:val="22"/>
        </w:rPr>
        <w:t xml:space="preserve"> T-Mobile proposes to conduct its test would serve the public interest.  </w:t>
      </w:r>
      <w:r w:rsidR="007C2CD1">
        <w:rPr>
          <w:szCs w:val="22"/>
        </w:rPr>
        <w:t xml:space="preserve">T-Mobile’s test </w:t>
      </w:r>
      <w:r w:rsidR="007C2CD1">
        <w:rPr>
          <w:szCs w:val="22"/>
        </w:rPr>
        <w:t>is narrowly designed</w:t>
      </w:r>
      <w:r w:rsidR="007C2CD1">
        <w:rPr>
          <w:szCs w:val="22"/>
        </w:rPr>
        <w:t xml:space="preserve"> to affect </w:t>
      </w:r>
      <w:r w:rsidR="007077AC">
        <w:rPr>
          <w:szCs w:val="22"/>
        </w:rPr>
        <w:t>a limited subset of the</w:t>
      </w:r>
      <w:r w:rsidR="007C2CD1">
        <w:rPr>
          <w:szCs w:val="22"/>
        </w:rPr>
        <w:t xml:space="preserve"> public, while still providing T-Mobile with </w:t>
      </w:r>
      <w:r w:rsidR="007077AC">
        <w:rPr>
          <w:szCs w:val="22"/>
        </w:rPr>
        <w:t>the data</w:t>
      </w:r>
      <w:r w:rsidR="007C2CD1">
        <w:rPr>
          <w:szCs w:val="22"/>
        </w:rPr>
        <w:t xml:space="preserve"> </w:t>
      </w:r>
      <w:r w:rsidR="007077AC">
        <w:rPr>
          <w:szCs w:val="22"/>
        </w:rPr>
        <w:t xml:space="preserve">necessary </w:t>
      </w:r>
      <w:r w:rsidR="007C2CD1">
        <w:rPr>
          <w:szCs w:val="22"/>
        </w:rPr>
        <w:t xml:space="preserve">to </w:t>
      </w:r>
      <w:r w:rsidR="0033556D">
        <w:rPr>
          <w:szCs w:val="22"/>
        </w:rPr>
        <w:t>evaluate</w:t>
      </w:r>
      <w:r w:rsidR="007C2CD1">
        <w:rPr>
          <w:szCs w:val="22"/>
        </w:rPr>
        <w:t xml:space="preserve"> its implementation of enhanced geotargeting. </w:t>
      </w:r>
      <w:r w:rsidR="006249A9">
        <w:rPr>
          <w:szCs w:val="22"/>
        </w:rPr>
        <w:t xml:space="preserve"> </w:t>
      </w:r>
      <w:r w:rsidR="00416E21">
        <w:rPr>
          <w:szCs w:val="22"/>
        </w:rPr>
        <w:t>T-Mobile proposes to send a State/Local WEA Test so that “</w:t>
      </w:r>
      <w:r w:rsidRPr="00AA6D8C" w:rsidR="00416E21">
        <w:rPr>
          <w:szCs w:val="22"/>
        </w:rPr>
        <w:t>test messages will be received only by people that have specifically elected to receive State/Local WEA Test messages (i.e., the State/Local Test option on the device has been toggled on)</w:t>
      </w:r>
      <w:r w:rsidR="00416E21">
        <w:rPr>
          <w:szCs w:val="22"/>
        </w:rPr>
        <w:t>.”</w:t>
      </w:r>
      <w:r>
        <w:rPr>
          <w:rStyle w:val="FootnoteReference"/>
          <w:szCs w:val="22"/>
        </w:rPr>
        <w:footnoteReference w:id="36"/>
      </w:r>
      <w:r w:rsidR="00416E21">
        <w:rPr>
          <w:szCs w:val="22"/>
        </w:rPr>
        <w:t xml:space="preserve">  </w:t>
      </w:r>
      <w:r w:rsidR="00AA6D8C">
        <w:rPr>
          <w:szCs w:val="22"/>
        </w:rPr>
        <w:t xml:space="preserve">As T-Mobile explains, unlike tests that are designed to evaluate public awareness, T-Mobile’s proposed </w:t>
      </w:r>
      <w:r w:rsidRPr="00D26456" w:rsidR="00AA6D8C">
        <w:rPr>
          <w:szCs w:val="22"/>
        </w:rPr>
        <w:t xml:space="preserve">tests </w:t>
      </w:r>
      <w:r w:rsidR="00AA6D8C">
        <w:rPr>
          <w:szCs w:val="22"/>
        </w:rPr>
        <w:t>“</w:t>
      </w:r>
      <w:r w:rsidRPr="00D26456" w:rsidR="00AA6D8C">
        <w:rPr>
          <w:szCs w:val="22"/>
        </w:rPr>
        <w:t xml:space="preserve">are designed merely to evaluate the </w:t>
      </w:r>
      <w:r w:rsidRPr="00D26456" w:rsidR="00AA6D8C">
        <w:rPr>
          <w:szCs w:val="22"/>
        </w:rPr>
        <w:t>geo-targeting capabilities of certain devices.</w:t>
      </w:r>
      <w:r w:rsidR="00AA6D8C">
        <w:rPr>
          <w:szCs w:val="22"/>
        </w:rPr>
        <w:t>”</w:t>
      </w:r>
      <w:r>
        <w:rPr>
          <w:rStyle w:val="FootnoteReference"/>
          <w:szCs w:val="22"/>
        </w:rPr>
        <w:footnoteReference w:id="37"/>
      </w:r>
      <w:r w:rsidRPr="00D26456" w:rsidR="00AA6D8C">
        <w:rPr>
          <w:szCs w:val="22"/>
        </w:rPr>
        <w:t xml:space="preserve">  </w:t>
      </w:r>
      <w:r w:rsidR="00AA6D8C">
        <w:rPr>
          <w:szCs w:val="22"/>
        </w:rPr>
        <w:t>T-Mobile states that “</w:t>
      </w:r>
      <w:r w:rsidRPr="00AA6D8C" w:rsidR="00AA6D8C">
        <w:rPr>
          <w:szCs w:val="22"/>
        </w:rPr>
        <w:t>testing will be controlled and limited to small geographic areas.</w:t>
      </w:r>
      <w:r w:rsidR="00AA6D8C">
        <w:rPr>
          <w:szCs w:val="22"/>
        </w:rPr>
        <w:t>”</w:t>
      </w:r>
      <w:r>
        <w:rPr>
          <w:rStyle w:val="FootnoteReference"/>
          <w:szCs w:val="22"/>
        </w:rPr>
        <w:footnoteReference w:id="38"/>
      </w:r>
      <w:r w:rsidR="00AA6D8C">
        <w:rPr>
          <w:szCs w:val="22"/>
        </w:rPr>
        <w:t xml:space="preserve"> </w:t>
      </w:r>
      <w:r w:rsidRPr="00AA6D8C" w:rsidR="00AA6D8C">
        <w:rPr>
          <w:szCs w:val="22"/>
        </w:rPr>
        <w:t xml:space="preserve"> </w:t>
      </w:r>
      <w:r w:rsidR="000B3817">
        <w:rPr>
          <w:szCs w:val="22"/>
        </w:rPr>
        <w:t xml:space="preserve">In adopting this category of tests, the Commission </w:t>
      </w:r>
      <w:r w:rsidR="000B1FFF">
        <w:rPr>
          <w:szCs w:val="22"/>
        </w:rPr>
        <w:t xml:space="preserve">acknowledged its value in assessing geotargeting in particular, stating that </w:t>
      </w:r>
      <w:r w:rsidR="000C6CB2">
        <w:rPr>
          <w:szCs w:val="22"/>
        </w:rPr>
        <w:t xml:space="preserve">State/Local </w:t>
      </w:r>
      <w:r w:rsidR="00416E21">
        <w:rPr>
          <w:szCs w:val="22"/>
        </w:rPr>
        <w:t>WEA T</w:t>
      </w:r>
      <w:r w:rsidR="000C6CB2">
        <w:rPr>
          <w:szCs w:val="22"/>
        </w:rPr>
        <w:t xml:space="preserve">ests would </w:t>
      </w:r>
      <w:r w:rsidR="000B3817">
        <w:rPr>
          <w:szCs w:val="22"/>
        </w:rPr>
        <w:t>provide “an</w:t>
      </w:r>
      <w:r w:rsidR="000B3817">
        <w:t xml:space="preserve"> opportunity to test in an environment that mirrors actual alert conditions and evaluate, for example, the accuracy with which various Participating CMS Providers geo-target Alert Messages in their community.</w:t>
      </w:r>
      <w:r w:rsidR="007077AC">
        <w:t>”</w:t>
      </w:r>
      <w:r>
        <w:rPr>
          <w:rStyle w:val="FootnoteReference"/>
        </w:rPr>
        <w:footnoteReference w:id="39"/>
      </w:r>
      <w:r w:rsidR="000B3817">
        <w:t xml:space="preserve"> </w:t>
      </w:r>
      <w:r w:rsidR="000B3817">
        <w:rPr>
          <w:szCs w:val="22"/>
        </w:rPr>
        <w:t xml:space="preserve"> </w:t>
      </w:r>
      <w:r w:rsidR="007C2CD1">
        <w:rPr>
          <w:szCs w:val="22"/>
        </w:rPr>
        <w:t>W</w:t>
      </w:r>
      <w:r>
        <w:rPr>
          <w:szCs w:val="22"/>
        </w:rPr>
        <w:t xml:space="preserve">e </w:t>
      </w:r>
      <w:r w:rsidR="007C2CD1">
        <w:rPr>
          <w:szCs w:val="22"/>
        </w:rPr>
        <w:t>note that</w:t>
      </w:r>
      <w:r w:rsidR="001F73EA">
        <w:rPr>
          <w:szCs w:val="22"/>
        </w:rPr>
        <w:t xml:space="preserve"> because </w:t>
      </w:r>
      <w:r w:rsidR="007C2CD1">
        <w:rPr>
          <w:szCs w:val="22"/>
        </w:rPr>
        <w:t xml:space="preserve">IPAWS cannot yet support State/Local </w:t>
      </w:r>
      <w:r w:rsidR="00204E0B">
        <w:rPr>
          <w:szCs w:val="22"/>
        </w:rPr>
        <w:t>WEA T</w:t>
      </w:r>
      <w:r w:rsidR="007C2CD1">
        <w:rPr>
          <w:szCs w:val="22"/>
        </w:rPr>
        <w:t>est</w:t>
      </w:r>
      <w:r w:rsidR="00204E0B">
        <w:rPr>
          <w:szCs w:val="22"/>
        </w:rPr>
        <w:t>s</w:t>
      </w:r>
      <w:r w:rsidR="007C2CD1">
        <w:rPr>
          <w:szCs w:val="22"/>
        </w:rPr>
        <w:t>,</w:t>
      </w:r>
      <w:r>
        <w:rPr>
          <w:rStyle w:val="FootnoteReference"/>
          <w:szCs w:val="22"/>
        </w:rPr>
        <w:footnoteReference w:id="40"/>
      </w:r>
      <w:r w:rsidR="007C2CD1">
        <w:rPr>
          <w:szCs w:val="22"/>
        </w:rPr>
        <w:t xml:space="preserve"> T-Mobile would </w:t>
      </w:r>
      <w:r w:rsidR="0093229F">
        <w:rPr>
          <w:szCs w:val="22"/>
        </w:rPr>
        <w:t xml:space="preserve">conduct its test by </w:t>
      </w:r>
      <w:r w:rsidR="00E334A9">
        <w:rPr>
          <w:szCs w:val="22"/>
        </w:rPr>
        <w:t xml:space="preserve">inserting the test message at CMS </w:t>
      </w:r>
      <w:r w:rsidR="00416E21">
        <w:rPr>
          <w:szCs w:val="22"/>
        </w:rPr>
        <w:t>g</w:t>
      </w:r>
      <w:r w:rsidR="00E334A9">
        <w:rPr>
          <w:szCs w:val="22"/>
        </w:rPr>
        <w:t>ateway.</w:t>
      </w:r>
      <w:r>
        <w:rPr>
          <w:rStyle w:val="FootnoteReference"/>
          <w:szCs w:val="22"/>
        </w:rPr>
        <w:footnoteReference w:id="41"/>
      </w:r>
      <w:r w:rsidR="006249A9">
        <w:rPr>
          <w:szCs w:val="22"/>
        </w:rPr>
        <w:t xml:space="preserve"> </w:t>
      </w:r>
      <w:r w:rsidR="00E334A9">
        <w:rPr>
          <w:szCs w:val="22"/>
        </w:rPr>
        <w:t xml:space="preserve"> </w:t>
      </w:r>
      <w:r w:rsidR="007C2CD1">
        <w:rPr>
          <w:szCs w:val="22"/>
        </w:rPr>
        <w:t xml:space="preserve">T-Mobile </w:t>
      </w:r>
      <w:r w:rsidR="000B3817">
        <w:rPr>
          <w:szCs w:val="22"/>
        </w:rPr>
        <w:t xml:space="preserve">has confirmed </w:t>
      </w:r>
      <w:r w:rsidR="00204E0B">
        <w:rPr>
          <w:szCs w:val="22"/>
        </w:rPr>
        <w:t xml:space="preserve">that </w:t>
      </w:r>
      <w:r w:rsidR="000B3817">
        <w:rPr>
          <w:szCs w:val="22"/>
        </w:rPr>
        <w:t xml:space="preserve">it </w:t>
      </w:r>
      <w:r w:rsidR="007C2CD1">
        <w:rPr>
          <w:szCs w:val="22"/>
        </w:rPr>
        <w:t>is ready to support</w:t>
      </w:r>
      <w:r w:rsidR="00204E0B">
        <w:rPr>
          <w:szCs w:val="22"/>
        </w:rPr>
        <w:t xml:space="preserve"> </w:t>
      </w:r>
      <w:r w:rsidR="007C2CD1">
        <w:rPr>
          <w:szCs w:val="22"/>
        </w:rPr>
        <w:t xml:space="preserve">State/Local </w:t>
      </w:r>
      <w:r w:rsidR="00204E0B">
        <w:rPr>
          <w:szCs w:val="22"/>
        </w:rPr>
        <w:t>WEA T</w:t>
      </w:r>
      <w:r w:rsidR="007C2CD1">
        <w:rPr>
          <w:szCs w:val="22"/>
        </w:rPr>
        <w:t>est</w:t>
      </w:r>
      <w:r w:rsidR="00204E0B">
        <w:rPr>
          <w:szCs w:val="22"/>
        </w:rPr>
        <w:t>s</w:t>
      </w:r>
      <w:r w:rsidR="007C2CD1">
        <w:rPr>
          <w:szCs w:val="22"/>
        </w:rPr>
        <w:t>.</w:t>
      </w:r>
      <w:r>
        <w:rPr>
          <w:rStyle w:val="FootnoteReference"/>
          <w:szCs w:val="22"/>
        </w:rPr>
        <w:footnoteReference w:id="42"/>
      </w:r>
      <w:r w:rsidR="007C2CD1">
        <w:rPr>
          <w:szCs w:val="22"/>
        </w:rPr>
        <w:t xml:space="preserve">  Accordingly, the test will only be displayed on the mobile devices of T-Mobile subscribers who have opted in to receive State/Local </w:t>
      </w:r>
      <w:r w:rsidR="00204E0B">
        <w:rPr>
          <w:szCs w:val="22"/>
        </w:rPr>
        <w:t>WEA T</w:t>
      </w:r>
      <w:r w:rsidR="007C2CD1">
        <w:rPr>
          <w:szCs w:val="22"/>
        </w:rPr>
        <w:t>ests</w:t>
      </w:r>
      <w:r w:rsidR="006249A9">
        <w:rPr>
          <w:szCs w:val="22"/>
        </w:rPr>
        <w:t>, in compliance with the Commission’s rules</w:t>
      </w:r>
      <w:r w:rsidR="007C2CD1">
        <w:rPr>
          <w:szCs w:val="22"/>
        </w:rPr>
        <w:t>.</w:t>
      </w:r>
      <w:r>
        <w:rPr>
          <w:rStyle w:val="FootnoteReference"/>
          <w:szCs w:val="22"/>
        </w:rPr>
        <w:footnoteReference w:id="43"/>
      </w:r>
      <w:r w:rsidR="007C2CD1">
        <w:rPr>
          <w:szCs w:val="22"/>
        </w:rPr>
        <w:t xml:space="preserve">  </w:t>
      </w:r>
    </w:p>
    <w:p w:rsidR="008F7876" w:rsidP="00E43B5C" w14:paraId="3D855837" w14:textId="5E145487">
      <w:pPr>
        <w:widowControl/>
        <w:numPr>
          <w:ilvl w:val="0"/>
          <w:numId w:val="2"/>
        </w:numPr>
        <w:tabs>
          <w:tab w:val="clear" w:pos="1080"/>
          <w:tab w:val="num" w:pos="1440"/>
        </w:tabs>
        <w:spacing w:after="120"/>
        <w:rPr>
          <w:szCs w:val="22"/>
        </w:rPr>
      </w:pPr>
      <w:r>
        <w:rPr>
          <w:szCs w:val="22"/>
        </w:rPr>
        <w:t>In light of the foregoing</w:t>
      </w:r>
      <w:r w:rsidRPr="00E43B5C" w:rsidR="00D54D2A">
        <w:rPr>
          <w:szCs w:val="22"/>
        </w:rPr>
        <w:t xml:space="preserve">, </w:t>
      </w:r>
      <w:r w:rsidR="00D713CD">
        <w:rPr>
          <w:szCs w:val="22"/>
        </w:rPr>
        <w:t xml:space="preserve">we </w:t>
      </w:r>
      <w:r w:rsidRPr="00E43B5C" w:rsidR="00D54D2A">
        <w:rPr>
          <w:szCs w:val="22"/>
        </w:rPr>
        <w:t xml:space="preserve">grant </w:t>
      </w:r>
      <w:r w:rsidR="00E43B5C">
        <w:rPr>
          <w:szCs w:val="22"/>
        </w:rPr>
        <w:t xml:space="preserve">T-Mobile </w:t>
      </w:r>
      <w:r w:rsidRPr="00E43B5C" w:rsidR="00D54D2A">
        <w:rPr>
          <w:szCs w:val="22"/>
        </w:rPr>
        <w:t>a limited waiver of the Commission’s WEA rules</w:t>
      </w:r>
      <w:r w:rsidRPr="00E43B5C" w:rsidR="00A71E3D">
        <w:rPr>
          <w:szCs w:val="22"/>
        </w:rPr>
        <w:t xml:space="preserve"> </w:t>
      </w:r>
      <w:r w:rsidRPr="00E43B5C" w:rsidR="00D54D2A">
        <w:rPr>
          <w:szCs w:val="22"/>
        </w:rPr>
        <w:t>to conduct</w:t>
      </w:r>
      <w:r w:rsidR="00D713CD">
        <w:rPr>
          <w:szCs w:val="22"/>
        </w:rPr>
        <w:t xml:space="preserve"> State/Local WEA Tests in Bellevue, Washington and Concord, California on </w:t>
      </w:r>
      <w:r w:rsidR="0046326C">
        <w:rPr>
          <w:szCs w:val="22"/>
        </w:rPr>
        <w:t xml:space="preserve">November </w:t>
      </w:r>
      <w:r w:rsidRPr="003730EE" w:rsidR="009C03D9">
        <w:rPr>
          <w:szCs w:val="22"/>
        </w:rPr>
        <w:t>4</w:t>
      </w:r>
      <w:r w:rsidRPr="003730EE" w:rsidR="00D713CD">
        <w:rPr>
          <w:szCs w:val="22"/>
        </w:rPr>
        <w:t xml:space="preserve"> and November </w:t>
      </w:r>
      <w:r w:rsidRPr="003730EE" w:rsidR="009C03D9">
        <w:rPr>
          <w:szCs w:val="22"/>
        </w:rPr>
        <w:t>14</w:t>
      </w:r>
      <w:r w:rsidRPr="003730EE" w:rsidR="00D713CD">
        <w:rPr>
          <w:szCs w:val="22"/>
        </w:rPr>
        <w:t>, 2019</w:t>
      </w:r>
      <w:r w:rsidR="00D713CD">
        <w:rPr>
          <w:szCs w:val="22"/>
        </w:rPr>
        <w:t>, respectively, or on the respective back-up dates referenced in T-Mobile’s letter.</w:t>
      </w:r>
      <w:r>
        <w:rPr>
          <w:rStyle w:val="FootnoteReference"/>
          <w:szCs w:val="22"/>
        </w:rPr>
        <w:footnoteReference w:id="44"/>
      </w:r>
      <w:r w:rsidR="00D713CD">
        <w:rPr>
          <w:szCs w:val="22"/>
        </w:rPr>
        <w:t xml:space="preserve"> </w:t>
      </w:r>
    </w:p>
    <w:p w:rsidR="00FE13DB" w:rsidRPr="00E43B5C" w:rsidP="00E43B5C" w14:paraId="34E1BDAB" w14:textId="21960178">
      <w:pPr>
        <w:widowControl/>
        <w:numPr>
          <w:ilvl w:val="0"/>
          <w:numId w:val="2"/>
        </w:numPr>
        <w:tabs>
          <w:tab w:val="clear" w:pos="1080"/>
          <w:tab w:val="num" w:pos="1440"/>
        </w:tabs>
        <w:spacing w:after="120"/>
        <w:rPr>
          <w:szCs w:val="22"/>
        </w:rPr>
      </w:pPr>
      <w:r>
        <w:rPr>
          <w:szCs w:val="22"/>
        </w:rPr>
        <w:t xml:space="preserve">Specifically, </w:t>
      </w:r>
      <w:r w:rsidR="0046326C">
        <w:rPr>
          <w:szCs w:val="22"/>
        </w:rPr>
        <w:t>w</w:t>
      </w:r>
      <w:r>
        <w:rPr>
          <w:szCs w:val="22"/>
        </w:rPr>
        <w:t>e waive Section 10.320</w:t>
      </w:r>
      <w:r w:rsidR="009D79FF">
        <w:rPr>
          <w:szCs w:val="22"/>
        </w:rPr>
        <w:t>, as</w:t>
      </w:r>
      <w:r>
        <w:rPr>
          <w:szCs w:val="22"/>
        </w:rPr>
        <w:t xml:space="preserve"> it </w:t>
      </w:r>
      <w:r>
        <w:rPr>
          <w:szCs w:val="22"/>
        </w:rPr>
        <w:t>pertains to specific</w:t>
      </w:r>
      <w:r>
        <w:rPr>
          <w:szCs w:val="22"/>
        </w:rPr>
        <w:t xml:space="preserve"> functions that </w:t>
      </w:r>
      <w:r w:rsidRPr="009448FB">
        <w:rPr>
          <w:szCs w:val="22"/>
        </w:rPr>
        <w:t xml:space="preserve">that </w:t>
      </w:r>
      <w:r>
        <w:rPr>
          <w:szCs w:val="22"/>
        </w:rPr>
        <w:t xml:space="preserve">the CMS gateway </w:t>
      </w:r>
      <w:r>
        <w:rPr>
          <w:szCs w:val="22"/>
        </w:rPr>
        <w:t>must</w:t>
      </w:r>
      <w:r w:rsidRPr="009448FB">
        <w:rPr>
          <w:szCs w:val="22"/>
        </w:rPr>
        <w:t xml:space="preserve"> </w:t>
      </w:r>
      <w:r w:rsidR="009D79FF">
        <w:rPr>
          <w:szCs w:val="22"/>
        </w:rPr>
        <w:t xml:space="preserve">support and perform </w:t>
      </w:r>
      <w:r>
        <w:rPr>
          <w:szCs w:val="22"/>
        </w:rPr>
        <w:t>with respect to</w:t>
      </w:r>
      <w:r w:rsidR="009D79FF">
        <w:rPr>
          <w:szCs w:val="22"/>
        </w:rPr>
        <w:t xml:space="preserve"> the </w:t>
      </w:r>
      <w:r>
        <w:rPr>
          <w:szCs w:val="22"/>
        </w:rPr>
        <w:t>IPAWS gateway.</w:t>
      </w:r>
      <w:r>
        <w:rPr>
          <w:rStyle w:val="FootnoteReference"/>
          <w:szCs w:val="22"/>
        </w:rPr>
        <w:footnoteReference w:id="45"/>
      </w:r>
      <w:r w:rsidR="009D79FF">
        <w:rPr>
          <w:szCs w:val="22"/>
        </w:rPr>
        <w:t xml:space="preserve">  We also waive Section 10.350, because the CMS gateway will not receive the test from FEMA, as described in Section </w:t>
      </w:r>
      <w:r w:rsidR="009D79FF">
        <w:rPr>
          <w:szCs w:val="22"/>
        </w:rPr>
        <w:t>10.350(c)(1)</w:t>
      </w:r>
      <w:r w:rsidRPr="009448FB" w:rsidR="004535B7">
        <w:rPr>
          <w:szCs w:val="22"/>
        </w:rPr>
        <w:t>, but instead will be initiated by T-Mobile directly</w:t>
      </w:r>
      <w:r w:rsidRPr="009448FB" w:rsidR="009D79FF">
        <w:rPr>
          <w:szCs w:val="22"/>
        </w:rPr>
        <w:t>.</w:t>
      </w:r>
      <w:r>
        <w:rPr>
          <w:rStyle w:val="FootnoteReference"/>
          <w:szCs w:val="22"/>
        </w:rPr>
        <w:footnoteReference w:id="46"/>
      </w:r>
      <w:r w:rsidRPr="009448FB" w:rsidR="009D79FF">
        <w:rPr>
          <w:szCs w:val="22"/>
        </w:rPr>
        <w:t xml:space="preserve"> </w:t>
      </w:r>
      <w:r w:rsidR="009D79FF">
        <w:rPr>
          <w:szCs w:val="22"/>
        </w:rPr>
        <w:t xml:space="preserve"> We waive </w:t>
      </w:r>
      <w:r w:rsidRPr="00FE13DB">
        <w:rPr>
          <w:szCs w:val="22"/>
        </w:rPr>
        <w:t>Section 10.5</w:t>
      </w:r>
      <w:r w:rsidR="00AB44D7">
        <w:rPr>
          <w:szCs w:val="22"/>
        </w:rPr>
        <w:t>2</w:t>
      </w:r>
      <w:r w:rsidRPr="00FE13DB">
        <w:rPr>
          <w:szCs w:val="22"/>
        </w:rPr>
        <w:t>0(</w:t>
      </w:r>
      <w:r w:rsidR="00AB44D7">
        <w:rPr>
          <w:szCs w:val="22"/>
        </w:rPr>
        <w:t>d</w:t>
      </w:r>
      <w:r w:rsidRPr="00FE13DB">
        <w:rPr>
          <w:szCs w:val="22"/>
        </w:rPr>
        <w:t>)</w:t>
      </w:r>
      <w:r w:rsidR="00AB44D7">
        <w:rPr>
          <w:szCs w:val="22"/>
        </w:rPr>
        <w:t>, as requested by T-Mobile,</w:t>
      </w:r>
      <w:r w:rsidRPr="00FE13DB">
        <w:rPr>
          <w:szCs w:val="22"/>
        </w:rPr>
        <w:t xml:space="preserve"> </w:t>
      </w:r>
      <w:r w:rsidR="009D79FF">
        <w:rPr>
          <w:szCs w:val="22"/>
        </w:rPr>
        <w:t xml:space="preserve">because </w:t>
      </w:r>
      <w:r w:rsidR="00AB44D7">
        <w:rPr>
          <w:szCs w:val="22"/>
        </w:rPr>
        <w:t>that Section</w:t>
      </w:r>
      <w:r w:rsidR="009D79FF">
        <w:rPr>
          <w:szCs w:val="22"/>
        </w:rPr>
        <w:t xml:space="preserve"> limits the use of the WEA attention signal to, </w:t>
      </w:r>
      <w:r w:rsidRPr="009D79FF" w:rsidR="009D79FF">
        <w:rPr>
          <w:i/>
          <w:szCs w:val="22"/>
        </w:rPr>
        <w:t>inter alia</w:t>
      </w:r>
      <w:r w:rsidR="009D79FF">
        <w:rPr>
          <w:szCs w:val="22"/>
        </w:rPr>
        <w:t xml:space="preserve">, authorized tests, and this State/Local WEA Test will deviate from the </w:t>
      </w:r>
      <w:r w:rsidR="00AB44D7">
        <w:rPr>
          <w:szCs w:val="22"/>
        </w:rPr>
        <w:t>testing</w:t>
      </w:r>
      <w:r w:rsidR="009D79FF">
        <w:rPr>
          <w:szCs w:val="22"/>
        </w:rPr>
        <w:t xml:space="preserve"> authorized by 10.350(c).</w:t>
      </w:r>
      <w:r>
        <w:rPr>
          <w:rStyle w:val="FootnoteReference"/>
          <w:szCs w:val="22"/>
        </w:rPr>
        <w:footnoteReference w:id="47"/>
      </w:r>
      <w:r w:rsidR="00AB44D7">
        <w:rPr>
          <w:szCs w:val="22"/>
        </w:rPr>
        <w:t xml:space="preserve">  We also waive Sections 10.530(b) and </w:t>
      </w:r>
      <w:r w:rsidRPr="00FE13DB">
        <w:rPr>
          <w:szCs w:val="22"/>
        </w:rPr>
        <w:t xml:space="preserve">11.45 on our own initiative.  </w:t>
      </w:r>
      <w:r w:rsidR="00AB44D7">
        <w:rPr>
          <w:szCs w:val="22"/>
        </w:rPr>
        <w:t>We waive 10.530(b) because, like the WEA attention signal, use of the WEA vibration cadence is restricted to those authorized by part 10.</w:t>
      </w:r>
      <w:r>
        <w:rPr>
          <w:rStyle w:val="FootnoteReference"/>
          <w:szCs w:val="22"/>
        </w:rPr>
        <w:footnoteReference w:id="48"/>
      </w:r>
      <w:r w:rsidR="00AB44D7">
        <w:rPr>
          <w:szCs w:val="22"/>
        </w:rPr>
        <w:t xml:space="preserve">  We waive Section 11.45 insofar as the WEA attention signal may be confused for the Emergency Alert System (EAS) attention signal because they consist of the same fundamental frequencies.</w:t>
      </w:r>
      <w:r>
        <w:rPr>
          <w:rStyle w:val="FootnoteReference"/>
          <w:szCs w:val="22"/>
        </w:rPr>
        <w:footnoteReference w:id="49"/>
      </w:r>
    </w:p>
    <w:p w:rsidR="006A7F29" w:rsidRPr="0046326C" w:rsidP="003763BD" w14:paraId="6E9DB1DB" w14:textId="4E9F568F">
      <w:pPr>
        <w:widowControl/>
        <w:numPr>
          <w:ilvl w:val="0"/>
          <w:numId w:val="2"/>
        </w:numPr>
        <w:tabs>
          <w:tab w:val="clear" w:pos="1080"/>
          <w:tab w:val="num" w:pos="1440"/>
        </w:tabs>
        <w:spacing w:after="120"/>
        <w:rPr>
          <w:szCs w:val="22"/>
        </w:rPr>
      </w:pPr>
      <w:r w:rsidRPr="0046326C">
        <w:rPr>
          <w:szCs w:val="22"/>
        </w:rPr>
        <w:t>To ensure that the public is not misled into believing that the test is an actual warning</w:t>
      </w:r>
      <w:r w:rsidRPr="0046326C" w:rsidR="00A6225F">
        <w:rPr>
          <w:szCs w:val="22"/>
        </w:rPr>
        <w:t>,</w:t>
      </w:r>
      <w:r w:rsidRPr="0046326C">
        <w:rPr>
          <w:szCs w:val="22"/>
        </w:rPr>
        <w:t xml:space="preserve"> we condition this waiver on the full implementation outreach plan described in the </w:t>
      </w:r>
      <w:r w:rsidRPr="0046326C" w:rsidR="00E167CD">
        <w:rPr>
          <w:szCs w:val="22"/>
        </w:rPr>
        <w:t>T-Mobile</w:t>
      </w:r>
      <w:r w:rsidRPr="0046326C">
        <w:rPr>
          <w:szCs w:val="22"/>
        </w:rPr>
        <w:t xml:space="preserve"> </w:t>
      </w:r>
      <w:r w:rsidRPr="0046326C" w:rsidR="0011351E">
        <w:rPr>
          <w:szCs w:val="22"/>
        </w:rPr>
        <w:t>letter</w:t>
      </w:r>
      <w:r w:rsidRPr="0046326C" w:rsidR="004B51B0">
        <w:rPr>
          <w:szCs w:val="22"/>
        </w:rPr>
        <w:t>.  The T-Mobile outreach plan is less extensive than that conducted by other authorized alert originators to whom we have granted WEA testing waivers.</w:t>
      </w:r>
      <w:r>
        <w:rPr>
          <w:rStyle w:val="FootnoteReference"/>
          <w:szCs w:val="22"/>
        </w:rPr>
        <w:footnoteReference w:id="50"/>
      </w:r>
      <w:r w:rsidRPr="0046326C" w:rsidR="004B51B0">
        <w:rPr>
          <w:szCs w:val="22"/>
        </w:rPr>
        <w:t xml:space="preserve">  </w:t>
      </w:r>
      <w:r w:rsidRPr="0046326C" w:rsidR="0046326C">
        <w:rPr>
          <w:szCs w:val="22"/>
        </w:rPr>
        <w:t>We find that less extensive outreach is warranted in this case because prior end-to-end tests were delivered to everyone with a WEA-capable mobile device within the target area, whereas this test will only be delivered to T-Mobile subscribers who have chosen to receive tests of this kind.  Indeed, more extensive outreach for this test could risk undue concern or confusion because recipients of broader outreach would include those who have not opted in to receive State/Local tests and, as such, would not receive the T-Mobile test messages that would be the subject of the outreach.</w:t>
      </w:r>
    </w:p>
    <w:p w:rsidR="006A7F29" w:rsidRPr="008F61D1" w:rsidP="003763BD" w14:paraId="3F5FADA0" w14:textId="126CCB8D">
      <w:pPr>
        <w:widowControl/>
        <w:numPr>
          <w:ilvl w:val="0"/>
          <w:numId w:val="2"/>
        </w:numPr>
        <w:tabs>
          <w:tab w:val="clear" w:pos="1080"/>
          <w:tab w:val="num" w:pos="1440"/>
        </w:tabs>
        <w:spacing w:after="120"/>
        <w:rPr>
          <w:szCs w:val="22"/>
        </w:rPr>
      </w:pPr>
      <w:bookmarkStart w:id="3" w:name="_GoBack"/>
      <w:bookmarkEnd w:id="3"/>
      <w:r w:rsidRPr="00641BA8">
        <w:rPr>
          <w:szCs w:val="22"/>
        </w:rPr>
        <w:t>We further condition this waiver to require that the test</w:t>
      </w:r>
      <w:r>
        <w:rPr>
          <w:szCs w:val="22"/>
        </w:rPr>
        <w:t xml:space="preserve">s </w:t>
      </w:r>
      <w:r w:rsidRPr="00641BA8">
        <w:rPr>
          <w:szCs w:val="22"/>
        </w:rPr>
        <w:t xml:space="preserve">may only be conducted </w:t>
      </w:r>
      <w:r>
        <w:rPr>
          <w:szCs w:val="22"/>
        </w:rPr>
        <w:t xml:space="preserve">in a manner that is consistent with the T-Mobile Waiver Request and </w:t>
      </w:r>
      <w:r w:rsidRPr="00641BA8">
        <w:rPr>
          <w:szCs w:val="22"/>
        </w:rPr>
        <w:t>may only be conducted for the purposes described therein</w:t>
      </w:r>
      <w:r>
        <w:rPr>
          <w:szCs w:val="22"/>
        </w:rPr>
        <w:t>.</w:t>
      </w:r>
      <w:r w:rsidRPr="008F61D1">
        <w:rPr>
          <w:szCs w:val="22"/>
        </w:rPr>
        <w:t xml:space="preserve"> </w:t>
      </w:r>
      <w:r>
        <w:rPr>
          <w:szCs w:val="22"/>
        </w:rPr>
        <w:t xml:space="preserve"> </w:t>
      </w:r>
      <w:r w:rsidRPr="008F61D1" w:rsidR="004B391A">
        <w:rPr>
          <w:szCs w:val="22"/>
        </w:rPr>
        <w:t xml:space="preserve">We also require that </w:t>
      </w:r>
      <w:bookmarkStart w:id="4" w:name="_Hlk523327683"/>
      <w:r w:rsidRPr="008F61D1" w:rsidR="004B391A">
        <w:rPr>
          <w:szCs w:val="22"/>
        </w:rPr>
        <w:t xml:space="preserve">the test and any post-test analysis and reports </w:t>
      </w:r>
      <w:bookmarkEnd w:id="4"/>
      <w:r w:rsidRPr="008F61D1" w:rsidR="004B391A">
        <w:rPr>
          <w:szCs w:val="22"/>
        </w:rPr>
        <w:t xml:space="preserve">that </w:t>
      </w:r>
      <w:r w:rsidRPr="008F61D1" w:rsidR="0093540F">
        <w:rPr>
          <w:szCs w:val="22"/>
        </w:rPr>
        <w:t>T-Mobile</w:t>
      </w:r>
      <w:r w:rsidRPr="008F61D1" w:rsidR="002178D2">
        <w:rPr>
          <w:szCs w:val="22"/>
        </w:rPr>
        <w:t xml:space="preserve"> </w:t>
      </w:r>
      <w:r w:rsidRPr="008F61D1" w:rsidR="004B391A">
        <w:rPr>
          <w:szCs w:val="22"/>
        </w:rPr>
        <w:t>may conduct or cause to be produced are done in a manner consistent with customers’ expectations of privacy, confidentiality of Participating CMS Providers’ network information, and the overall security of the WEA systems and infrastructure.</w:t>
      </w:r>
      <w:r>
        <w:rPr>
          <w:szCs w:val="22"/>
          <w:vertAlign w:val="superscript"/>
        </w:rPr>
        <w:footnoteReference w:id="51"/>
      </w:r>
      <w:r w:rsidRPr="008F61D1" w:rsidR="004B391A">
        <w:rPr>
          <w:szCs w:val="22"/>
        </w:rPr>
        <w:t xml:space="preserve">  We encourage </w:t>
      </w:r>
      <w:r w:rsidRPr="008F61D1" w:rsidR="00681427">
        <w:rPr>
          <w:szCs w:val="22"/>
        </w:rPr>
        <w:t xml:space="preserve">T-Mobile </w:t>
      </w:r>
      <w:r w:rsidRPr="008F61D1" w:rsidR="004B391A">
        <w:rPr>
          <w:szCs w:val="22"/>
        </w:rPr>
        <w:t xml:space="preserve">to report its test results in electronic format to the Bureau.  Finally, we encourage members of the public who wish to share their experience with the test to do so by filing a description of that experience with the FCC’s Public Safety Support Center at </w:t>
      </w:r>
      <w:hyperlink r:id="rId5" w:history="1">
        <w:r w:rsidRPr="008F61D1" w:rsidR="004B391A">
          <w:rPr>
            <w:color w:val="0000FF"/>
            <w:szCs w:val="22"/>
            <w:u w:val="single"/>
          </w:rPr>
          <w:t>https://www.fcc.gov/general/public-safety-support-center</w:t>
        </w:r>
      </w:hyperlink>
      <w:r w:rsidRPr="008F61D1" w:rsidR="004B391A">
        <w:rPr>
          <w:szCs w:val="22"/>
        </w:rPr>
        <w:t>.</w:t>
      </w:r>
    </w:p>
    <w:p w:rsidR="006A7F29" w:rsidRPr="006A7F29" w:rsidP="003763BD" w14:paraId="5494A34C" w14:textId="77777777">
      <w:pPr>
        <w:keepNext/>
        <w:widowControl/>
        <w:numPr>
          <w:ilvl w:val="0"/>
          <w:numId w:val="3"/>
        </w:numPr>
        <w:tabs>
          <w:tab w:val="left" w:pos="720"/>
        </w:tabs>
        <w:suppressAutoHyphens/>
        <w:spacing w:after="120"/>
        <w:outlineLvl w:val="0"/>
        <w:rPr>
          <w:b/>
          <w:caps/>
          <w:szCs w:val="22"/>
        </w:rPr>
      </w:pPr>
      <w:r w:rsidRPr="006A7F29">
        <w:rPr>
          <w:b/>
          <w:caps/>
          <w:szCs w:val="22"/>
        </w:rPr>
        <w:t>ordering clause</w:t>
      </w:r>
    </w:p>
    <w:p w:rsidR="006A7F29" w:rsidRPr="00D13C1F" w:rsidP="003763BD" w14:paraId="501059E9" w14:textId="055A8809">
      <w:pPr>
        <w:widowControl/>
        <w:numPr>
          <w:ilvl w:val="0"/>
          <w:numId w:val="2"/>
        </w:numPr>
        <w:tabs>
          <w:tab w:val="clear" w:pos="1080"/>
          <w:tab w:val="num" w:pos="1440"/>
        </w:tabs>
        <w:spacing w:after="120"/>
        <w:rPr>
          <w:szCs w:val="22"/>
        </w:rPr>
      </w:pPr>
      <w:r w:rsidRPr="00D13C1F">
        <w:rPr>
          <w:szCs w:val="22"/>
        </w:rPr>
        <w:t>Accordingly, IT IS ORDERED that, pursuant to section 4(i) of the Communications Act of 1934, as amended, 47 U.S.C. § 154(i), and section 1.3 of the Commission’s rules, 47 CFR § 1.3, that sections 10.</w:t>
      </w:r>
      <w:r w:rsidR="008F61D1">
        <w:rPr>
          <w:szCs w:val="22"/>
        </w:rPr>
        <w:t>320</w:t>
      </w:r>
      <w:r w:rsidRPr="00D13C1F">
        <w:rPr>
          <w:szCs w:val="22"/>
        </w:rPr>
        <w:t xml:space="preserve">, </w:t>
      </w:r>
      <w:r w:rsidR="00FE13DB">
        <w:rPr>
          <w:szCs w:val="22"/>
        </w:rPr>
        <w:t>10.350 ,</w:t>
      </w:r>
      <w:r w:rsidRPr="00D13C1F">
        <w:rPr>
          <w:szCs w:val="22"/>
        </w:rPr>
        <w:t>10.520(d), 10.530(b), and 11.45 of the Commission’s rules, 47 CFR §§ 10.</w:t>
      </w:r>
      <w:r w:rsidR="00FE13DB">
        <w:rPr>
          <w:szCs w:val="22"/>
        </w:rPr>
        <w:t>320</w:t>
      </w:r>
      <w:r w:rsidRPr="00D13C1F">
        <w:rPr>
          <w:szCs w:val="22"/>
        </w:rPr>
        <w:t>,</w:t>
      </w:r>
      <w:r w:rsidR="00FE13DB">
        <w:rPr>
          <w:szCs w:val="22"/>
        </w:rPr>
        <w:t xml:space="preserve"> 10.350,</w:t>
      </w:r>
      <w:r w:rsidRPr="00D13C1F">
        <w:rPr>
          <w:szCs w:val="22"/>
        </w:rPr>
        <w:t xml:space="preserve"> 10.520(d), 10.530(b), and 11.45 of the Commission’s rules, ARE WAIVED, to allow </w:t>
      </w:r>
      <w:r w:rsidR="00FE13DB">
        <w:rPr>
          <w:szCs w:val="22"/>
        </w:rPr>
        <w:t xml:space="preserve">T-Mobile to </w:t>
      </w:r>
      <w:r w:rsidRPr="00D13C1F">
        <w:rPr>
          <w:szCs w:val="22"/>
        </w:rPr>
        <w:t xml:space="preserve">test </w:t>
      </w:r>
      <w:r w:rsidR="00FE13DB">
        <w:rPr>
          <w:szCs w:val="22"/>
        </w:rPr>
        <w:t xml:space="preserve">its enhanced WEA geotargeting capability in Bellevue, Washington on </w:t>
      </w:r>
      <w:r w:rsidR="009C03D9">
        <w:rPr>
          <w:szCs w:val="22"/>
        </w:rPr>
        <w:t>November 4</w:t>
      </w:r>
      <w:r w:rsidR="00FE13DB">
        <w:rPr>
          <w:szCs w:val="22"/>
        </w:rPr>
        <w:t xml:space="preserve">, 2019 or November </w:t>
      </w:r>
      <w:r w:rsidR="009C03D9">
        <w:rPr>
          <w:szCs w:val="22"/>
        </w:rPr>
        <w:t>7</w:t>
      </w:r>
      <w:r w:rsidR="00FE13DB">
        <w:rPr>
          <w:szCs w:val="22"/>
        </w:rPr>
        <w:t xml:space="preserve">, 2019, and in Concord, California on November </w:t>
      </w:r>
      <w:r w:rsidR="009C03D9">
        <w:rPr>
          <w:szCs w:val="22"/>
        </w:rPr>
        <w:t>14</w:t>
      </w:r>
      <w:r w:rsidR="00FE13DB">
        <w:rPr>
          <w:szCs w:val="22"/>
        </w:rPr>
        <w:t xml:space="preserve">, 2019 or November </w:t>
      </w:r>
      <w:r w:rsidR="009C03D9">
        <w:rPr>
          <w:szCs w:val="22"/>
        </w:rPr>
        <w:t>15</w:t>
      </w:r>
      <w:r w:rsidR="00FE13DB">
        <w:rPr>
          <w:szCs w:val="22"/>
        </w:rPr>
        <w:t xml:space="preserve">, 2019, </w:t>
      </w:r>
      <w:r w:rsidRPr="00D13C1F">
        <w:rPr>
          <w:szCs w:val="22"/>
        </w:rPr>
        <w:t>which test</w:t>
      </w:r>
      <w:r w:rsidR="00FE13DB">
        <w:rPr>
          <w:szCs w:val="22"/>
        </w:rPr>
        <w:t>s</w:t>
      </w:r>
      <w:r w:rsidRPr="00D13C1F">
        <w:rPr>
          <w:szCs w:val="22"/>
        </w:rPr>
        <w:t xml:space="preserve"> must be conducted subject to the conditions described herein.  This action is taken under delegated authority pursuant to Sections 0.191 and 0.392 of the Commission’s rules, 47 CFR §§ 0.191 and 0.392.</w:t>
      </w:r>
    </w:p>
    <w:p w:rsidR="006A7F29" w:rsidRPr="006A7F29" w:rsidP="003763BD" w14:paraId="1E562A45" w14:textId="77777777">
      <w:pPr>
        <w:widowControl/>
        <w:spacing w:after="120"/>
        <w:rPr>
          <w:szCs w:val="22"/>
        </w:rPr>
      </w:pPr>
    </w:p>
    <w:p w:rsidR="006A7F29" w:rsidRPr="006A7F29" w:rsidP="003763BD" w14:paraId="6AA05EBF" w14:textId="77777777">
      <w:pPr>
        <w:keepNext/>
        <w:widowControl/>
        <w:spacing w:before="154"/>
        <w:ind w:left="3577" w:firstLine="720"/>
        <w:rPr>
          <w:snapToGrid/>
          <w:kern w:val="0"/>
          <w:szCs w:val="22"/>
        </w:rPr>
      </w:pPr>
      <w:r w:rsidRPr="006A7F29">
        <w:rPr>
          <w:snapToGrid/>
          <w:spacing w:val="-1"/>
          <w:kern w:val="0"/>
          <w:szCs w:val="22"/>
        </w:rPr>
        <w:t>FEDERAL</w:t>
      </w:r>
      <w:r w:rsidRPr="006A7F29">
        <w:rPr>
          <w:snapToGrid/>
          <w:kern w:val="0"/>
          <w:szCs w:val="22"/>
        </w:rPr>
        <w:t xml:space="preserve"> </w:t>
      </w:r>
      <w:r w:rsidRPr="006A7F29">
        <w:rPr>
          <w:snapToGrid/>
          <w:spacing w:val="-1"/>
          <w:kern w:val="0"/>
          <w:szCs w:val="22"/>
        </w:rPr>
        <w:t>COMMUNICATIONS</w:t>
      </w:r>
      <w:r w:rsidRPr="006A7F29">
        <w:rPr>
          <w:snapToGrid/>
          <w:kern w:val="0"/>
          <w:szCs w:val="22"/>
        </w:rPr>
        <w:t xml:space="preserve"> </w:t>
      </w:r>
      <w:r w:rsidRPr="006A7F29">
        <w:rPr>
          <w:snapToGrid/>
          <w:spacing w:val="-1"/>
          <w:kern w:val="0"/>
          <w:szCs w:val="22"/>
        </w:rPr>
        <w:t>COMMISSION</w:t>
      </w:r>
    </w:p>
    <w:p w:rsidR="006A7F29" w:rsidRPr="006A7F29" w:rsidP="003763BD" w14:paraId="255FC2BE" w14:textId="77777777">
      <w:pPr>
        <w:keepNext/>
        <w:widowControl/>
        <w:rPr>
          <w:szCs w:val="22"/>
        </w:rPr>
      </w:pPr>
    </w:p>
    <w:p w:rsidR="006A7F29" w:rsidRPr="006A7F29" w:rsidP="003763BD" w14:paraId="65BEC871" w14:textId="77777777">
      <w:pPr>
        <w:keepNext/>
        <w:widowControl/>
        <w:rPr>
          <w:szCs w:val="22"/>
        </w:rPr>
      </w:pPr>
    </w:p>
    <w:p w:rsidR="006A7F29" w:rsidRPr="006A7F29" w:rsidP="003763BD" w14:paraId="631C7396" w14:textId="77777777">
      <w:pPr>
        <w:widowControl/>
        <w:rPr>
          <w:szCs w:val="22"/>
        </w:rPr>
      </w:pPr>
    </w:p>
    <w:p w:rsidR="006A7F29" w:rsidRPr="006A7F29" w:rsidP="003763BD" w14:paraId="558B27D8" w14:textId="77777777">
      <w:pPr>
        <w:widowControl/>
        <w:spacing w:before="2"/>
        <w:rPr>
          <w:szCs w:val="22"/>
        </w:rPr>
      </w:pPr>
    </w:p>
    <w:p w:rsidR="006A7F29" w:rsidRPr="006A7F29" w:rsidP="003763BD" w14:paraId="568467F4" w14:textId="77777777">
      <w:pPr>
        <w:widowControl/>
        <w:ind w:left="4297" w:right="3533"/>
        <w:jc w:val="center"/>
        <w:rPr>
          <w:snapToGrid/>
          <w:kern w:val="0"/>
          <w:szCs w:val="22"/>
        </w:rPr>
      </w:pPr>
      <w:bookmarkStart w:id="5" w:name="sp_999_4"/>
      <w:bookmarkStart w:id="6" w:name="SDU_4"/>
      <w:bookmarkStart w:id="7" w:name="_Hlk8895269"/>
      <w:bookmarkEnd w:id="5"/>
      <w:bookmarkEnd w:id="6"/>
      <w:r w:rsidRPr="006A7F29">
        <w:rPr>
          <w:snapToGrid/>
          <w:kern w:val="0"/>
          <w:szCs w:val="22"/>
        </w:rPr>
        <w:t>Nicole McGinnis</w:t>
      </w:r>
    </w:p>
    <w:p w:rsidR="006A7F29" w:rsidRPr="006A7F29" w:rsidP="003763BD" w14:paraId="3094D75B" w14:textId="77777777">
      <w:pPr>
        <w:widowControl/>
        <w:ind w:left="4680" w:right="271" w:hanging="360"/>
        <w:rPr>
          <w:snapToGrid/>
          <w:spacing w:val="-7"/>
          <w:kern w:val="0"/>
          <w:szCs w:val="22"/>
        </w:rPr>
      </w:pPr>
      <w:r w:rsidRPr="006A7F29">
        <w:rPr>
          <w:snapToGrid/>
          <w:kern w:val="0"/>
          <w:szCs w:val="22"/>
        </w:rPr>
        <w:t>Deputy Chief</w:t>
      </w:r>
    </w:p>
    <w:p w:rsidR="006A7F29" w:rsidRPr="006A7F29" w:rsidP="003763BD" w14:paraId="59167E1F" w14:textId="77777777">
      <w:pPr>
        <w:widowControl/>
        <w:ind w:left="4680" w:right="271" w:hanging="360"/>
        <w:rPr>
          <w:snapToGrid/>
          <w:kern w:val="0"/>
          <w:szCs w:val="22"/>
        </w:rPr>
      </w:pPr>
      <w:r w:rsidRPr="006A7F29">
        <w:rPr>
          <w:snapToGrid/>
          <w:spacing w:val="-1"/>
          <w:kern w:val="0"/>
          <w:szCs w:val="22"/>
        </w:rPr>
        <w:t>Public</w:t>
      </w:r>
      <w:r w:rsidRPr="006A7F29">
        <w:rPr>
          <w:snapToGrid/>
          <w:spacing w:val="-7"/>
          <w:kern w:val="0"/>
          <w:szCs w:val="22"/>
        </w:rPr>
        <w:t xml:space="preserve"> </w:t>
      </w:r>
      <w:r w:rsidRPr="006A7F29">
        <w:rPr>
          <w:snapToGrid/>
          <w:spacing w:val="-1"/>
          <w:kern w:val="0"/>
          <w:szCs w:val="22"/>
        </w:rPr>
        <w:t>Safety</w:t>
      </w:r>
      <w:r w:rsidRPr="006A7F29">
        <w:rPr>
          <w:snapToGrid/>
          <w:spacing w:val="-7"/>
          <w:kern w:val="0"/>
          <w:szCs w:val="22"/>
        </w:rPr>
        <w:t xml:space="preserve"> </w:t>
      </w:r>
      <w:r w:rsidRPr="006A7F29">
        <w:rPr>
          <w:snapToGrid/>
          <w:kern w:val="0"/>
          <w:szCs w:val="22"/>
        </w:rPr>
        <w:t>and</w:t>
      </w:r>
      <w:r w:rsidRPr="006A7F29">
        <w:rPr>
          <w:snapToGrid/>
          <w:spacing w:val="-8"/>
          <w:kern w:val="0"/>
          <w:szCs w:val="22"/>
        </w:rPr>
        <w:t xml:space="preserve"> </w:t>
      </w:r>
      <w:r w:rsidRPr="006A7F29">
        <w:rPr>
          <w:snapToGrid/>
          <w:spacing w:val="-1"/>
          <w:kern w:val="0"/>
          <w:szCs w:val="22"/>
        </w:rPr>
        <w:t>Homeland</w:t>
      </w:r>
      <w:r w:rsidRPr="006A7F29">
        <w:rPr>
          <w:snapToGrid/>
          <w:spacing w:val="-8"/>
          <w:kern w:val="0"/>
          <w:szCs w:val="22"/>
        </w:rPr>
        <w:t xml:space="preserve"> </w:t>
      </w:r>
      <w:r w:rsidRPr="006A7F29">
        <w:rPr>
          <w:snapToGrid/>
          <w:spacing w:val="-1"/>
          <w:kern w:val="0"/>
          <w:szCs w:val="22"/>
        </w:rPr>
        <w:t>Security</w:t>
      </w:r>
      <w:r w:rsidRPr="006A7F29">
        <w:rPr>
          <w:snapToGrid/>
          <w:spacing w:val="-8"/>
          <w:kern w:val="0"/>
          <w:szCs w:val="22"/>
        </w:rPr>
        <w:t xml:space="preserve"> </w:t>
      </w:r>
      <w:r w:rsidRPr="006A7F29">
        <w:rPr>
          <w:snapToGrid/>
          <w:kern w:val="0"/>
          <w:szCs w:val="22"/>
        </w:rPr>
        <w:t>Bureau</w:t>
      </w:r>
    </w:p>
    <w:p w:rsidR="00412FC5" w:rsidP="00080A07" w14:paraId="46501D57" w14:textId="3423318E">
      <w:pPr>
        <w:widowControl/>
        <w:ind w:left="4320"/>
        <w:rPr>
          <w:spacing w:val="-1"/>
          <w:szCs w:val="22"/>
        </w:rPr>
      </w:pPr>
      <w:r w:rsidRPr="006A7F29">
        <w:rPr>
          <w:spacing w:val="-1"/>
          <w:szCs w:val="22"/>
        </w:rPr>
        <w:t>Federal</w:t>
      </w:r>
      <w:r w:rsidRPr="006A7F29">
        <w:rPr>
          <w:spacing w:val="-15"/>
          <w:szCs w:val="22"/>
        </w:rPr>
        <w:t xml:space="preserve"> </w:t>
      </w:r>
      <w:r w:rsidRPr="006A7F29">
        <w:rPr>
          <w:spacing w:val="-1"/>
          <w:szCs w:val="22"/>
        </w:rPr>
        <w:t>Communications</w:t>
      </w:r>
      <w:r w:rsidRPr="006A7F29">
        <w:rPr>
          <w:spacing w:val="-15"/>
          <w:szCs w:val="22"/>
        </w:rPr>
        <w:t xml:space="preserve"> </w:t>
      </w:r>
      <w:r w:rsidRPr="006A7F29">
        <w:rPr>
          <w:spacing w:val="-1"/>
          <w:szCs w:val="22"/>
        </w:rPr>
        <w:t>Commission</w:t>
      </w:r>
      <w:bookmarkEnd w:id="7"/>
    </w:p>
    <w:p w:rsidR="007B3C43" w:rsidP="00080A07" w14:paraId="4530E788" w14:textId="002F292C">
      <w:pPr>
        <w:widowControl/>
        <w:ind w:left="4320"/>
        <w:rPr>
          <w:spacing w:val="-1"/>
          <w:szCs w:val="22"/>
        </w:rPr>
      </w:pPr>
    </w:p>
    <w:p w:rsidR="007B3C43" w:rsidP="00E17C42" w14:paraId="27877920" w14:textId="75B45B46">
      <w:pPr>
        <w:widowControl/>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9FF" w:rsidP="0055614C" w14:paraId="3433E4F0" w14:textId="77777777">
    <w:pPr>
      <w:pStyle w:val="Footer"/>
      <w:framePr w:wrap="around" w:vAnchor="text" w:hAnchor="margin" w:xAlign="center" w:y="1"/>
    </w:pPr>
    <w:r>
      <w:fldChar w:fldCharType="begin"/>
    </w:r>
    <w:r>
      <w:instrText xml:space="preserve">PAGE  </w:instrText>
    </w:r>
    <w:r>
      <w:fldChar w:fldCharType="separate"/>
    </w:r>
    <w:r>
      <w:fldChar w:fldCharType="end"/>
    </w:r>
  </w:p>
  <w:p w:rsidR="009D79FF" w14:paraId="45E2A5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9FF" w14:paraId="28641E2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9D79FF" w14:paraId="23E58D2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9FF" w14:paraId="3F1439D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943CB" w14:paraId="74B1C7E9" w14:textId="77777777">
      <w:r>
        <w:separator/>
      </w:r>
    </w:p>
  </w:footnote>
  <w:footnote w:type="continuationSeparator" w:id="1">
    <w:p w:rsidR="003943CB" w:rsidP="00C721AC" w14:paraId="70AC3955" w14:textId="77777777">
      <w:pPr>
        <w:spacing w:before="120"/>
        <w:rPr>
          <w:sz w:val="20"/>
        </w:rPr>
      </w:pPr>
      <w:r>
        <w:rPr>
          <w:sz w:val="20"/>
        </w:rPr>
        <w:t xml:space="preserve">(Continued from previous page)  </w:t>
      </w:r>
      <w:r>
        <w:rPr>
          <w:sz w:val="20"/>
        </w:rPr>
        <w:separator/>
      </w:r>
    </w:p>
  </w:footnote>
  <w:footnote w:type="continuationNotice" w:id="2">
    <w:p w:rsidR="003943CB" w:rsidP="00C721AC" w14:paraId="68529222" w14:textId="77777777">
      <w:pPr>
        <w:jc w:val="right"/>
        <w:rPr>
          <w:sz w:val="20"/>
        </w:rPr>
      </w:pPr>
    </w:p>
  </w:footnote>
  <w:footnote w:id="3">
    <w:p w:rsidR="009D79FF" w:rsidP="006A7F29" w14:paraId="3A8002F2" w14:textId="6DB794DE">
      <w:pPr>
        <w:pStyle w:val="FootnoteText"/>
      </w:pPr>
      <w:r>
        <w:rPr>
          <w:rStyle w:val="FootnoteReference"/>
        </w:rPr>
        <w:footnoteRef/>
      </w:r>
      <w:r>
        <w:t xml:space="preserve"> Participating CMS Providers are commercial mobile service providers that have elected voluntarily to transmit WEA Alert Messages.  47 CFR § 10.10(d), (f).</w:t>
      </w:r>
    </w:p>
  </w:footnote>
  <w:footnote w:id="4">
    <w:p w:rsidR="009D79FF" w:rsidRPr="009E3090" w14:paraId="00147908" w14:textId="12C327CC">
      <w:pPr>
        <w:pStyle w:val="FootnoteText"/>
      </w:pPr>
      <w:r>
        <w:rPr>
          <w:rStyle w:val="FootnoteReference"/>
        </w:rPr>
        <w:footnoteRef/>
      </w:r>
      <w:r>
        <w:t xml:space="preserve"> </w:t>
      </w:r>
      <w:r>
        <w:rPr>
          <w:i/>
        </w:rPr>
        <w:t>See</w:t>
      </w:r>
      <w:r>
        <w:t xml:space="preserve"> 47 CFR § 10.350(c) (providing that Participating CMS Providers </w:t>
      </w:r>
      <w:r w:rsidR="00653A82">
        <w:t xml:space="preserve">must </w:t>
      </w:r>
      <w:r>
        <w:t xml:space="preserve">offer their subscribers the option to opt in to receive State/Local WEA tests because their subscribers are, by default, opted out). </w:t>
      </w:r>
    </w:p>
  </w:footnote>
  <w:footnote w:id="5">
    <w:p w:rsidR="009C03D9" w14:paraId="52EFC6B8" w14:textId="42798254">
      <w:pPr>
        <w:pStyle w:val="FootnoteText"/>
      </w:pPr>
      <w:r>
        <w:rPr>
          <w:rStyle w:val="FootnoteReference"/>
        </w:rPr>
        <w:footnoteRef/>
      </w:r>
      <w:r>
        <w:t xml:space="preserve"> </w:t>
      </w:r>
      <w:r>
        <w:rPr>
          <w:i/>
        </w:rPr>
        <w:t>See</w:t>
      </w:r>
      <w:r>
        <w:t xml:space="preserve"> Letter from Steve Sharkey, Vice President, T-Mobile, to Michael Wilhelm, Chief, Policy and Licensing Division, FCC, PS Docket No. 15-91, at 3 (Oct. 29, 2019) (T-Mobile Revised Waiver Request).  </w:t>
      </w:r>
    </w:p>
  </w:footnote>
  <w:footnote w:id="6">
    <w:p w:rsidR="009D79FF" w:rsidRPr="009067F3" w:rsidP="006A7F29" w14:paraId="5BFDD222" w14:textId="1B9AB2BE">
      <w:pPr>
        <w:pStyle w:val="FootnoteText"/>
      </w:pPr>
      <w:r>
        <w:rPr>
          <w:rStyle w:val="FootnoteReference"/>
        </w:rPr>
        <w:footnoteRef/>
      </w:r>
      <w:r>
        <w:t xml:space="preserve"> </w:t>
      </w:r>
      <w:r>
        <w:rPr>
          <w:i/>
        </w:rPr>
        <w:t>See</w:t>
      </w:r>
      <w:r>
        <w:t xml:space="preserve"> </w:t>
      </w:r>
      <w:r w:rsidR="009C03D9">
        <w:rPr>
          <w:i/>
        </w:rPr>
        <w:t>id.</w:t>
      </w:r>
    </w:p>
  </w:footnote>
  <w:footnote w:id="7">
    <w:p w:rsidR="009D79FF" w:rsidRPr="00B0643B" w:rsidP="006A7F29" w14:paraId="3373427C" w14:textId="1EC74F54">
      <w:pPr>
        <w:pStyle w:val="FootnoteText"/>
      </w:pPr>
      <w:r w:rsidRPr="00B90802">
        <w:rPr>
          <w:rStyle w:val="FootnoteReference"/>
        </w:rPr>
        <w:footnoteRef/>
      </w:r>
      <w:r w:rsidRPr="00B0643B">
        <w:t xml:space="preserve"> </w:t>
      </w:r>
      <w:r w:rsidR="0004755C">
        <w:rPr>
          <w:i/>
        </w:rPr>
        <w:t xml:space="preserve">See </w:t>
      </w:r>
      <w:r w:rsidRPr="00681200">
        <w:rPr>
          <w:i/>
        </w:rPr>
        <w:t>Commercial Mobile Alert System</w:t>
      </w:r>
      <w:r w:rsidRPr="00B0643B">
        <w:t>, PS Docket No. 07-287, Third Report and Order, 23 FCC Rcd 12561, 12575, para</w:t>
      </w:r>
      <w:r w:rsidRPr="00B0643B">
        <w:t xml:space="preserve">. </w:t>
      </w:r>
      <w:r w:rsidRPr="00B0643B">
        <w:t>32 (2008).</w:t>
      </w:r>
    </w:p>
  </w:footnote>
  <w:footnote w:id="8">
    <w:p w:rsidR="009D79FF" w14:paraId="66A18C17" w14:textId="305D392C">
      <w:pPr>
        <w:pStyle w:val="FootnoteText"/>
      </w:pPr>
      <w:r>
        <w:rPr>
          <w:rStyle w:val="FootnoteReference"/>
        </w:rPr>
        <w:footnoteRef/>
      </w:r>
      <w:r>
        <w:t xml:space="preserve"> </w:t>
      </w:r>
      <w:r>
        <w:rPr>
          <w:i/>
        </w:rPr>
        <w:t>See</w:t>
      </w:r>
      <w:r>
        <w:t xml:space="preserve"> 47 CFR § 10.320(a) (“</w:t>
      </w:r>
      <w:r w:rsidRPr="001005F7">
        <w:t xml:space="preserve">The CMS provider gateway must provide secure, redundant, and reliable connections to receive Alert Messages from the </w:t>
      </w:r>
      <w:r w:rsidR="00796E00">
        <w:t>f</w:t>
      </w:r>
      <w:r w:rsidRPr="001005F7">
        <w:t>ederal alert gateway</w:t>
      </w:r>
      <w:r>
        <w:t>.”).</w:t>
      </w:r>
    </w:p>
  </w:footnote>
  <w:footnote w:id="9">
    <w:p w:rsidR="009D79FF" w14:paraId="216E9466" w14:textId="35A016F1">
      <w:pPr>
        <w:pStyle w:val="FootnoteText"/>
      </w:pPr>
      <w:r>
        <w:rPr>
          <w:rStyle w:val="FootnoteReference"/>
        </w:rPr>
        <w:footnoteRef/>
      </w:r>
      <w:r>
        <w:t xml:space="preserve"> </w:t>
      </w:r>
      <w:r>
        <w:rPr>
          <w:i/>
        </w:rPr>
        <w:t>See</w:t>
      </w:r>
      <w:r>
        <w:t xml:space="preserve"> 47 CFR § 10.320(b) (“</w:t>
      </w:r>
      <w:r w:rsidRPr="007B2423">
        <w:t>The CMS provider gateway must authenticate interactions with the Federal alert gateway and validate Alert Message integrity and parameters.</w:t>
      </w:r>
      <w:r>
        <w:t>”).</w:t>
      </w:r>
      <w:r w:rsidR="00796E00">
        <w:t xml:space="preserve">  Section 10.320 also specifies other actions that the CMS gateway will take </w:t>
      </w:r>
      <w:r w:rsidRPr="009448FB" w:rsidR="007077AC">
        <w:t>with</w:t>
      </w:r>
      <w:r w:rsidRPr="0046326C" w:rsidR="00BB700F">
        <w:t xml:space="preserve"> regard to</w:t>
      </w:r>
      <w:r w:rsidR="00796E00">
        <w:t xml:space="preserve"> the federal gateway.</w:t>
      </w:r>
    </w:p>
  </w:footnote>
  <w:footnote w:id="10">
    <w:p w:rsidR="009D79FF" w:rsidRPr="007B2423" w:rsidP="007B2423" w14:paraId="0C5CE0A0" w14:textId="62734A3D">
      <w:pPr>
        <w:pStyle w:val="FootnoteText"/>
        <w:tabs>
          <w:tab w:val="left" w:pos="2595"/>
        </w:tabs>
      </w:pPr>
      <w:r>
        <w:rPr>
          <w:rStyle w:val="FootnoteReference"/>
        </w:rPr>
        <w:footnoteRef/>
      </w:r>
      <w:r>
        <w:t xml:space="preserve"> </w:t>
      </w:r>
      <w:r>
        <w:rPr>
          <w:i/>
        </w:rPr>
        <w:t>See</w:t>
      </w:r>
      <w:r>
        <w:t xml:space="preserve"> 47 CFR §§ 10.320; 10.330 (CMS gateway and WEA infrastructure requirements).</w:t>
      </w:r>
    </w:p>
  </w:footnote>
  <w:footnote w:id="11">
    <w:p w:rsidR="00DA4886" w:rsidRPr="00B0643B" w:rsidP="00DA4886" w14:paraId="50996260" w14:textId="77777777">
      <w:pPr>
        <w:pStyle w:val="FootnoteText"/>
      </w:pPr>
      <w:r w:rsidRPr="00B0643B">
        <w:rPr>
          <w:rStyle w:val="FootnoteReference"/>
        </w:rPr>
        <w:footnoteRef/>
      </w:r>
      <w:r w:rsidRPr="00B0643B">
        <w:t xml:space="preserve"> 47 CFR § 10.520(d).  The Attention Signal is a loud, attention-grabbing, two-tone audio signal that uses frequencies and sounds identical to the attention signal used by the </w:t>
      </w:r>
      <w:r>
        <w:t>EAS</w:t>
      </w:r>
      <w:r w:rsidRPr="00B0643B">
        <w:t xml:space="preserve">.  </w:t>
      </w:r>
      <w:r w:rsidRPr="00B0643B">
        <w:rPr>
          <w:i/>
        </w:rPr>
        <w:t>Compare</w:t>
      </w:r>
      <w:r w:rsidRPr="00B0643B">
        <w:t xml:space="preserve"> 47 CFR § 10.520 </w:t>
      </w:r>
      <w:r w:rsidRPr="00B0643B">
        <w:rPr>
          <w:i/>
        </w:rPr>
        <w:t>with</w:t>
      </w:r>
      <w:r w:rsidRPr="00B0643B">
        <w:t xml:space="preserve"> 47 CFR § 11.31(a)(2).</w:t>
      </w:r>
    </w:p>
  </w:footnote>
  <w:footnote w:id="12">
    <w:p w:rsidR="00DA4886" w:rsidRPr="00B0643B" w:rsidP="00DA4886" w14:paraId="275FCCC0" w14:textId="59BFC415">
      <w:pPr>
        <w:pStyle w:val="FootnoteText"/>
      </w:pPr>
      <w:r w:rsidRPr="00B0643B">
        <w:rPr>
          <w:rStyle w:val="FootnoteReference"/>
        </w:rPr>
        <w:footnoteRef/>
      </w:r>
      <w:r w:rsidRPr="00B0643B">
        <w:t xml:space="preserve"> 47 CFR</w:t>
      </w:r>
      <w:r w:rsidRPr="00B0643B">
        <w:rPr>
          <w:i/>
        </w:rPr>
        <w:t xml:space="preserve"> </w:t>
      </w:r>
      <w:r w:rsidRPr="00B0643B">
        <w:t xml:space="preserve">§ 10.350.  Specifically, the Commission’s rules require Participating CMS Providers to participate in monthly tests initiated by </w:t>
      </w:r>
      <w:r>
        <w:t>the Federal Emergency Management Agency (</w:t>
      </w:r>
      <w:r w:rsidRPr="00B0643B">
        <w:t>FEMA</w:t>
      </w:r>
      <w:r>
        <w:t>)</w:t>
      </w:r>
      <w:r w:rsidRPr="00B0643B">
        <w:t xml:space="preserve"> and in periodic tests of WEA’s C-Interface.  </w:t>
      </w:r>
      <w:r w:rsidRPr="00B0643B">
        <w:rPr>
          <w:i/>
        </w:rPr>
        <w:t>Id.</w:t>
      </w:r>
    </w:p>
  </w:footnote>
  <w:footnote w:id="13">
    <w:p w:rsidR="009D79FF" w:rsidRPr="00B0643B" w:rsidP="006A7F29" w14:paraId="5BE10197" w14:textId="77777777">
      <w:pPr>
        <w:pStyle w:val="FootnoteText"/>
      </w:pPr>
      <w:r w:rsidRPr="00B0643B">
        <w:rPr>
          <w:rStyle w:val="FootnoteReference"/>
        </w:rPr>
        <w:footnoteRef/>
      </w:r>
      <w:r w:rsidRPr="00B0643B">
        <w:t xml:space="preserve"> </w:t>
      </w:r>
      <w:r w:rsidRPr="00B0643B">
        <w:rPr>
          <w:i/>
        </w:rPr>
        <w:t>Wireless Emergency Alerts; Amendments to Part 11 of the Commission’s Rules Regarding the Emergency Alert System</w:t>
      </w:r>
      <w:r w:rsidRPr="00B0643B">
        <w:t xml:space="preserve">, </w:t>
      </w:r>
      <w:r>
        <w:t xml:space="preserve">Report and Order and Further Notice of Proposed Rulemaking, </w:t>
      </w:r>
      <w:r w:rsidRPr="00B0643B">
        <w:rPr>
          <w:iCs/>
        </w:rPr>
        <w:t>31 FCC Rcd 11112</w:t>
      </w:r>
      <w:r w:rsidRPr="00B0643B">
        <w:t>, 11154-11157, paras. 65-68 (2016).</w:t>
      </w:r>
    </w:p>
  </w:footnote>
  <w:footnote w:id="14">
    <w:p w:rsidR="00DA4886" w14:paraId="3A9DE469" w14:textId="7061D779">
      <w:pPr>
        <w:pStyle w:val="FootnoteText"/>
      </w:pPr>
      <w:r>
        <w:rPr>
          <w:rStyle w:val="FootnoteReference"/>
        </w:rPr>
        <w:footnoteRef/>
      </w:r>
      <w:r>
        <w:t xml:space="preserve"> </w:t>
      </w:r>
      <w:r w:rsidRPr="0046326C">
        <w:rPr>
          <w:i/>
        </w:rPr>
        <w:t>Id.</w:t>
      </w:r>
    </w:p>
  </w:footnote>
  <w:footnote w:id="15">
    <w:p w:rsidR="009D79FF" w:rsidRPr="002A285F" w:rsidP="006A7F29" w14:paraId="6206D4B2" w14:textId="77777777">
      <w:pPr>
        <w:pStyle w:val="FootnoteText"/>
      </w:pPr>
      <w:r w:rsidRPr="00B0643B">
        <w:rPr>
          <w:rStyle w:val="FootnoteReference"/>
        </w:rPr>
        <w:footnoteRef/>
      </w:r>
      <w:r w:rsidRPr="00B0643B">
        <w:t xml:space="preserve"> </w:t>
      </w:r>
      <w:r w:rsidRPr="00B0643B">
        <w:rPr>
          <w:i/>
        </w:rPr>
        <w:t xml:space="preserve">Id. </w:t>
      </w:r>
      <w:r w:rsidRPr="00B0643B">
        <w:t>at 11161, 11165, paras. 79, 85 (stating that the deadline for state and local testing is 30 months after the rule’s publication in the Federal Register</w:t>
      </w:r>
      <w:r w:rsidRPr="006B00FB">
        <w:t>);</w:t>
      </w:r>
      <w:r w:rsidRPr="00B0643B">
        <w:rPr>
          <w:i/>
        </w:rPr>
        <w:t xml:space="preserve"> </w:t>
      </w:r>
      <w:r w:rsidRPr="00B0643B">
        <w:rPr>
          <w:i/>
          <w:iCs/>
        </w:rPr>
        <w:t xml:space="preserve">Federal Communications Commission, </w:t>
      </w:r>
      <w:r w:rsidRPr="00B0643B">
        <w:rPr>
          <w:i/>
        </w:rPr>
        <w:t>Wireless Emergency Alerts, Amendments to Rules Regarding the Emergency Alert System,</w:t>
      </w:r>
      <w:r w:rsidRPr="00B0643B">
        <w:rPr>
          <w:iCs/>
        </w:rPr>
        <w:t xml:space="preserve"> 81 Fed. Reg. 75710 </w:t>
      </w:r>
      <w:r w:rsidRPr="00B0643B">
        <w:t>(Nov. 1, 2016) (establishing the date of Federal Register publication).</w:t>
      </w:r>
    </w:p>
  </w:footnote>
  <w:footnote w:id="16">
    <w:p w:rsidR="009D79FF" w:rsidP="006A7F29" w14:paraId="3B1A9E82" w14:textId="26483592">
      <w:pPr>
        <w:pStyle w:val="FootnoteText"/>
      </w:pPr>
      <w:r>
        <w:rPr>
          <w:rStyle w:val="FootnoteReference"/>
        </w:rPr>
        <w:footnoteRef/>
      </w:r>
      <w:r>
        <w:t xml:space="preserve"> </w:t>
      </w:r>
      <w:r>
        <w:rPr>
          <w:i/>
        </w:rPr>
        <w:t xml:space="preserve">See </w:t>
      </w:r>
      <w:r w:rsidRPr="007740FF">
        <w:rPr>
          <w:i/>
        </w:rPr>
        <w:t>P</w:t>
      </w:r>
      <w:r>
        <w:rPr>
          <w:i/>
        </w:rPr>
        <w:t>ublic Safety &amp; Homeland Security Bureau Announces Delay in Availability of Certain Improvements to Wireless Emergency Alerts</w:t>
      </w:r>
      <w:r w:rsidR="00D74FD2">
        <w:t xml:space="preserve">, </w:t>
      </w:r>
      <w:r w:rsidRPr="00B94CDB" w:rsidR="00D74FD2">
        <w:t>PS Docket No</w:t>
      </w:r>
      <w:r w:rsidR="00D74FD2">
        <w:t>s</w:t>
      </w:r>
      <w:r w:rsidRPr="00B94CDB" w:rsidR="00D74FD2">
        <w:t>. 15-91</w:t>
      </w:r>
      <w:r w:rsidR="00D74FD2">
        <w:t xml:space="preserve">, </w:t>
      </w:r>
      <w:r w:rsidRPr="00C113DC" w:rsidR="00D74FD2">
        <w:t>15-94</w:t>
      </w:r>
      <w:r w:rsidR="00D74FD2">
        <w:t>,</w:t>
      </w:r>
      <w:r>
        <w:rPr>
          <w:i/>
        </w:rPr>
        <w:t xml:space="preserve"> </w:t>
      </w:r>
      <w:r>
        <w:t xml:space="preserve">Public </w:t>
      </w:r>
      <w:r w:rsidRPr="00760375">
        <w:t>Notice,</w:t>
      </w:r>
      <w:r w:rsidR="00D74FD2">
        <w:t xml:space="preserve"> </w:t>
      </w:r>
      <w:r w:rsidRPr="00D74FD2" w:rsidR="00D74FD2">
        <w:t xml:space="preserve">34 FCC Rcd 4647 </w:t>
      </w:r>
      <w:r w:rsidR="00D74FD2">
        <w:t>(</w:t>
      </w:r>
      <w:r w:rsidRPr="00760375">
        <w:t>2019);</w:t>
      </w:r>
      <w:r>
        <w:t xml:space="preserve"> </w:t>
      </w:r>
      <w:r>
        <w:rPr>
          <w:i/>
        </w:rPr>
        <w:t>Advisory Regarding May 1 Deadline for Improvements to Wireless Emergency Alerts and Guidance for State/Local Alert Originators</w:t>
      </w:r>
      <w:r>
        <w:t>,</w:t>
      </w:r>
      <w:r>
        <w:rPr>
          <w:i/>
        </w:rPr>
        <w:t xml:space="preserve"> </w:t>
      </w:r>
      <w:r w:rsidRPr="00B94CDB">
        <w:t>PS Docket No</w:t>
      </w:r>
      <w:r>
        <w:t>s</w:t>
      </w:r>
      <w:r w:rsidRPr="00B94CDB">
        <w:t>. 15-91</w:t>
      </w:r>
      <w:r>
        <w:t xml:space="preserve">, </w:t>
      </w:r>
      <w:r w:rsidRPr="00C113DC">
        <w:t>15-94</w:t>
      </w:r>
      <w:r>
        <w:t xml:space="preserve">, Public Notice, </w:t>
      </w:r>
      <w:r w:rsidRPr="008A203D">
        <w:t>34 FCC Rcd 2819</w:t>
      </w:r>
      <w:r>
        <w:t xml:space="preserve">, 2820 (2019). </w:t>
      </w:r>
    </w:p>
  </w:footnote>
  <w:footnote w:id="17">
    <w:p w:rsidR="009D79FF" w14:paraId="600AF220" w14:textId="784A52BB">
      <w:pPr>
        <w:pStyle w:val="FootnoteText"/>
      </w:pPr>
      <w:r>
        <w:rPr>
          <w:rStyle w:val="FootnoteReference"/>
        </w:rPr>
        <w:footnoteRef/>
      </w:r>
      <w:r>
        <w:t xml:space="preserve"> </w:t>
      </w:r>
      <w:r w:rsidRPr="003116F2">
        <w:rPr>
          <w:i/>
        </w:rPr>
        <w:t>See</w:t>
      </w:r>
      <w:r w:rsidRPr="003116F2">
        <w:t xml:space="preserve">, </w:t>
      </w:r>
      <w:r w:rsidRPr="003116F2">
        <w:rPr>
          <w:i/>
        </w:rPr>
        <w:t>e.g.</w:t>
      </w:r>
      <w:r>
        <w:t>,</w:t>
      </w:r>
      <w:r w:rsidRPr="00886B7F">
        <w:t xml:space="preserve"> </w:t>
      </w:r>
      <w:r w:rsidRPr="00886B7F">
        <w:rPr>
          <w:i/>
        </w:rPr>
        <w:t>Improving Wireless Emergency Alerts and Community-Initiated Alerting</w:t>
      </w:r>
      <w:r>
        <w:t xml:space="preserve">; </w:t>
      </w:r>
      <w:r w:rsidRPr="00886B7F">
        <w:rPr>
          <w:i/>
        </w:rPr>
        <w:t>Amendments to Part 11 of the Commission’s Rules Regarding the Emergency Alert System</w:t>
      </w:r>
      <w:r w:rsidRPr="00886B7F">
        <w:t xml:space="preserve">, </w:t>
      </w:r>
      <w:r w:rsidRPr="00B94CDB">
        <w:t>PS Docket No</w:t>
      </w:r>
      <w:r>
        <w:t>s</w:t>
      </w:r>
      <w:r w:rsidRPr="00B94CDB">
        <w:t>. 15-91</w:t>
      </w:r>
      <w:r>
        <w:t xml:space="preserve">, </w:t>
      </w:r>
      <w:r w:rsidRPr="00C113DC">
        <w:t>15-94</w:t>
      </w:r>
      <w:r>
        <w:t xml:space="preserve">, Order, </w:t>
      </w:r>
      <w:r w:rsidRPr="00512C0D">
        <w:t>DA-19-1056</w:t>
      </w:r>
      <w:r>
        <w:t xml:space="preserve"> (PSHSB Oct. 21, 2019); </w:t>
      </w:r>
      <w:r w:rsidRPr="008F2F66">
        <w:rPr>
          <w:i/>
        </w:rPr>
        <w:t>Improving Wireless Emergency Alerts and Community-Initiated Alerting</w:t>
      </w:r>
      <w:r>
        <w:t xml:space="preserve">; </w:t>
      </w:r>
      <w:r w:rsidRPr="008F2F66">
        <w:rPr>
          <w:i/>
        </w:rPr>
        <w:t>Amendments to Part 11 of the Commission’s Rules Regarding the Emergency Alert System</w:t>
      </w:r>
      <w:r w:rsidRPr="008F2F66">
        <w:t xml:space="preserve">, </w:t>
      </w:r>
      <w:r w:rsidRPr="00B94CDB">
        <w:t>PS Docket No</w:t>
      </w:r>
      <w:r>
        <w:t>s</w:t>
      </w:r>
      <w:r w:rsidRPr="00B94CDB">
        <w:t>. 15-91</w:t>
      </w:r>
      <w:r>
        <w:t xml:space="preserve">, </w:t>
      </w:r>
      <w:r w:rsidRPr="00C113DC">
        <w:t>15-94</w:t>
      </w:r>
      <w:r>
        <w:t xml:space="preserve">, Order, </w:t>
      </w:r>
      <w:r w:rsidRPr="00DC3548">
        <w:t>DA-19-1052</w:t>
      </w:r>
      <w:r>
        <w:t xml:space="preserve"> (PSHSB Oct. 21, 2019); </w:t>
      </w:r>
      <w:r w:rsidRPr="008F2F66">
        <w:rPr>
          <w:i/>
        </w:rPr>
        <w:t>Improving Wireless Emergency Alerts and Community-Initiated Alerting</w:t>
      </w:r>
      <w:r>
        <w:t xml:space="preserve">; </w:t>
      </w:r>
      <w:r w:rsidRPr="008F2F66">
        <w:rPr>
          <w:i/>
        </w:rPr>
        <w:t>Amendments to Part 11 of the Commission’s Rules Regarding the Emergency Alert System</w:t>
      </w:r>
      <w:r w:rsidRPr="008F2F66">
        <w:t xml:space="preserve">, </w:t>
      </w:r>
      <w:r w:rsidRPr="00B94CDB">
        <w:t>PS Docket No</w:t>
      </w:r>
      <w:r>
        <w:t>s</w:t>
      </w:r>
      <w:r w:rsidRPr="00B94CDB">
        <w:t>. 15-91</w:t>
      </w:r>
      <w:r>
        <w:t xml:space="preserve">, </w:t>
      </w:r>
      <w:r w:rsidRPr="00C113DC">
        <w:t>15-94</w:t>
      </w:r>
      <w:r>
        <w:t xml:space="preserve">, Order, </w:t>
      </w:r>
      <w:r w:rsidRPr="00B85DD3">
        <w:t>DA-19-1040</w:t>
      </w:r>
      <w:r>
        <w:t xml:space="preserve"> (PSHSB Oct. 16, 2019).</w:t>
      </w:r>
      <w:r w:rsidR="00655405">
        <w:t xml:space="preserve">  </w:t>
      </w:r>
    </w:p>
  </w:footnote>
  <w:footnote w:id="18">
    <w:p w:rsidR="009D79FF" w14:paraId="7349387D" w14:textId="64669AEA">
      <w:pPr>
        <w:pStyle w:val="FootnoteText"/>
      </w:pPr>
      <w:r>
        <w:rPr>
          <w:rStyle w:val="FootnoteReference"/>
        </w:rPr>
        <w:footnoteRef/>
      </w:r>
      <w:r w:rsidR="007077AC">
        <w:t xml:space="preserve"> </w:t>
      </w:r>
      <w:r w:rsidRPr="00886B7F" w:rsidR="007077AC">
        <w:rPr>
          <w:i/>
        </w:rPr>
        <w:t>Wireless Emergency Alerts</w:t>
      </w:r>
      <w:r w:rsidR="007077AC">
        <w:t xml:space="preserve">; </w:t>
      </w:r>
      <w:r w:rsidRPr="00886B7F" w:rsidR="007077AC">
        <w:rPr>
          <w:i/>
        </w:rPr>
        <w:t>Amendments to Part 11 of the Commission’s Rules Regarding the Emergency Alert System</w:t>
      </w:r>
      <w:r w:rsidRPr="00886B7F" w:rsidR="007077AC">
        <w:t>,</w:t>
      </w:r>
      <w:r w:rsidR="007077AC">
        <w:t xml:space="preserve"> </w:t>
      </w:r>
      <w:r w:rsidRPr="00B94CDB" w:rsidR="007077AC">
        <w:t>PS Docket No</w:t>
      </w:r>
      <w:r w:rsidR="007077AC">
        <w:t>s</w:t>
      </w:r>
      <w:r w:rsidRPr="00B94CDB" w:rsidR="007077AC">
        <w:t>. 15-91</w:t>
      </w:r>
      <w:r w:rsidR="007077AC">
        <w:t xml:space="preserve">, </w:t>
      </w:r>
      <w:r w:rsidRPr="00C113DC" w:rsidR="007077AC">
        <w:t>15-94</w:t>
      </w:r>
      <w:r w:rsidR="007077AC">
        <w:t xml:space="preserve">, </w:t>
      </w:r>
      <w:r w:rsidRPr="006E73A5" w:rsidR="007077AC">
        <w:t xml:space="preserve">Second Report </w:t>
      </w:r>
      <w:r w:rsidR="007077AC">
        <w:t>a</w:t>
      </w:r>
      <w:r w:rsidRPr="006E73A5" w:rsidR="007077AC">
        <w:t xml:space="preserve">nd Order </w:t>
      </w:r>
      <w:r w:rsidR="007077AC">
        <w:t>a</w:t>
      </w:r>
      <w:r w:rsidRPr="006E73A5" w:rsidR="007077AC">
        <w:t xml:space="preserve">nd Second Order </w:t>
      </w:r>
      <w:r w:rsidR="007077AC">
        <w:t>o</w:t>
      </w:r>
      <w:r w:rsidRPr="006E73A5" w:rsidR="007077AC">
        <w:t>n Reconsideration</w:t>
      </w:r>
      <w:r w:rsidR="007077AC">
        <w:t xml:space="preserve">, </w:t>
      </w:r>
      <w:r w:rsidRPr="00241391" w:rsidR="007077AC">
        <w:t>33 FCC Rcd 1320</w:t>
      </w:r>
      <w:r w:rsidR="007077AC">
        <w:t>, 1349 paras. 56-58 (2018) (</w:t>
      </w:r>
      <w:r w:rsidR="007077AC">
        <w:rPr>
          <w:i/>
        </w:rPr>
        <w:t>Second WEA R&amp;O</w:t>
      </w:r>
      <w:r w:rsidR="007077AC">
        <w:t>).</w:t>
      </w:r>
      <w:r w:rsidRPr="00241391" w:rsidR="007077AC">
        <w:t xml:space="preserve"> </w:t>
      </w:r>
    </w:p>
  </w:footnote>
  <w:footnote w:id="19">
    <w:p w:rsidR="009D79FF" w14:paraId="2B1AA433" w14:textId="0FAFB55A">
      <w:pPr>
        <w:pStyle w:val="FootnoteText"/>
      </w:pPr>
      <w:r>
        <w:rPr>
          <w:rStyle w:val="FootnoteReference"/>
        </w:rPr>
        <w:footnoteRef/>
      </w:r>
      <w:r>
        <w:t xml:space="preserve"> </w:t>
      </w:r>
      <w:r>
        <w:rPr>
          <w:i/>
        </w:rPr>
        <w:t xml:space="preserve">See </w:t>
      </w:r>
      <w:r w:rsidR="0004755C">
        <w:rPr>
          <w:i/>
        </w:rPr>
        <w:t>id</w:t>
      </w:r>
      <w:r w:rsidR="0004755C">
        <w:rPr>
          <w:i/>
        </w:rPr>
        <w:t>.</w:t>
      </w:r>
      <w:r>
        <w:t xml:space="preserve"> </w:t>
      </w:r>
      <w:r>
        <w:t>at 1324, para</w:t>
      </w:r>
      <w:r>
        <w:t xml:space="preserve">. </w:t>
      </w:r>
      <w:r>
        <w:t xml:space="preserve">6. </w:t>
      </w:r>
    </w:p>
  </w:footnote>
  <w:footnote w:id="20">
    <w:p w:rsidR="009D79FF" w:rsidRPr="008F61D1" w:rsidP="00240357" w14:paraId="2B4E2B2A" w14:textId="557F61EF">
      <w:pPr>
        <w:pStyle w:val="FootnoteText"/>
      </w:pPr>
      <w:r>
        <w:rPr>
          <w:rStyle w:val="FootnoteReference"/>
        </w:rPr>
        <w:footnoteRef/>
      </w:r>
      <w:r w:rsidRPr="003A1993">
        <w:t xml:space="preserve"> </w:t>
      </w:r>
      <w:r>
        <w:rPr>
          <w:i/>
        </w:rPr>
        <w:t>See</w:t>
      </w:r>
      <w:r>
        <w:t xml:space="preserve"> </w:t>
      </w:r>
      <w:r>
        <w:rPr>
          <w:i/>
        </w:rPr>
        <w:t>id.</w:t>
      </w:r>
      <w:r>
        <w:t xml:space="preserve"> at 1324-25, para. 6. </w:t>
      </w:r>
      <w:r w:rsidR="00A42E92">
        <w:t xml:space="preserve"> Section 10.450(a) will further provide that, where the </w:t>
      </w:r>
      <w:r w:rsidRPr="007F2988" w:rsidR="00A42E92">
        <w:t xml:space="preserve">Participating CMS Provider's network infrastructure is technically incapable of matching the specified target area, then that Participating CMS Provider must deliver the Alert Message to an area that </w:t>
      </w:r>
      <w:r w:rsidR="00A42E92">
        <w:t>meets the foregoing geotargeting standard (</w:t>
      </w:r>
      <w:r w:rsidR="00A42E92">
        <w:rPr>
          <w:i/>
        </w:rPr>
        <w:t>i.e.</w:t>
      </w:r>
      <w:r w:rsidR="00A42E92">
        <w:t>, an area that “best approximates” the target area)</w:t>
      </w:r>
      <w:r w:rsidR="00A42E92">
        <w:rPr>
          <w:i/>
        </w:rPr>
        <w:t xml:space="preserve"> </w:t>
      </w:r>
      <w:r w:rsidRPr="007F2988" w:rsidR="00A42E92">
        <w:t>on and only on those aspects of its network infrastructure that are incapable of matching the target area</w:t>
      </w:r>
      <w:r w:rsidR="00A42E92">
        <w:t xml:space="preserve">.  </w:t>
      </w:r>
      <w:r w:rsidR="00D17962">
        <w:rPr>
          <w:i/>
        </w:rPr>
        <w:t>See Wireless Emergency Alerts</w:t>
      </w:r>
      <w:r w:rsidR="00D17962">
        <w:t>, 83 Fed. Reg. 8623 (2018).</w:t>
      </w:r>
    </w:p>
  </w:footnote>
  <w:footnote w:id="21">
    <w:p w:rsidR="00683C92" w:rsidP="00683C92" w14:paraId="0822AF92" w14:textId="5C02E4DF">
      <w:pPr>
        <w:pStyle w:val="FootnoteText"/>
      </w:pPr>
      <w:r>
        <w:rPr>
          <w:rStyle w:val="FootnoteReference"/>
        </w:rPr>
        <w:footnoteRef/>
      </w:r>
      <w:r>
        <w:t xml:space="preserve"> </w:t>
      </w:r>
      <w:r w:rsidR="0004755C">
        <w:rPr>
          <w:i/>
        </w:rPr>
        <w:t>Second WEA R&amp;O</w:t>
      </w:r>
      <w:r w:rsidR="0004755C">
        <w:t>, 33 FCC Rcd</w:t>
      </w:r>
      <w:r>
        <w:t xml:space="preserve"> at 1329 para</w:t>
      </w:r>
      <w:r>
        <w:t xml:space="preserve">. </w:t>
      </w:r>
      <w:r>
        <w:t xml:space="preserve">12 (establishing </w:t>
      </w:r>
      <w:r w:rsidR="009C03D9">
        <w:t xml:space="preserve">the </w:t>
      </w:r>
      <w:r>
        <w:t>November 30, 2019 effective date).</w:t>
      </w:r>
    </w:p>
  </w:footnote>
  <w:footnote w:id="22">
    <w:p w:rsidR="009D79FF" w:rsidRPr="000F373F" w14:paraId="1046B0A5" w14:textId="14B7DC6B">
      <w:pPr>
        <w:pStyle w:val="FootnoteText"/>
      </w:pPr>
      <w:r>
        <w:rPr>
          <w:rStyle w:val="FootnoteReference"/>
        </w:rPr>
        <w:footnoteRef/>
      </w:r>
      <w:r>
        <w:t xml:space="preserve"> </w:t>
      </w:r>
      <w:r>
        <w:rPr>
          <w:i/>
        </w:rPr>
        <w:t>See</w:t>
      </w:r>
      <w:r>
        <w:t xml:space="preserve"> ATIS, ATIS 0700041: Wireless Emergency Alerts (WEA) 3.0: Device-Based Geo-fencing (2019); ATIS, ATIS0700036v.002: Wireless Emergency Alert (WEA) 3.0 Mobile Device Behavior (MDB) Specification (2019).</w:t>
      </w:r>
    </w:p>
  </w:footnote>
  <w:footnote w:id="23">
    <w:p w:rsidR="00071646" w:rsidRPr="003730EE" w14:paraId="51CA0A57" w14:textId="4C280164">
      <w:pPr>
        <w:pStyle w:val="FootnoteText"/>
        <w:rPr>
          <w:i/>
        </w:rPr>
      </w:pPr>
      <w:r>
        <w:rPr>
          <w:rStyle w:val="FootnoteReference"/>
        </w:rPr>
        <w:footnoteRef/>
      </w:r>
      <w:r>
        <w:t xml:space="preserve"> </w:t>
      </w:r>
      <w:r>
        <w:rPr>
          <w:i/>
        </w:rPr>
        <w:t>See id.</w:t>
      </w:r>
    </w:p>
  </w:footnote>
  <w:footnote w:id="24">
    <w:p w:rsidR="009D79FF" w:rsidRPr="008D0232" w14:paraId="6DE56376" w14:textId="66AFA0F4">
      <w:pPr>
        <w:pStyle w:val="FootnoteText"/>
      </w:pPr>
      <w:r>
        <w:rPr>
          <w:rStyle w:val="FootnoteReference"/>
        </w:rPr>
        <w:footnoteRef/>
      </w:r>
      <w:r>
        <w:t xml:space="preserve"> </w:t>
      </w:r>
      <w:r w:rsidR="00714F4E">
        <w:rPr>
          <w:i/>
          <w:szCs w:val="22"/>
        </w:rPr>
        <w:t>See</w:t>
      </w:r>
      <w:r w:rsidR="00714F4E">
        <w:rPr>
          <w:szCs w:val="22"/>
        </w:rPr>
        <w:t xml:space="preserve"> </w:t>
      </w:r>
      <w:r w:rsidR="00714F4E">
        <w:t>T-Mobile</w:t>
      </w:r>
      <w:r w:rsidR="009C03D9">
        <w:t xml:space="preserve"> Revised</w:t>
      </w:r>
      <w:r w:rsidR="00714F4E">
        <w:t xml:space="preserve"> Waiver Request</w:t>
      </w:r>
      <w:r w:rsidR="00E17C42">
        <w:t xml:space="preserve"> at 2</w:t>
      </w:r>
      <w:r w:rsidR="00714F4E">
        <w:t xml:space="preserve">; </w:t>
      </w:r>
      <w:r w:rsidRPr="00B0643B" w:rsidR="00714F4E">
        <w:t>47 CFR</w:t>
      </w:r>
      <w:r w:rsidRPr="00B0643B" w:rsidR="00714F4E">
        <w:rPr>
          <w:i/>
        </w:rPr>
        <w:t xml:space="preserve"> </w:t>
      </w:r>
      <w:r w:rsidRPr="00B0643B" w:rsidR="00714F4E">
        <w:t xml:space="preserve">§§ </w:t>
      </w:r>
      <w:r w:rsidR="00714F4E">
        <w:t xml:space="preserve">10.320, </w:t>
      </w:r>
      <w:r w:rsidRPr="00B0643B" w:rsidR="00714F4E">
        <w:t>10.350</w:t>
      </w:r>
      <w:r w:rsidR="00714F4E">
        <w:t xml:space="preserve">, 10.520(d). </w:t>
      </w:r>
    </w:p>
  </w:footnote>
  <w:footnote w:id="25">
    <w:p w:rsidR="009D79FF" w:rsidRPr="00B751D5" w14:paraId="7A74B282" w14:textId="5C8CACFC">
      <w:pPr>
        <w:pStyle w:val="FootnoteText"/>
      </w:pPr>
      <w:r>
        <w:rPr>
          <w:rStyle w:val="FootnoteReference"/>
        </w:rPr>
        <w:footnoteRef/>
      </w:r>
      <w:r>
        <w:t xml:space="preserve"> </w:t>
      </w:r>
      <w:r>
        <w:rPr>
          <w:i/>
        </w:rPr>
        <w:t>See</w:t>
      </w:r>
      <w:r>
        <w:t xml:space="preserve"> </w:t>
      </w:r>
      <w:r w:rsidR="009C03D9">
        <w:t>T-Mobile Revised Waiver Request at 2.</w:t>
      </w:r>
    </w:p>
  </w:footnote>
  <w:footnote w:id="26">
    <w:p w:rsidR="009D79FF" w:rsidRPr="00B751D5" w14:paraId="3480E404" w14:textId="400F2C2C">
      <w:pPr>
        <w:pStyle w:val="FootnoteText"/>
      </w:pPr>
      <w:r>
        <w:rPr>
          <w:rStyle w:val="FootnoteReference"/>
        </w:rPr>
        <w:footnoteRef/>
      </w:r>
      <w:r>
        <w:t xml:space="preserve"> </w:t>
      </w:r>
      <w:r>
        <w:rPr>
          <w:i/>
        </w:rPr>
        <w:t>See id.</w:t>
      </w:r>
      <w:r>
        <w:t xml:space="preserve"> at 3 (establishing back-up testing dates of November </w:t>
      </w:r>
      <w:r w:rsidR="009C03D9">
        <w:t>7</w:t>
      </w:r>
      <w:r>
        <w:t xml:space="preserve"> and </w:t>
      </w:r>
      <w:r w:rsidR="009C03D9">
        <w:t>15</w:t>
      </w:r>
      <w:r>
        <w:t>, 2019, respectively).</w:t>
      </w:r>
    </w:p>
  </w:footnote>
  <w:footnote w:id="27">
    <w:p w:rsidR="00814D4D" w14:paraId="60684261" w14:textId="37EAD5BB">
      <w:pPr>
        <w:pStyle w:val="FootnoteText"/>
      </w:pPr>
      <w:r>
        <w:rPr>
          <w:rStyle w:val="FootnoteReference"/>
        </w:rPr>
        <w:footnoteRef/>
      </w:r>
      <w:r>
        <w:t xml:space="preserve"> </w:t>
      </w:r>
      <w:r w:rsidR="00E5015B">
        <w:rPr>
          <w:i/>
        </w:rPr>
        <w:t>See</w:t>
      </w:r>
      <w:r w:rsidR="00E5015B">
        <w:t xml:space="preserve"> </w:t>
      </w:r>
      <w:r w:rsidR="00E5015B">
        <w:rPr>
          <w:i/>
        </w:rPr>
        <w:t>id.</w:t>
      </w:r>
      <w:r w:rsidR="00E5015B">
        <w:t xml:space="preserve"> at 2.</w:t>
      </w:r>
    </w:p>
  </w:footnote>
  <w:footnote w:id="28">
    <w:p w:rsidR="009D79FF" w14:paraId="352540CE" w14:textId="6B845B61">
      <w:pPr>
        <w:pStyle w:val="FootnoteText"/>
      </w:pPr>
      <w:r>
        <w:rPr>
          <w:rStyle w:val="FootnoteReference"/>
        </w:rPr>
        <w:footnoteRef/>
      </w:r>
      <w:r>
        <w:t xml:space="preserve"> </w:t>
      </w:r>
      <w:r>
        <w:rPr>
          <w:i/>
        </w:rPr>
        <w:t>See id.</w:t>
      </w:r>
      <w:r>
        <w:t xml:space="preserve"> </w:t>
      </w:r>
    </w:p>
  </w:footnote>
  <w:footnote w:id="29">
    <w:p w:rsidR="009D79FF" w14:paraId="09D93012" w14:textId="50E1B2DB">
      <w:pPr>
        <w:pStyle w:val="FootnoteText"/>
      </w:pPr>
      <w:r>
        <w:rPr>
          <w:rStyle w:val="FootnoteReference"/>
        </w:rPr>
        <w:footnoteRef/>
      </w:r>
      <w:r>
        <w:t xml:space="preserve"> </w:t>
      </w:r>
      <w:r>
        <w:rPr>
          <w:i/>
        </w:rPr>
        <w:t>See id.</w:t>
      </w:r>
    </w:p>
  </w:footnote>
  <w:footnote w:id="30">
    <w:p w:rsidR="009D79FF" w:rsidRPr="00675326" w:rsidP="006A7F29" w14:paraId="68B8EAB4" w14:textId="77777777">
      <w:pPr>
        <w:pStyle w:val="FootnoteText"/>
      </w:pPr>
      <w:r w:rsidRPr="00675326">
        <w:rPr>
          <w:rStyle w:val="FootnoteReference"/>
        </w:rPr>
        <w:footnoteRef/>
      </w:r>
      <w:r w:rsidRPr="00675326">
        <w:t xml:space="preserve"> 47 CFR</w:t>
      </w:r>
      <w:r w:rsidRPr="00675326">
        <w:rPr>
          <w:spacing w:val="-1"/>
        </w:rPr>
        <w:t xml:space="preserve"> </w:t>
      </w:r>
      <w:r w:rsidRPr="00675326">
        <w:t>§ 1.3.</w:t>
      </w:r>
    </w:p>
  </w:footnote>
  <w:footnote w:id="31">
    <w:p w:rsidR="009D79FF" w:rsidRPr="00B0643B" w:rsidP="006A7F29" w14:paraId="1910F022" w14:textId="77777777">
      <w:pPr>
        <w:pStyle w:val="FootnoteText"/>
      </w:pPr>
      <w:r w:rsidRPr="00675326">
        <w:rPr>
          <w:rStyle w:val="FootnoteReference"/>
        </w:rPr>
        <w:footnoteRef/>
      </w:r>
      <w:r w:rsidRPr="00675326">
        <w:t xml:space="preserve"> </w:t>
      </w:r>
      <w:r w:rsidRPr="00675326">
        <w:rPr>
          <w:i/>
        </w:rPr>
        <w:t>See</w:t>
      </w:r>
      <w:r w:rsidRPr="00675326">
        <w:rPr>
          <w:i/>
          <w:spacing w:val="-3"/>
        </w:rPr>
        <w:t xml:space="preserve"> </w:t>
      </w:r>
      <w:r w:rsidRPr="00675326">
        <w:rPr>
          <w:i/>
        </w:rPr>
        <w:t>Northeast</w:t>
      </w:r>
      <w:r w:rsidRPr="00B0643B">
        <w:rPr>
          <w:i/>
          <w:spacing w:val="-4"/>
        </w:rPr>
        <w:t xml:space="preserve"> </w:t>
      </w:r>
      <w:r w:rsidRPr="00B0643B">
        <w:rPr>
          <w:i/>
        </w:rPr>
        <w:t>Cellular</w:t>
      </w:r>
      <w:r w:rsidRPr="00B0643B">
        <w:rPr>
          <w:i/>
          <w:spacing w:val="-2"/>
        </w:rPr>
        <w:t xml:space="preserve"> </w:t>
      </w:r>
      <w:r w:rsidRPr="00B0643B">
        <w:rPr>
          <w:i/>
          <w:spacing w:val="-1"/>
        </w:rPr>
        <w:t>Telephone</w:t>
      </w:r>
      <w:r w:rsidRPr="00B0643B">
        <w:rPr>
          <w:i/>
          <w:spacing w:val="-3"/>
        </w:rPr>
        <w:t xml:space="preserve"> </w:t>
      </w:r>
      <w:r w:rsidRPr="00B0643B">
        <w:rPr>
          <w:i/>
        </w:rPr>
        <w:t>Co.</w:t>
      </w:r>
      <w:r w:rsidRPr="00B0643B">
        <w:rPr>
          <w:i/>
          <w:spacing w:val="-3"/>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
        </w:rPr>
        <w:t xml:space="preserve"> </w:t>
      </w:r>
      <w:r w:rsidRPr="00B0643B">
        <w:t>897</w:t>
      </w:r>
      <w:r w:rsidRPr="00B0643B">
        <w:rPr>
          <w:spacing w:val="-3"/>
        </w:rPr>
        <w:t xml:space="preserve"> </w:t>
      </w:r>
      <w:r w:rsidRPr="00B0643B">
        <w:rPr>
          <w:spacing w:val="-1"/>
        </w:rPr>
        <w:t>F.2d</w:t>
      </w:r>
      <w:r w:rsidRPr="00B0643B">
        <w:rPr>
          <w:spacing w:val="-3"/>
        </w:rPr>
        <w:t xml:space="preserve"> </w:t>
      </w:r>
      <w:r w:rsidRPr="00B0643B">
        <w:t>1164,</w:t>
      </w:r>
      <w:r w:rsidRPr="00B0643B">
        <w:rPr>
          <w:spacing w:val="-2"/>
        </w:rPr>
        <w:t xml:space="preserve"> </w:t>
      </w:r>
      <w:r w:rsidRPr="00B0643B">
        <w:t>1166</w:t>
      </w:r>
      <w:r w:rsidRPr="00B0643B">
        <w:rPr>
          <w:spacing w:val="-3"/>
        </w:rPr>
        <w:t xml:space="preserve"> </w:t>
      </w:r>
      <w:r w:rsidRPr="00B0643B">
        <w:t>(D.C.</w:t>
      </w:r>
      <w:r w:rsidRPr="00B0643B">
        <w:rPr>
          <w:spacing w:val="-4"/>
        </w:rPr>
        <w:t xml:space="preserve"> </w:t>
      </w:r>
      <w:r w:rsidRPr="00B0643B">
        <w:t>Cir.</w:t>
      </w:r>
      <w:r w:rsidRPr="00B0643B">
        <w:rPr>
          <w:spacing w:val="-3"/>
        </w:rPr>
        <w:t xml:space="preserve"> </w:t>
      </w:r>
      <w:r w:rsidRPr="00B0643B">
        <w:t>1990)</w:t>
      </w:r>
      <w:r w:rsidRPr="00B0643B">
        <w:rPr>
          <w:spacing w:val="-3"/>
        </w:rPr>
        <w:t xml:space="preserve"> </w:t>
      </w:r>
      <w:r w:rsidRPr="00B0643B">
        <w:t>(</w:t>
      </w:r>
      <w:r w:rsidRPr="00B0643B">
        <w:rPr>
          <w:i/>
        </w:rPr>
        <w:t>citing</w:t>
      </w:r>
      <w:r w:rsidRPr="00B0643B">
        <w:rPr>
          <w:i/>
          <w:spacing w:val="-4"/>
        </w:rPr>
        <w:t xml:space="preserve"> </w:t>
      </w:r>
      <w:r w:rsidRPr="00B0643B">
        <w:rPr>
          <w:i/>
          <w:spacing w:val="-1"/>
        </w:rPr>
        <w:t>WAIT</w:t>
      </w:r>
      <w:r w:rsidRPr="00B0643B">
        <w:rPr>
          <w:i/>
          <w:spacing w:val="-3"/>
        </w:rPr>
        <w:t xml:space="preserve"> </w:t>
      </w:r>
      <w:r w:rsidRPr="00B0643B">
        <w:rPr>
          <w:i/>
          <w:spacing w:val="-1"/>
        </w:rPr>
        <w:t>Radio</w:t>
      </w:r>
      <w:r w:rsidRPr="00B0643B">
        <w:rPr>
          <w:i/>
          <w:spacing w:val="-2"/>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1"/>
        </w:rPr>
        <w:t xml:space="preserve"> </w:t>
      </w:r>
      <w:r w:rsidRPr="00B0643B">
        <w:t>418</w:t>
      </w:r>
      <w:r w:rsidRPr="00B0643B">
        <w:rPr>
          <w:spacing w:val="-1"/>
        </w:rPr>
        <w:t xml:space="preserve"> F.2d </w:t>
      </w:r>
      <w:r w:rsidRPr="00B0643B">
        <w:t>1153,</w:t>
      </w:r>
      <w:r w:rsidRPr="00B0643B">
        <w:rPr>
          <w:spacing w:val="-1"/>
        </w:rPr>
        <w:t xml:space="preserve"> </w:t>
      </w:r>
      <w:r w:rsidRPr="00B0643B">
        <w:t>1159</w:t>
      </w:r>
      <w:r w:rsidRPr="00B0643B">
        <w:rPr>
          <w:spacing w:val="-1"/>
        </w:rPr>
        <w:t xml:space="preserve"> </w:t>
      </w:r>
      <w:r w:rsidRPr="00B0643B">
        <w:t>(D.C.</w:t>
      </w:r>
      <w:r w:rsidRPr="00B0643B">
        <w:rPr>
          <w:spacing w:val="-2"/>
        </w:rPr>
        <w:t xml:space="preserve"> </w:t>
      </w:r>
      <w:r w:rsidRPr="00B0643B">
        <w:t>Cir.</w:t>
      </w:r>
      <w:r w:rsidRPr="00B0643B">
        <w:rPr>
          <w:spacing w:val="-1"/>
        </w:rPr>
        <w:t xml:space="preserve"> </w:t>
      </w:r>
      <w:r w:rsidRPr="00B0643B">
        <w:t>1969),</w:t>
      </w:r>
      <w:r w:rsidRPr="00B0643B">
        <w:rPr>
          <w:spacing w:val="-1"/>
        </w:rPr>
        <w:t xml:space="preserve"> </w:t>
      </w:r>
      <w:r w:rsidRPr="00B0643B">
        <w:rPr>
          <w:i/>
        </w:rPr>
        <w:t>aff’d</w:t>
      </w:r>
      <w:r w:rsidRPr="00B0643B">
        <w:t>,</w:t>
      </w:r>
      <w:r w:rsidRPr="00B0643B">
        <w:rPr>
          <w:spacing w:val="-1"/>
        </w:rPr>
        <w:t xml:space="preserve"> </w:t>
      </w:r>
      <w:r w:rsidRPr="00B0643B">
        <w:t>459</w:t>
      </w:r>
      <w:r w:rsidRPr="00B0643B">
        <w:rPr>
          <w:spacing w:val="-1"/>
        </w:rPr>
        <w:t xml:space="preserve"> F.2d </w:t>
      </w:r>
      <w:r w:rsidRPr="00B0643B">
        <w:t>1203</w:t>
      </w:r>
      <w:r w:rsidRPr="00B0643B">
        <w:rPr>
          <w:spacing w:val="-1"/>
        </w:rPr>
        <w:t xml:space="preserve"> </w:t>
      </w:r>
      <w:r w:rsidRPr="00B0643B">
        <w:t>(1973),</w:t>
      </w:r>
      <w:r w:rsidRPr="00B0643B">
        <w:rPr>
          <w:spacing w:val="-1"/>
        </w:rPr>
        <w:t xml:space="preserve"> </w:t>
      </w:r>
      <w:r w:rsidRPr="00B0643B">
        <w:rPr>
          <w:i/>
        </w:rPr>
        <w:t>cert.</w:t>
      </w:r>
      <w:r w:rsidRPr="00B0643B">
        <w:rPr>
          <w:i/>
          <w:spacing w:val="-2"/>
        </w:rPr>
        <w:t xml:space="preserve"> </w:t>
      </w:r>
      <w:r w:rsidRPr="00B0643B">
        <w:rPr>
          <w:i/>
          <w:spacing w:val="-1"/>
        </w:rPr>
        <w:t>denied</w:t>
      </w:r>
      <w:r w:rsidRPr="00B0643B">
        <w:rPr>
          <w:spacing w:val="-1"/>
        </w:rPr>
        <w:t>,</w:t>
      </w:r>
      <w:r w:rsidRPr="00B0643B">
        <w:t xml:space="preserve"> 409</w:t>
      </w:r>
      <w:r w:rsidRPr="00B0643B">
        <w:rPr>
          <w:spacing w:val="-1"/>
        </w:rPr>
        <w:t xml:space="preserve"> U.S. </w:t>
      </w:r>
      <w:r w:rsidRPr="00B0643B">
        <w:t>1027</w:t>
      </w:r>
      <w:r w:rsidRPr="00B0643B">
        <w:rPr>
          <w:spacing w:val="-1"/>
        </w:rPr>
        <w:t xml:space="preserve"> </w:t>
      </w:r>
      <w:r w:rsidRPr="00B0643B">
        <w:t>(1972)).</w:t>
      </w:r>
    </w:p>
  </w:footnote>
  <w:footnote w:id="32">
    <w:p w:rsidR="007B3C43" w:rsidRPr="007B3C43" w14:paraId="2AAFF12B" w14:textId="13356803">
      <w:pPr>
        <w:pStyle w:val="FootnoteText"/>
      </w:pPr>
      <w:r>
        <w:rPr>
          <w:rStyle w:val="FootnoteReference"/>
        </w:rPr>
        <w:footnoteRef/>
      </w:r>
      <w:r>
        <w:t xml:space="preserve"> </w:t>
      </w:r>
      <w:r>
        <w:rPr>
          <w:i/>
        </w:rPr>
        <w:t>Second Report and Order</w:t>
      </w:r>
      <w:r>
        <w:t>, 22 FCC Rcd at 1324, para. 6.</w:t>
      </w:r>
    </w:p>
  </w:footnote>
  <w:footnote w:id="33">
    <w:p w:rsidR="007077AC" w:rsidRPr="008F61D1" w:rsidP="0033556D" w14:paraId="43BFCA70" w14:textId="3601F29A">
      <w:pPr>
        <w:pStyle w:val="FootnoteText"/>
      </w:pPr>
      <w:r>
        <w:rPr>
          <w:rStyle w:val="FootnoteReference"/>
        </w:rPr>
        <w:footnoteRef/>
      </w:r>
      <w:r>
        <w:t xml:space="preserve"> </w:t>
      </w:r>
      <w:r>
        <w:rPr>
          <w:i/>
        </w:rPr>
        <w:t>See</w:t>
      </w:r>
      <w:r>
        <w:t xml:space="preserve"> </w:t>
      </w:r>
      <w:r w:rsidR="007B3C43">
        <w:rPr>
          <w:i/>
        </w:rPr>
        <w:t>id.</w:t>
      </w:r>
      <w:r>
        <w:t xml:space="preserve"> </w:t>
      </w:r>
      <w:r w:rsidR="007B3C43">
        <w:t>at</w:t>
      </w:r>
      <w:r>
        <w:t xml:space="preserve"> 1331-3</w:t>
      </w:r>
      <w:r w:rsidR="007B3C43">
        <w:t>2, para. 14</w:t>
      </w:r>
      <w:r>
        <w:t>.</w:t>
      </w:r>
    </w:p>
  </w:footnote>
  <w:footnote w:id="34">
    <w:p w:rsidR="007F3C0A" w14:paraId="0133C9CC" w14:textId="6C77E934">
      <w:pPr>
        <w:pStyle w:val="FootnoteText"/>
      </w:pPr>
      <w:r>
        <w:rPr>
          <w:rStyle w:val="FootnoteReference"/>
        </w:rPr>
        <w:footnoteRef/>
      </w:r>
      <w:r>
        <w:t xml:space="preserve"> </w:t>
      </w:r>
      <w:r w:rsidRPr="00D53AE3">
        <w:t>T-Mobile Revised Waiver Request at 2</w:t>
      </w:r>
      <w:r w:rsidR="00AA6D8C">
        <w:t>.</w:t>
      </w:r>
    </w:p>
  </w:footnote>
  <w:footnote w:id="35">
    <w:p w:rsidR="00604CA6" w:rsidRPr="0046326C" w:rsidP="00604CA6" w14:paraId="730A5E12" w14:textId="4F3A690D">
      <w:pPr>
        <w:pStyle w:val="FootnoteText"/>
        <w:rPr>
          <w:i/>
        </w:rPr>
      </w:pPr>
      <w:r>
        <w:rPr>
          <w:rStyle w:val="FootnoteReference"/>
        </w:rPr>
        <w:footnoteRef/>
      </w:r>
      <w:r>
        <w:t xml:space="preserve"> </w:t>
      </w:r>
      <w:r>
        <w:rPr>
          <w:i/>
        </w:rPr>
        <w:t xml:space="preserve">See </w:t>
      </w:r>
      <w:r w:rsidR="00416E21">
        <w:rPr>
          <w:i/>
        </w:rPr>
        <w:t>id.</w:t>
      </w:r>
    </w:p>
  </w:footnote>
  <w:footnote w:id="36">
    <w:p w:rsidR="00416E21" w:rsidP="00416E21" w14:paraId="314E20E2" w14:textId="1DC3863F">
      <w:pPr>
        <w:pStyle w:val="FootnoteText"/>
      </w:pPr>
      <w:r>
        <w:rPr>
          <w:rStyle w:val="FootnoteReference"/>
        </w:rPr>
        <w:footnoteRef/>
      </w:r>
      <w:r>
        <w:t xml:space="preserve"> </w:t>
      </w:r>
      <w:r>
        <w:rPr>
          <w:i/>
        </w:rPr>
        <w:t>Id.</w:t>
      </w:r>
    </w:p>
  </w:footnote>
  <w:footnote w:id="37">
    <w:p w:rsidR="00AA6D8C" w:rsidP="00AA6D8C" w14:paraId="3340AA52" w14:textId="4B8845DE">
      <w:pPr>
        <w:pStyle w:val="FootnoteText"/>
      </w:pPr>
      <w:r>
        <w:rPr>
          <w:rStyle w:val="FootnoteReference"/>
        </w:rPr>
        <w:footnoteRef/>
      </w:r>
      <w:r>
        <w:t xml:space="preserve"> </w:t>
      </w:r>
      <w:r w:rsidR="00416E21">
        <w:rPr>
          <w:i/>
        </w:rPr>
        <w:t>Id.</w:t>
      </w:r>
      <w:r>
        <w:t xml:space="preserve">  </w:t>
      </w:r>
    </w:p>
  </w:footnote>
  <w:footnote w:id="38">
    <w:p w:rsidR="00934A90" w:rsidRPr="00934A90" w14:paraId="3B836CBE" w14:textId="3A5EF911">
      <w:pPr>
        <w:pStyle w:val="FootnoteText"/>
        <w:rPr>
          <w:i/>
        </w:rPr>
      </w:pPr>
      <w:r>
        <w:rPr>
          <w:rStyle w:val="FootnoteReference"/>
        </w:rPr>
        <w:footnoteRef/>
      </w:r>
      <w:r>
        <w:t xml:space="preserve"> </w:t>
      </w:r>
      <w:r>
        <w:rPr>
          <w:i/>
        </w:rPr>
        <w:t>Id.</w:t>
      </w:r>
    </w:p>
  </w:footnote>
  <w:footnote w:id="39">
    <w:p w:rsidR="007077AC" w14:paraId="3BD17198" w14:textId="211E6D4D">
      <w:pPr>
        <w:pStyle w:val="FootnoteText"/>
      </w:pPr>
      <w:r>
        <w:rPr>
          <w:rStyle w:val="FootnoteReference"/>
        </w:rPr>
        <w:footnoteRef/>
      </w:r>
      <w:r>
        <w:t xml:space="preserve"> </w:t>
      </w:r>
      <w:r w:rsidR="0046326C">
        <w:rPr>
          <w:i/>
        </w:rPr>
        <w:t>See Wireless Emergency Alerts; Amendments to Part 11 of the Commission’s Rules Regarding the Emergency Alert System</w:t>
      </w:r>
      <w:r w:rsidR="0046326C">
        <w:t>, Report and Order and Further Notice of Proposed Rulemaking, 31 FCC Rcd 11112, at11154-55, para</w:t>
      </w:r>
      <w:r w:rsidR="0046326C">
        <w:t xml:space="preserve">. </w:t>
      </w:r>
      <w:r w:rsidR="0046326C">
        <w:t>65</w:t>
      </w:r>
      <w:r w:rsidR="008D29B0">
        <w:t xml:space="preserve">.  </w:t>
      </w:r>
      <w:r w:rsidR="008D29B0">
        <w:rPr>
          <w:szCs w:val="22"/>
        </w:rPr>
        <w:t xml:space="preserve">While the Commission expressly contemplated that </w:t>
      </w:r>
      <w:r w:rsidR="001D0C8C">
        <w:rPr>
          <w:szCs w:val="22"/>
        </w:rPr>
        <w:t xml:space="preserve">emergency managers would initiate </w:t>
      </w:r>
      <w:r w:rsidR="008D29B0">
        <w:rPr>
          <w:szCs w:val="22"/>
        </w:rPr>
        <w:t>State/Local</w:t>
      </w:r>
      <w:r w:rsidR="0046326C">
        <w:rPr>
          <w:szCs w:val="22"/>
        </w:rPr>
        <w:t xml:space="preserve"> WEA</w:t>
      </w:r>
      <w:r w:rsidR="008D29B0">
        <w:rPr>
          <w:szCs w:val="22"/>
        </w:rPr>
        <w:t xml:space="preserve"> tests, FE</w:t>
      </w:r>
      <w:r w:rsidR="000C6CB2">
        <w:rPr>
          <w:szCs w:val="22"/>
        </w:rPr>
        <w:t>MA is responsible for authorizing alert originators and has confirmed</w:t>
      </w:r>
      <w:r w:rsidR="008D29B0">
        <w:t xml:space="preserve"> that T-Mobile’s proposed test is an appropriate “use of [the WEA] system” under the IPAWS Modernization Act</w:t>
      </w:r>
      <w:r w:rsidR="000C6CB2">
        <w:t xml:space="preserve">.  FEMA also stated </w:t>
      </w:r>
      <w:r w:rsidR="008D29B0">
        <w:t xml:space="preserve">that it “does not require that T-Mobile become an authorized IPAWS alerting authority to initiate and send the proposed test message.”  </w:t>
      </w:r>
      <w:r w:rsidR="000C6CB2">
        <w:rPr>
          <w:i/>
        </w:rPr>
        <w:t xml:space="preserve">See </w:t>
      </w:r>
      <w:r w:rsidR="000C6CB2">
        <w:t xml:space="preserve">Email from Mark Lucero, Chief, </w:t>
      </w:r>
      <w:r w:rsidRPr="006A7F29" w:rsidR="000C6CB2">
        <w:rPr>
          <w:szCs w:val="22"/>
        </w:rPr>
        <w:t>Integrated Public Alert and Warning System</w:t>
      </w:r>
      <w:r w:rsidR="000C6CB2">
        <w:t xml:space="preserve"> Engineering, Department of Homeland Security, Federal Emergency Management Agency, to James Wiley, Attorney Advisor, </w:t>
      </w:r>
      <w:bookmarkStart w:id="2" w:name="_Hlk23408295"/>
      <w:r w:rsidR="000C6CB2">
        <w:t xml:space="preserve">Cybersecurity and Communications Reliability Division, FCC Public Safety and Homeland Security Bureau </w:t>
      </w:r>
      <w:bookmarkEnd w:id="2"/>
      <w:r w:rsidR="000C6CB2">
        <w:t xml:space="preserve">(Oct. </w:t>
      </w:r>
      <w:r w:rsidR="00947A1F">
        <w:t>29</w:t>
      </w:r>
      <w:r w:rsidR="000C6CB2">
        <w:t>, 2019</w:t>
      </w:r>
      <w:r w:rsidR="00947A1F">
        <w:t>, 1:39PM EST</w:t>
      </w:r>
      <w:r w:rsidR="000C6CB2">
        <w:t xml:space="preserve">) (referencing the </w:t>
      </w:r>
      <w:r w:rsidRPr="00E43B5C" w:rsidR="008D29B0">
        <w:rPr>
          <w:i/>
        </w:rPr>
        <w:t>Integrated Public Alert and Warning System Modernization Act of 2015</w:t>
      </w:r>
      <w:r w:rsidR="008D29B0">
        <w:t xml:space="preserve">, Pub. L. No. 114-143, </w:t>
      </w:r>
      <w:r w:rsidRPr="008F2F66" w:rsidR="008D29B0">
        <w:t>§</w:t>
      </w:r>
      <w:r w:rsidR="008D29B0">
        <w:t xml:space="preserve"> 526(d), 130 Stat. 327, 329 (2015) (codified at </w:t>
      </w:r>
      <w:r w:rsidRPr="00E43B5C" w:rsidR="008D29B0">
        <w:t>6 USC §</w:t>
      </w:r>
      <w:r w:rsidR="008D29B0">
        <w:t xml:space="preserve"> </w:t>
      </w:r>
      <w:r w:rsidRPr="00E43B5C" w:rsidR="008D29B0">
        <w:t>32</w:t>
      </w:r>
      <w:r w:rsidR="005E07FF">
        <w:t>1</w:t>
      </w:r>
      <w:r w:rsidRPr="00E43B5C" w:rsidR="008D29B0">
        <w:t>o(d)</w:t>
      </w:r>
      <w:r w:rsidR="008D29B0">
        <w:t>) (2016)</w:t>
      </w:r>
      <w:r w:rsidR="000C6CB2">
        <w:t>).</w:t>
      </w:r>
    </w:p>
  </w:footnote>
  <w:footnote w:id="40">
    <w:p w:rsidR="00AA6D8C" w:rsidRPr="00AA6D8C" w14:paraId="3F7F872B" w14:textId="49AACF72">
      <w:pPr>
        <w:pStyle w:val="FootnoteText"/>
      </w:pPr>
      <w:r>
        <w:rPr>
          <w:rStyle w:val="FootnoteReference"/>
        </w:rPr>
        <w:footnoteRef/>
      </w:r>
      <w:r>
        <w:t xml:space="preserve"> </w:t>
      </w:r>
      <w:r w:rsidRPr="003F7371">
        <w:rPr>
          <w:i/>
        </w:rPr>
        <w:t>See</w:t>
      </w:r>
      <w:r>
        <w:rPr>
          <w:i/>
        </w:rPr>
        <w:t xml:space="preserve"> </w:t>
      </w:r>
      <w:r w:rsidRPr="003F7371">
        <w:rPr>
          <w:i/>
        </w:rPr>
        <w:t xml:space="preserve">Public Safety &amp; Homeland Security Bureau Announces Delay in Availability of Certain Improvements to Wireless Emergency Alerts, </w:t>
      </w:r>
      <w:r w:rsidRPr="003F7371">
        <w:t xml:space="preserve">Public Notice, 33 FCC Rcd 4647 (PSHSB June 7, 2019); </w:t>
      </w:r>
      <w:r w:rsidRPr="003F7371">
        <w:rPr>
          <w:i/>
        </w:rPr>
        <w:t>Advisory Regarding May 1 Deadline for Improvements to Wireless Emergency Alerts and Guidance for State/Local Alert Originators</w:t>
      </w:r>
      <w:r w:rsidRPr="003F7371">
        <w:t>,</w:t>
      </w:r>
      <w:r w:rsidRPr="003F7371">
        <w:rPr>
          <w:i/>
        </w:rPr>
        <w:t xml:space="preserve"> </w:t>
      </w:r>
      <w:r w:rsidRPr="003F7371">
        <w:t>Public Notice, 33 FCC Rcd 2819, 2820 (PSHSB Apr. 30, 2019).</w:t>
      </w:r>
      <w:r>
        <w:t xml:space="preserve">  </w:t>
      </w:r>
      <w:r>
        <w:rPr>
          <w:i/>
        </w:rPr>
        <w:t>See also</w:t>
      </w:r>
      <w:r>
        <w:t xml:space="preserve"> T-Mobile Revised Waiver Request at 1 n.</w:t>
      </w:r>
      <w:r w:rsidR="00416E21">
        <w:t>4</w:t>
      </w:r>
      <w:r>
        <w:t>.</w:t>
      </w:r>
    </w:p>
  </w:footnote>
  <w:footnote w:id="41">
    <w:p w:rsidR="00E334A9" w:rsidP="00E334A9" w14:paraId="0FDAA416" w14:textId="77777777">
      <w:pPr>
        <w:pStyle w:val="FootnoteText"/>
      </w:pPr>
      <w:r>
        <w:rPr>
          <w:rStyle w:val="FootnoteReference"/>
        </w:rPr>
        <w:footnoteRef/>
      </w:r>
      <w:r>
        <w:t xml:space="preserve"> </w:t>
      </w:r>
      <w:r>
        <w:rPr>
          <w:i/>
        </w:rPr>
        <w:t>See</w:t>
      </w:r>
      <w:r>
        <w:t xml:space="preserve"> T-Mobile Revised Waiver Request at 2.  </w:t>
      </w:r>
    </w:p>
  </w:footnote>
  <w:footnote w:id="42">
    <w:p w:rsidR="007077AC" w14:paraId="1160825A" w14:textId="30C54C01">
      <w:pPr>
        <w:pStyle w:val="FootnoteText"/>
      </w:pPr>
      <w:r>
        <w:rPr>
          <w:rStyle w:val="FootnoteReference"/>
        </w:rPr>
        <w:footnoteRef/>
      </w:r>
      <w:r>
        <w:t xml:space="preserve"> </w:t>
      </w:r>
      <w:r w:rsidR="00B71553">
        <w:rPr>
          <w:i/>
        </w:rPr>
        <w:t>See</w:t>
      </w:r>
      <w:r w:rsidR="00B71553">
        <w:t xml:space="preserve"> </w:t>
      </w:r>
      <w:r w:rsidR="00416E21">
        <w:rPr>
          <w:i/>
        </w:rPr>
        <w:t>id</w:t>
      </w:r>
      <w:r w:rsidR="00B71553">
        <w:t xml:space="preserve">.  </w:t>
      </w:r>
    </w:p>
  </w:footnote>
  <w:footnote w:id="43">
    <w:p w:rsidR="007077AC" w:rsidRPr="001D0C8C" w14:paraId="33AAE23E" w14:textId="0694B46F">
      <w:pPr>
        <w:pStyle w:val="FootnoteText"/>
      </w:pPr>
      <w:r>
        <w:rPr>
          <w:rStyle w:val="FootnoteReference"/>
        </w:rPr>
        <w:footnoteRef/>
      </w:r>
      <w:r>
        <w:t xml:space="preserve"> </w:t>
      </w:r>
      <w:r w:rsidR="001D0C8C">
        <w:rPr>
          <w:i/>
        </w:rPr>
        <w:t>See</w:t>
      </w:r>
      <w:r w:rsidR="001D0C8C">
        <w:t xml:space="preserve"> 47 CFR </w:t>
      </w:r>
      <w:r w:rsidRPr="00675326" w:rsidR="001D0C8C">
        <w:t>§</w:t>
      </w:r>
      <w:r w:rsidR="001D0C8C">
        <w:t xml:space="preserve"> 10.350(c)(4).</w:t>
      </w:r>
    </w:p>
  </w:footnote>
  <w:footnote w:id="44">
    <w:p w:rsidR="009D79FF" w14:paraId="43B23D53" w14:textId="09A072A2">
      <w:pPr>
        <w:pStyle w:val="FootnoteText"/>
      </w:pPr>
      <w:r>
        <w:rPr>
          <w:rStyle w:val="FootnoteReference"/>
        </w:rPr>
        <w:footnoteRef/>
      </w:r>
      <w:r>
        <w:t xml:space="preserve"> </w:t>
      </w:r>
      <w:r>
        <w:rPr>
          <w:i/>
        </w:rPr>
        <w:t>See</w:t>
      </w:r>
      <w:r>
        <w:t xml:space="preserve"> T-Mobile </w:t>
      </w:r>
      <w:r w:rsidR="009C03D9">
        <w:t xml:space="preserve">Revised </w:t>
      </w:r>
      <w:r>
        <w:t xml:space="preserve">Waiver Request at 3.  </w:t>
      </w:r>
    </w:p>
  </w:footnote>
  <w:footnote w:id="45">
    <w:p w:rsidR="007077AC" w:rsidRPr="009D79FF" w14:paraId="4B615FE0" w14:textId="0E5C4459">
      <w:pPr>
        <w:pStyle w:val="FootnoteText"/>
      </w:pPr>
      <w:r>
        <w:rPr>
          <w:rStyle w:val="FootnoteReference"/>
        </w:rPr>
        <w:footnoteRef/>
      </w:r>
      <w:r>
        <w:t xml:space="preserve"> </w:t>
      </w:r>
      <w:r w:rsidR="009D79FF">
        <w:rPr>
          <w:i/>
        </w:rPr>
        <w:t>Id.</w:t>
      </w:r>
      <w:r w:rsidR="009448FB">
        <w:t xml:space="preserve"> </w:t>
      </w:r>
      <w:r>
        <w:t xml:space="preserve">at 1.  Specifically, Section 10.320(a) and 10.320(b) require the CMS gateway to support a secure connection to the federal alert gateway and to authenticate interactions with the federal alert gateway, respectively, but T-Mobile’s CMS gateways will not perform these functions during the test. </w:t>
      </w:r>
    </w:p>
  </w:footnote>
  <w:footnote w:id="46">
    <w:p w:rsidR="007077AC" w14:paraId="71A7F2F8" w14:textId="77777777">
      <w:pPr>
        <w:pStyle w:val="FootnoteText"/>
      </w:pPr>
      <w:r>
        <w:rPr>
          <w:rStyle w:val="FootnoteReference"/>
        </w:rPr>
        <w:footnoteRef/>
      </w:r>
      <w:r>
        <w:t xml:space="preserve"> </w:t>
      </w:r>
      <w:r w:rsidRPr="00675326">
        <w:t>47 CFR</w:t>
      </w:r>
      <w:r w:rsidRPr="00675326">
        <w:rPr>
          <w:spacing w:val="-1"/>
        </w:rPr>
        <w:t xml:space="preserve"> </w:t>
      </w:r>
      <w:r w:rsidRPr="00675326">
        <w:t>§</w:t>
      </w:r>
      <w:r>
        <w:t xml:space="preserve"> 10.350(c)(1).</w:t>
      </w:r>
    </w:p>
  </w:footnote>
  <w:footnote w:id="47">
    <w:p w:rsidR="00AB44D7" w14:paraId="7A19872E" w14:textId="2753EA3B">
      <w:pPr>
        <w:pStyle w:val="FootnoteText"/>
      </w:pPr>
      <w:r>
        <w:rPr>
          <w:rStyle w:val="FootnoteReference"/>
        </w:rPr>
        <w:footnoteRef/>
      </w:r>
      <w:r>
        <w:t xml:space="preserve"> </w:t>
      </w:r>
      <w:r w:rsidRPr="00675326">
        <w:t>47 CFR</w:t>
      </w:r>
      <w:r w:rsidRPr="00675326">
        <w:rPr>
          <w:spacing w:val="-1"/>
        </w:rPr>
        <w:t xml:space="preserve"> </w:t>
      </w:r>
      <w:r w:rsidRPr="00675326">
        <w:t>§</w:t>
      </w:r>
      <w:r>
        <w:t xml:space="preserve"> 10.520(d)</w:t>
      </w:r>
      <w:r w:rsidR="009C03D9">
        <w:t>.</w:t>
      </w:r>
    </w:p>
  </w:footnote>
  <w:footnote w:id="48">
    <w:p w:rsidR="00AB44D7" w14:paraId="6AC2025C" w14:textId="3D1900B1">
      <w:pPr>
        <w:pStyle w:val="FootnoteText"/>
      </w:pPr>
      <w:r>
        <w:rPr>
          <w:rStyle w:val="FootnoteReference"/>
        </w:rPr>
        <w:footnoteRef/>
      </w:r>
      <w:r>
        <w:t xml:space="preserve"> </w:t>
      </w:r>
      <w:r w:rsidRPr="00675326">
        <w:t>47 CFR</w:t>
      </w:r>
      <w:r w:rsidRPr="00675326">
        <w:rPr>
          <w:spacing w:val="-1"/>
        </w:rPr>
        <w:t xml:space="preserve"> </w:t>
      </w:r>
      <w:r w:rsidRPr="00675326">
        <w:t>§</w:t>
      </w:r>
      <w:r>
        <w:t xml:space="preserve"> 10.530(b).</w:t>
      </w:r>
    </w:p>
  </w:footnote>
  <w:footnote w:id="49">
    <w:p w:rsidR="00AB44D7" w:rsidRPr="00C005C1" w14:paraId="3E7D7409" w14:textId="1365074E">
      <w:pPr>
        <w:pStyle w:val="FootnoteText"/>
      </w:pPr>
      <w:r>
        <w:rPr>
          <w:rStyle w:val="FootnoteReference"/>
        </w:rPr>
        <w:footnoteRef/>
      </w:r>
      <w:r>
        <w:t xml:space="preserve"> </w:t>
      </w:r>
      <w:r w:rsidRPr="00675326">
        <w:t>47 CFR</w:t>
      </w:r>
      <w:r w:rsidRPr="00675326">
        <w:rPr>
          <w:spacing w:val="-1"/>
        </w:rPr>
        <w:t xml:space="preserve"> </w:t>
      </w:r>
      <w:r w:rsidRPr="00675326">
        <w:t>§</w:t>
      </w:r>
      <w:r>
        <w:t xml:space="preserve"> 11.45</w:t>
      </w:r>
      <w:r w:rsidR="00C005C1">
        <w:t xml:space="preserve">; </w:t>
      </w:r>
      <w:r w:rsidR="00C005C1">
        <w:rPr>
          <w:i/>
        </w:rPr>
        <w:t>see also</w:t>
      </w:r>
      <w:r w:rsidR="00C005C1">
        <w:t xml:space="preserve">, </w:t>
      </w:r>
      <w:r w:rsidR="00C005C1">
        <w:rPr>
          <w:i/>
        </w:rPr>
        <w:t>e.g.</w:t>
      </w:r>
      <w:r w:rsidR="00C005C1">
        <w:t xml:space="preserve">, </w:t>
      </w:r>
      <w:r w:rsidR="00C005C1">
        <w:rPr>
          <w:i/>
        </w:rPr>
        <w:t>supra</w:t>
      </w:r>
      <w:r w:rsidR="00C005C1">
        <w:t xml:space="preserve"> note </w:t>
      </w:r>
      <w:r w:rsidR="009C03D9">
        <w:t>15</w:t>
      </w:r>
      <w:r w:rsidR="00C005C1">
        <w:t xml:space="preserve"> (highlighting other waiver orders for WEA testing that have waived Section 11.45 for this purpose). </w:t>
      </w:r>
    </w:p>
  </w:footnote>
  <w:footnote w:id="50">
    <w:p w:rsidR="009D79FF" w:rsidRPr="004B51B0" w14:paraId="002791F9" w14:textId="1CCCC100">
      <w:pPr>
        <w:pStyle w:val="FootnoteText"/>
      </w:pPr>
      <w:r>
        <w:rPr>
          <w:rStyle w:val="FootnoteReference"/>
        </w:rPr>
        <w:footnoteRef/>
      </w:r>
      <w:r>
        <w:t xml:space="preserve"> </w:t>
      </w:r>
      <w:r>
        <w:rPr>
          <w:i/>
        </w:rPr>
        <w:t>See supra</w:t>
      </w:r>
      <w:r>
        <w:t xml:space="preserve"> note </w:t>
      </w:r>
      <w:r w:rsidR="009C03D9">
        <w:t>15</w:t>
      </w:r>
      <w:r>
        <w:t>.</w:t>
      </w:r>
    </w:p>
  </w:footnote>
  <w:footnote w:id="51">
    <w:p w:rsidR="009D79FF" w:rsidRPr="00B0643B" w:rsidP="006A7F29" w14:paraId="754B2655" w14:textId="77777777">
      <w:pPr>
        <w:pStyle w:val="FootnoteText"/>
      </w:pPr>
      <w:r w:rsidRPr="00B0643B">
        <w:rPr>
          <w:rStyle w:val="FootnoteReference"/>
        </w:rPr>
        <w:footnoteRef/>
      </w:r>
      <w:r w:rsidRPr="00B0643B">
        <w:t xml:space="preserve"> </w:t>
      </w:r>
      <w:r w:rsidRPr="00B0643B">
        <w:rPr>
          <w:i/>
        </w:rPr>
        <w:t xml:space="preserve">See </w:t>
      </w:r>
      <w:r w:rsidRPr="00B0643B">
        <w:t>47</w:t>
      </w:r>
      <w:r w:rsidRPr="00B0643B">
        <w:rPr>
          <w:spacing w:val="-1"/>
        </w:rPr>
        <w:t xml:space="preserve"> U.S.C.</w:t>
      </w:r>
      <w:r w:rsidRPr="00B0643B">
        <w:t xml:space="preserve"> §</w:t>
      </w:r>
      <w:r w:rsidRPr="00B0643B">
        <w:rPr>
          <w:spacing w:val="-1"/>
        </w:rPr>
        <w:t xml:space="preserve"> </w:t>
      </w:r>
      <w:r w:rsidRPr="00B0643B">
        <w:t>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9FF" w:rsidP="00810B6F" w14:paraId="1D23A9E8" w14:textId="23CE3C30">
    <w:pPr>
      <w:pStyle w:val="Header"/>
      <w:rPr>
        <w:b w:val="0"/>
      </w:rPr>
    </w:pPr>
    <w:r>
      <w:tab/>
      <w:t>Federal Communications Commission</w:t>
    </w:r>
    <w:r>
      <w:tab/>
    </w:r>
    <w:r w:rsidRPr="003763BD">
      <w:t>DA 19-</w:t>
    </w:r>
    <w:r w:rsidR="0004755C">
      <w:t>1129</w:t>
    </w:r>
  </w:p>
  <w:p w:rsidR="009D79FF" w14:paraId="7C39F80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D79FF" w14:paraId="56ED211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9FF" w:rsidP="00810B6F" w14:paraId="03EE664D" w14:textId="39E7CBD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Pr="00E227AB">
      <w:rPr>
        <w:spacing w:val="-2"/>
      </w:rPr>
      <w:t>DA 19-</w:t>
    </w:r>
    <w:r w:rsidRPr="00E227AB" w:rsidR="0004755C">
      <w:rPr>
        <w:spacing w:val="-2"/>
      </w:rPr>
      <w:t>1129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293CE0"/>
    <w:multiLevelType w:val="hybridMultilevel"/>
    <w:tmpl w:val="C08C4A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BA8C00CA"/>
    <w:lvl w:ilvl="0">
      <w:start w:val="1"/>
      <w:numFmt w:val="decimal"/>
      <w:pStyle w:val="ParaNum"/>
      <w:lvlText w:val="%1."/>
      <w:lvlJc w:val="left"/>
      <w:pPr>
        <w:tabs>
          <w:tab w:val="num" w:pos="1080"/>
        </w:tabs>
        <w:ind w:left="0" w:firstLine="720"/>
      </w:pPr>
      <w:rPr>
        <w:b w:val="0"/>
      </w:rPr>
    </w:lvl>
  </w:abstractNum>
  <w:abstractNum w:abstractNumId="7">
    <w:nsid w:val="65A81D38"/>
    <w:multiLevelType w:val="hybridMultilevel"/>
    <w:tmpl w:val="2D486F72"/>
    <w:lvl w:ilvl="0">
      <w:start w:val="2"/>
      <w:numFmt w:val="decimal"/>
      <w:lvlText w:val="%1."/>
      <w:lvlJc w:val="left"/>
      <w:pPr>
        <w:ind w:left="120" w:hanging="721"/>
      </w:pPr>
      <w:rPr>
        <w:rFonts w:ascii="Times New Roman" w:eastAsia="Times New Roman" w:hAnsi="Times New Roman" w:hint="default"/>
        <w:sz w:val="22"/>
        <w:szCs w:val="22"/>
      </w:r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abstractNum w:abstractNumId="8">
    <w:nsid w:val="675D2695"/>
    <w:multiLevelType w:val="hybridMultilevel"/>
    <w:tmpl w:val="77BE38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7"/>
  </w:num>
  <w:num w:numId="8">
    <w:abstractNumId w:val="6"/>
    <w:lvlOverride w:ilvl="0">
      <w:startOverride w:val="1"/>
    </w:lvlOverride>
  </w:num>
  <w:num w:numId="9">
    <w:abstractNumId w:val="8"/>
  </w:num>
  <w:num w:numId="10">
    <w:abstractNumId w:val="0"/>
  </w:num>
  <w:num w:numId="11">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29"/>
    <w:rsid w:val="00002401"/>
    <w:rsid w:val="000026B8"/>
    <w:rsid w:val="00004A7D"/>
    <w:rsid w:val="00005916"/>
    <w:rsid w:val="000100FA"/>
    <w:rsid w:val="00010A16"/>
    <w:rsid w:val="000128E4"/>
    <w:rsid w:val="00021C7C"/>
    <w:rsid w:val="00032487"/>
    <w:rsid w:val="00033DF6"/>
    <w:rsid w:val="00036039"/>
    <w:rsid w:val="00037F90"/>
    <w:rsid w:val="0004012B"/>
    <w:rsid w:val="0004513E"/>
    <w:rsid w:val="0004755C"/>
    <w:rsid w:val="00053100"/>
    <w:rsid w:val="00053B58"/>
    <w:rsid w:val="00055D7F"/>
    <w:rsid w:val="00070D27"/>
    <w:rsid w:val="00071612"/>
    <w:rsid w:val="00071646"/>
    <w:rsid w:val="00080A07"/>
    <w:rsid w:val="000875BF"/>
    <w:rsid w:val="00090291"/>
    <w:rsid w:val="00096D8C"/>
    <w:rsid w:val="00097F61"/>
    <w:rsid w:val="000A121B"/>
    <w:rsid w:val="000A199E"/>
    <w:rsid w:val="000A4028"/>
    <w:rsid w:val="000A64ED"/>
    <w:rsid w:val="000A7B6D"/>
    <w:rsid w:val="000B1FFF"/>
    <w:rsid w:val="000B3817"/>
    <w:rsid w:val="000C0B65"/>
    <w:rsid w:val="000C26EB"/>
    <w:rsid w:val="000C2F8F"/>
    <w:rsid w:val="000C34EC"/>
    <w:rsid w:val="000C6CB2"/>
    <w:rsid w:val="000D6650"/>
    <w:rsid w:val="000E05FE"/>
    <w:rsid w:val="000E3D42"/>
    <w:rsid w:val="000F373F"/>
    <w:rsid w:val="000F45B9"/>
    <w:rsid w:val="000F6D1C"/>
    <w:rsid w:val="00100290"/>
    <w:rsid w:val="001005F7"/>
    <w:rsid w:val="00104213"/>
    <w:rsid w:val="00104B0F"/>
    <w:rsid w:val="0011351E"/>
    <w:rsid w:val="00122BD5"/>
    <w:rsid w:val="001336D7"/>
    <w:rsid w:val="00133F79"/>
    <w:rsid w:val="001359AB"/>
    <w:rsid w:val="00145048"/>
    <w:rsid w:val="0014518A"/>
    <w:rsid w:val="00153851"/>
    <w:rsid w:val="00153985"/>
    <w:rsid w:val="001578EE"/>
    <w:rsid w:val="00157AA7"/>
    <w:rsid w:val="0017095C"/>
    <w:rsid w:val="0017348F"/>
    <w:rsid w:val="00173DC0"/>
    <w:rsid w:val="0017464C"/>
    <w:rsid w:val="0017495D"/>
    <w:rsid w:val="0017740D"/>
    <w:rsid w:val="00180761"/>
    <w:rsid w:val="00183160"/>
    <w:rsid w:val="00183CAA"/>
    <w:rsid w:val="00184692"/>
    <w:rsid w:val="00193C82"/>
    <w:rsid w:val="001945BB"/>
    <w:rsid w:val="00194A66"/>
    <w:rsid w:val="00195F39"/>
    <w:rsid w:val="001A0033"/>
    <w:rsid w:val="001A04B2"/>
    <w:rsid w:val="001A108F"/>
    <w:rsid w:val="001A159F"/>
    <w:rsid w:val="001A34CB"/>
    <w:rsid w:val="001B24C0"/>
    <w:rsid w:val="001C1208"/>
    <w:rsid w:val="001C1703"/>
    <w:rsid w:val="001C4B10"/>
    <w:rsid w:val="001C68EC"/>
    <w:rsid w:val="001D0C8C"/>
    <w:rsid w:val="001D3718"/>
    <w:rsid w:val="001D676D"/>
    <w:rsid w:val="001D6BCF"/>
    <w:rsid w:val="001D7BF8"/>
    <w:rsid w:val="001E01CA"/>
    <w:rsid w:val="001E041A"/>
    <w:rsid w:val="001E3D29"/>
    <w:rsid w:val="001E57FF"/>
    <w:rsid w:val="001F73EA"/>
    <w:rsid w:val="00204E0B"/>
    <w:rsid w:val="00212024"/>
    <w:rsid w:val="002137F7"/>
    <w:rsid w:val="00214855"/>
    <w:rsid w:val="002157E4"/>
    <w:rsid w:val="002178D2"/>
    <w:rsid w:val="00221BCD"/>
    <w:rsid w:val="00223117"/>
    <w:rsid w:val="00223542"/>
    <w:rsid w:val="00227E62"/>
    <w:rsid w:val="00240357"/>
    <w:rsid w:val="00241391"/>
    <w:rsid w:val="00246125"/>
    <w:rsid w:val="00250E94"/>
    <w:rsid w:val="002510C8"/>
    <w:rsid w:val="00254905"/>
    <w:rsid w:val="002549C3"/>
    <w:rsid w:val="00257747"/>
    <w:rsid w:val="0026024D"/>
    <w:rsid w:val="00260F8B"/>
    <w:rsid w:val="0027157A"/>
    <w:rsid w:val="00275CF5"/>
    <w:rsid w:val="002813D2"/>
    <w:rsid w:val="0028301F"/>
    <w:rsid w:val="00285017"/>
    <w:rsid w:val="00290D78"/>
    <w:rsid w:val="00291E42"/>
    <w:rsid w:val="00293FF6"/>
    <w:rsid w:val="002951C0"/>
    <w:rsid w:val="002952D5"/>
    <w:rsid w:val="002957E4"/>
    <w:rsid w:val="00295C3C"/>
    <w:rsid w:val="00297109"/>
    <w:rsid w:val="002A285F"/>
    <w:rsid w:val="002A2D2E"/>
    <w:rsid w:val="002A4445"/>
    <w:rsid w:val="002A4E36"/>
    <w:rsid w:val="002B2DAC"/>
    <w:rsid w:val="002B5F3D"/>
    <w:rsid w:val="002B6B26"/>
    <w:rsid w:val="002C00E8"/>
    <w:rsid w:val="002C1C4B"/>
    <w:rsid w:val="002C28D7"/>
    <w:rsid w:val="002C6646"/>
    <w:rsid w:val="002D0206"/>
    <w:rsid w:val="002D2C66"/>
    <w:rsid w:val="002D7FBA"/>
    <w:rsid w:val="002E1EA1"/>
    <w:rsid w:val="002E44C4"/>
    <w:rsid w:val="002E6A35"/>
    <w:rsid w:val="002F2B54"/>
    <w:rsid w:val="002F57B9"/>
    <w:rsid w:val="003023E6"/>
    <w:rsid w:val="003045BB"/>
    <w:rsid w:val="0030476A"/>
    <w:rsid w:val="003116F2"/>
    <w:rsid w:val="00313204"/>
    <w:rsid w:val="00313EDE"/>
    <w:rsid w:val="003164E8"/>
    <w:rsid w:val="003200F5"/>
    <w:rsid w:val="00321AFC"/>
    <w:rsid w:val="0033556D"/>
    <w:rsid w:val="00337223"/>
    <w:rsid w:val="00343749"/>
    <w:rsid w:val="003503F6"/>
    <w:rsid w:val="00360FEC"/>
    <w:rsid w:val="00363F4E"/>
    <w:rsid w:val="00364FFE"/>
    <w:rsid w:val="00365A60"/>
    <w:rsid w:val="003660ED"/>
    <w:rsid w:val="00370D28"/>
    <w:rsid w:val="003730EE"/>
    <w:rsid w:val="00375F21"/>
    <w:rsid w:val="003763BD"/>
    <w:rsid w:val="00376E4B"/>
    <w:rsid w:val="0037713C"/>
    <w:rsid w:val="00382487"/>
    <w:rsid w:val="003929DF"/>
    <w:rsid w:val="003943CB"/>
    <w:rsid w:val="0039547F"/>
    <w:rsid w:val="0039606B"/>
    <w:rsid w:val="003A1993"/>
    <w:rsid w:val="003A4CBF"/>
    <w:rsid w:val="003B0550"/>
    <w:rsid w:val="003B2C6B"/>
    <w:rsid w:val="003B54A2"/>
    <w:rsid w:val="003B61A8"/>
    <w:rsid w:val="003B694F"/>
    <w:rsid w:val="003C0682"/>
    <w:rsid w:val="003C3E95"/>
    <w:rsid w:val="003C6E14"/>
    <w:rsid w:val="003D2377"/>
    <w:rsid w:val="003D71B7"/>
    <w:rsid w:val="003E3B86"/>
    <w:rsid w:val="003E3F56"/>
    <w:rsid w:val="003F1620"/>
    <w:rsid w:val="003F171C"/>
    <w:rsid w:val="003F7371"/>
    <w:rsid w:val="00400DC6"/>
    <w:rsid w:val="00406072"/>
    <w:rsid w:val="00406F85"/>
    <w:rsid w:val="00410081"/>
    <w:rsid w:val="00411374"/>
    <w:rsid w:val="00411D37"/>
    <w:rsid w:val="00412FC5"/>
    <w:rsid w:val="004136B4"/>
    <w:rsid w:val="00416E21"/>
    <w:rsid w:val="004170AD"/>
    <w:rsid w:val="00417F3F"/>
    <w:rsid w:val="00417F76"/>
    <w:rsid w:val="00417FEA"/>
    <w:rsid w:val="00420D67"/>
    <w:rsid w:val="00421D3F"/>
    <w:rsid w:val="00422276"/>
    <w:rsid w:val="004222DD"/>
    <w:rsid w:val="004242F1"/>
    <w:rsid w:val="0042544E"/>
    <w:rsid w:val="00445A00"/>
    <w:rsid w:val="00445C50"/>
    <w:rsid w:val="00451B0F"/>
    <w:rsid w:val="00451E14"/>
    <w:rsid w:val="004535B7"/>
    <w:rsid w:val="0045491E"/>
    <w:rsid w:val="004549D8"/>
    <w:rsid w:val="00455A72"/>
    <w:rsid w:val="00457BD6"/>
    <w:rsid w:val="0046326C"/>
    <w:rsid w:val="004749FC"/>
    <w:rsid w:val="0047596C"/>
    <w:rsid w:val="004820F2"/>
    <w:rsid w:val="00483522"/>
    <w:rsid w:val="00487605"/>
    <w:rsid w:val="00490CD9"/>
    <w:rsid w:val="004A2677"/>
    <w:rsid w:val="004A46C2"/>
    <w:rsid w:val="004A58BE"/>
    <w:rsid w:val="004A6576"/>
    <w:rsid w:val="004B09C3"/>
    <w:rsid w:val="004B1915"/>
    <w:rsid w:val="004B391A"/>
    <w:rsid w:val="004B47A6"/>
    <w:rsid w:val="004B51B0"/>
    <w:rsid w:val="004B694E"/>
    <w:rsid w:val="004B71FA"/>
    <w:rsid w:val="004C2EE3"/>
    <w:rsid w:val="004C40ED"/>
    <w:rsid w:val="004D28B8"/>
    <w:rsid w:val="004D39F3"/>
    <w:rsid w:val="004E3BCA"/>
    <w:rsid w:val="004E4A22"/>
    <w:rsid w:val="004E68C2"/>
    <w:rsid w:val="004E6953"/>
    <w:rsid w:val="004F4085"/>
    <w:rsid w:val="004F4FC1"/>
    <w:rsid w:val="00501995"/>
    <w:rsid w:val="00501A95"/>
    <w:rsid w:val="00504E28"/>
    <w:rsid w:val="00506360"/>
    <w:rsid w:val="00510B7C"/>
    <w:rsid w:val="00511968"/>
    <w:rsid w:val="00512C0D"/>
    <w:rsid w:val="00514925"/>
    <w:rsid w:val="0051592A"/>
    <w:rsid w:val="005229F8"/>
    <w:rsid w:val="005248D6"/>
    <w:rsid w:val="00524C17"/>
    <w:rsid w:val="00524D6C"/>
    <w:rsid w:val="005275DA"/>
    <w:rsid w:val="00535583"/>
    <w:rsid w:val="00540E4B"/>
    <w:rsid w:val="00544408"/>
    <w:rsid w:val="00545E6B"/>
    <w:rsid w:val="00547627"/>
    <w:rsid w:val="005528B0"/>
    <w:rsid w:val="00555766"/>
    <w:rsid w:val="0055614C"/>
    <w:rsid w:val="005567B6"/>
    <w:rsid w:val="00557D55"/>
    <w:rsid w:val="005608AB"/>
    <w:rsid w:val="0056553A"/>
    <w:rsid w:val="00566D06"/>
    <w:rsid w:val="0057258E"/>
    <w:rsid w:val="00574A18"/>
    <w:rsid w:val="00575E46"/>
    <w:rsid w:val="005765F0"/>
    <w:rsid w:val="00582B8A"/>
    <w:rsid w:val="005851B9"/>
    <w:rsid w:val="005900AD"/>
    <w:rsid w:val="00596B69"/>
    <w:rsid w:val="005A4CDE"/>
    <w:rsid w:val="005A5EF4"/>
    <w:rsid w:val="005A69B7"/>
    <w:rsid w:val="005B60C2"/>
    <w:rsid w:val="005B6359"/>
    <w:rsid w:val="005B6937"/>
    <w:rsid w:val="005C1AE1"/>
    <w:rsid w:val="005C6805"/>
    <w:rsid w:val="005D11C0"/>
    <w:rsid w:val="005D622B"/>
    <w:rsid w:val="005E07FF"/>
    <w:rsid w:val="005E14C2"/>
    <w:rsid w:val="005E2350"/>
    <w:rsid w:val="005E47B7"/>
    <w:rsid w:val="005E730A"/>
    <w:rsid w:val="005F30BA"/>
    <w:rsid w:val="005F5368"/>
    <w:rsid w:val="00604CA6"/>
    <w:rsid w:val="00607BA5"/>
    <w:rsid w:val="0061180A"/>
    <w:rsid w:val="0061188D"/>
    <w:rsid w:val="00613B60"/>
    <w:rsid w:val="00615919"/>
    <w:rsid w:val="00623222"/>
    <w:rsid w:val="006249A9"/>
    <w:rsid w:val="00626EB6"/>
    <w:rsid w:val="006277B9"/>
    <w:rsid w:val="0063012C"/>
    <w:rsid w:val="00634433"/>
    <w:rsid w:val="00635B94"/>
    <w:rsid w:val="00641BA8"/>
    <w:rsid w:val="00642FFB"/>
    <w:rsid w:val="006504CE"/>
    <w:rsid w:val="0065196E"/>
    <w:rsid w:val="00653A82"/>
    <w:rsid w:val="006545AE"/>
    <w:rsid w:val="00654B24"/>
    <w:rsid w:val="00655405"/>
    <w:rsid w:val="00655D03"/>
    <w:rsid w:val="006618E3"/>
    <w:rsid w:val="00663A63"/>
    <w:rsid w:val="006654E2"/>
    <w:rsid w:val="00672522"/>
    <w:rsid w:val="00675326"/>
    <w:rsid w:val="00681200"/>
    <w:rsid w:val="00681427"/>
    <w:rsid w:val="006820BA"/>
    <w:rsid w:val="00682989"/>
    <w:rsid w:val="00683388"/>
    <w:rsid w:val="00683C92"/>
    <w:rsid w:val="00683F84"/>
    <w:rsid w:val="00685830"/>
    <w:rsid w:val="0068654A"/>
    <w:rsid w:val="006927F1"/>
    <w:rsid w:val="00692D6E"/>
    <w:rsid w:val="0069571F"/>
    <w:rsid w:val="0069574D"/>
    <w:rsid w:val="00697AC4"/>
    <w:rsid w:val="006A119D"/>
    <w:rsid w:val="006A19C8"/>
    <w:rsid w:val="006A2C79"/>
    <w:rsid w:val="006A3BA4"/>
    <w:rsid w:val="006A3CFF"/>
    <w:rsid w:val="006A4BC1"/>
    <w:rsid w:val="006A6A81"/>
    <w:rsid w:val="006A7F29"/>
    <w:rsid w:val="006B00FB"/>
    <w:rsid w:val="006B2311"/>
    <w:rsid w:val="006B33B8"/>
    <w:rsid w:val="006B7858"/>
    <w:rsid w:val="006C4993"/>
    <w:rsid w:val="006D0734"/>
    <w:rsid w:val="006D094C"/>
    <w:rsid w:val="006D2F94"/>
    <w:rsid w:val="006D7556"/>
    <w:rsid w:val="006D7E87"/>
    <w:rsid w:val="006E57A3"/>
    <w:rsid w:val="006E73A5"/>
    <w:rsid w:val="006F1D9C"/>
    <w:rsid w:val="006F3C28"/>
    <w:rsid w:val="006F7393"/>
    <w:rsid w:val="006F78A7"/>
    <w:rsid w:val="0070138A"/>
    <w:rsid w:val="0070224F"/>
    <w:rsid w:val="0070268D"/>
    <w:rsid w:val="00704AE1"/>
    <w:rsid w:val="007077AC"/>
    <w:rsid w:val="007115F7"/>
    <w:rsid w:val="00714F4E"/>
    <w:rsid w:val="00716220"/>
    <w:rsid w:val="00716837"/>
    <w:rsid w:val="00725209"/>
    <w:rsid w:val="00725B7D"/>
    <w:rsid w:val="007263FD"/>
    <w:rsid w:val="00726496"/>
    <w:rsid w:val="007317BA"/>
    <w:rsid w:val="007362C5"/>
    <w:rsid w:val="00742C38"/>
    <w:rsid w:val="0075104B"/>
    <w:rsid w:val="007532D3"/>
    <w:rsid w:val="00757989"/>
    <w:rsid w:val="00760375"/>
    <w:rsid w:val="00765777"/>
    <w:rsid w:val="00772845"/>
    <w:rsid w:val="007740B9"/>
    <w:rsid w:val="007740FF"/>
    <w:rsid w:val="00775E66"/>
    <w:rsid w:val="00780DE9"/>
    <w:rsid w:val="00780F62"/>
    <w:rsid w:val="00785689"/>
    <w:rsid w:val="0079173A"/>
    <w:rsid w:val="007933A1"/>
    <w:rsid w:val="00796A80"/>
    <w:rsid w:val="00796E00"/>
    <w:rsid w:val="0079754B"/>
    <w:rsid w:val="007A061B"/>
    <w:rsid w:val="007A1E6D"/>
    <w:rsid w:val="007A44D7"/>
    <w:rsid w:val="007B0EB2"/>
    <w:rsid w:val="007B2423"/>
    <w:rsid w:val="007B3C43"/>
    <w:rsid w:val="007C1B39"/>
    <w:rsid w:val="007C2CD1"/>
    <w:rsid w:val="007C412D"/>
    <w:rsid w:val="007C6D64"/>
    <w:rsid w:val="007D3EFC"/>
    <w:rsid w:val="007D72C8"/>
    <w:rsid w:val="007E0AF4"/>
    <w:rsid w:val="007E2422"/>
    <w:rsid w:val="007E30E0"/>
    <w:rsid w:val="007E7253"/>
    <w:rsid w:val="007E79E3"/>
    <w:rsid w:val="007F17A6"/>
    <w:rsid w:val="007F180B"/>
    <w:rsid w:val="007F2988"/>
    <w:rsid w:val="007F3997"/>
    <w:rsid w:val="007F3C0A"/>
    <w:rsid w:val="007F539E"/>
    <w:rsid w:val="00800409"/>
    <w:rsid w:val="00801278"/>
    <w:rsid w:val="00802B74"/>
    <w:rsid w:val="00810B6F"/>
    <w:rsid w:val="00811546"/>
    <w:rsid w:val="008125BE"/>
    <w:rsid w:val="00814D4D"/>
    <w:rsid w:val="0081633D"/>
    <w:rsid w:val="00816A62"/>
    <w:rsid w:val="00822CE0"/>
    <w:rsid w:val="00823B2B"/>
    <w:rsid w:val="00826BE3"/>
    <w:rsid w:val="00827478"/>
    <w:rsid w:val="008319B5"/>
    <w:rsid w:val="0083460C"/>
    <w:rsid w:val="0083705C"/>
    <w:rsid w:val="00841AB1"/>
    <w:rsid w:val="00841B29"/>
    <w:rsid w:val="00841BCE"/>
    <w:rsid w:val="00841FE4"/>
    <w:rsid w:val="00852A83"/>
    <w:rsid w:val="008562A8"/>
    <w:rsid w:val="00865474"/>
    <w:rsid w:val="00875D08"/>
    <w:rsid w:val="00876877"/>
    <w:rsid w:val="0088057C"/>
    <w:rsid w:val="00880C69"/>
    <w:rsid w:val="00882659"/>
    <w:rsid w:val="00886B7F"/>
    <w:rsid w:val="008914FF"/>
    <w:rsid w:val="008950DC"/>
    <w:rsid w:val="00896298"/>
    <w:rsid w:val="008A203D"/>
    <w:rsid w:val="008A616C"/>
    <w:rsid w:val="008B0832"/>
    <w:rsid w:val="008B1C74"/>
    <w:rsid w:val="008B2295"/>
    <w:rsid w:val="008B29B5"/>
    <w:rsid w:val="008B4868"/>
    <w:rsid w:val="008B5414"/>
    <w:rsid w:val="008B6269"/>
    <w:rsid w:val="008C2843"/>
    <w:rsid w:val="008C3F13"/>
    <w:rsid w:val="008C5C76"/>
    <w:rsid w:val="008C68F1"/>
    <w:rsid w:val="008D0232"/>
    <w:rsid w:val="008D071E"/>
    <w:rsid w:val="008D1817"/>
    <w:rsid w:val="008D29B0"/>
    <w:rsid w:val="008D2E40"/>
    <w:rsid w:val="008E0545"/>
    <w:rsid w:val="008F0936"/>
    <w:rsid w:val="008F2F66"/>
    <w:rsid w:val="008F3BC0"/>
    <w:rsid w:val="008F61D1"/>
    <w:rsid w:val="008F7876"/>
    <w:rsid w:val="008F7C19"/>
    <w:rsid w:val="00901DFD"/>
    <w:rsid w:val="009067F3"/>
    <w:rsid w:val="00910043"/>
    <w:rsid w:val="00910CD2"/>
    <w:rsid w:val="00912F09"/>
    <w:rsid w:val="00913E24"/>
    <w:rsid w:val="00914C86"/>
    <w:rsid w:val="00920A3B"/>
    <w:rsid w:val="00921803"/>
    <w:rsid w:val="009234E7"/>
    <w:rsid w:val="0092562C"/>
    <w:rsid w:val="00926503"/>
    <w:rsid w:val="0093229F"/>
    <w:rsid w:val="00934A90"/>
    <w:rsid w:val="0093540F"/>
    <w:rsid w:val="0093756E"/>
    <w:rsid w:val="009414BD"/>
    <w:rsid w:val="009445B8"/>
    <w:rsid w:val="009448FB"/>
    <w:rsid w:val="00947A1F"/>
    <w:rsid w:val="00952524"/>
    <w:rsid w:val="00963B62"/>
    <w:rsid w:val="00963CBB"/>
    <w:rsid w:val="00964A1F"/>
    <w:rsid w:val="009655BE"/>
    <w:rsid w:val="009661BC"/>
    <w:rsid w:val="00966AC4"/>
    <w:rsid w:val="009726D8"/>
    <w:rsid w:val="009752A0"/>
    <w:rsid w:val="009766ED"/>
    <w:rsid w:val="0097691D"/>
    <w:rsid w:val="00981767"/>
    <w:rsid w:val="009830F0"/>
    <w:rsid w:val="00983D1B"/>
    <w:rsid w:val="009851B3"/>
    <w:rsid w:val="009873E5"/>
    <w:rsid w:val="00991A3E"/>
    <w:rsid w:val="00992D7E"/>
    <w:rsid w:val="009A37B2"/>
    <w:rsid w:val="009A5DC1"/>
    <w:rsid w:val="009A67D5"/>
    <w:rsid w:val="009B2AF4"/>
    <w:rsid w:val="009C03D9"/>
    <w:rsid w:val="009C1909"/>
    <w:rsid w:val="009C547D"/>
    <w:rsid w:val="009C6627"/>
    <w:rsid w:val="009C6C10"/>
    <w:rsid w:val="009D0914"/>
    <w:rsid w:val="009D4D4F"/>
    <w:rsid w:val="009D566E"/>
    <w:rsid w:val="009D7308"/>
    <w:rsid w:val="009D79FF"/>
    <w:rsid w:val="009E07D2"/>
    <w:rsid w:val="009E3090"/>
    <w:rsid w:val="009E5E0C"/>
    <w:rsid w:val="009F38B6"/>
    <w:rsid w:val="009F76DB"/>
    <w:rsid w:val="00A045FB"/>
    <w:rsid w:val="00A059BA"/>
    <w:rsid w:val="00A153F7"/>
    <w:rsid w:val="00A15D5D"/>
    <w:rsid w:val="00A15D5F"/>
    <w:rsid w:val="00A212F7"/>
    <w:rsid w:val="00A2513A"/>
    <w:rsid w:val="00A2616A"/>
    <w:rsid w:val="00A32C3B"/>
    <w:rsid w:val="00A35BE2"/>
    <w:rsid w:val="00A3788D"/>
    <w:rsid w:val="00A41369"/>
    <w:rsid w:val="00A42E92"/>
    <w:rsid w:val="00A43616"/>
    <w:rsid w:val="00A45F4F"/>
    <w:rsid w:val="00A51217"/>
    <w:rsid w:val="00A55B32"/>
    <w:rsid w:val="00A55CD2"/>
    <w:rsid w:val="00A56C88"/>
    <w:rsid w:val="00A600A9"/>
    <w:rsid w:val="00A6225F"/>
    <w:rsid w:val="00A625FC"/>
    <w:rsid w:val="00A62A22"/>
    <w:rsid w:val="00A71E3D"/>
    <w:rsid w:val="00A7487A"/>
    <w:rsid w:val="00A822B1"/>
    <w:rsid w:val="00A86EF3"/>
    <w:rsid w:val="00A90ADD"/>
    <w:rsid w:val="00A90D14"/>
    <w:rsid w:val="00A946DE"/>
    <w:rsid w:val="00AA030C"/>
    <w:rsid w:val="00AA42D2"/>
    <w:rsid w:val="00AA55B7"/>
    <w:rsid w:val="00AA5B9E"/>
    <w:rsid w:val="00AA5D4C"/>
    <w:rsid w:val="00AA6D8C"/>
    <w:rsid w:val="00AB062A"/>
    <w:rsid w:val="00AB2407"/>
    <w:rsid w:val="00AB44D7"/>
    <w:rsid w:val="00AB511D"/>
    <w:rsid w:val="00AB53DF"/>
    <w:rsid w:val="00AB5413"/>
    <w:rsid w:val="00AB56C4"/>
    <w:rsid w:val="00AC57DE"/>
    <w:rsid w:val="00AD6125"/>
    <w:rsid w:val="00AE4E56"/>
    <w:rsid w:val="00AE5C39"/>
    <w:rsid w:val="00AE6B51"/>
    <w:rsid w:val="00AF0DDD"/>
    <w:rsid w:val="00AF205D"/>
    <w:rsid w:val="00B03D2F"/>
    <w:rsid w:val="00B0643B"/>
    <w:rsid w:val="00B0678D"/>
    <w:rsid w:val="00B07537"/>
    <w:rsid w:val="00B07AD6"/>
    <w:rsid w:val="00B07E5C"/>
    <w:rsid w:val="00B1161A"/>
    <w:rsid w:val="00B1767B"/>
    <w:rsid w:val="00B205E8"/>
    <w:rsid w:val="00B2522A"/>
    <w:rsid w:val="00B37D05"/>
    <w:rsid w:val="00B4109A"/>
    <w:rsid w:val="00B42A0E"/>
    <w:rsid w:val="00B42A5B"/>
    <w:rsid w:val="00B43386"/>
    <w:rsid w:val="00B44991"/>
    <w:rsid w:val="00B46AB3"/>
    <w:rsid w:val="00B46E30"/>
    <w:rsid w:val="00B52D95"/>
    <w:rsid w:val="00B546A0"/>
    <w:rsid w:val="00B56A17"/>
    <w:rsid w:val="00B60A29"/>
    <w:rsid w:val="00B60B43"/>
    <w:rsid w:val="00B62341"/>
    <w:rsid w:val="00B63063"/>
    <w:rsid w:val="00B65422"/>
    <w:rsid w:val="00B665EE"/>
    <w:rsid w:val="00B71553"/>
    <w:rsid w:val="00B72E6C"/>
    <w:rsid w:val="00B751D5"/>
    <w:rsid w:val="00B77EB8"/>
    <w:rsid w:val="00B811F7"/>
    <w:rsid w:val="00B85DD3"/>
    <w:rsid w:val="00B87E44"/>
    <w:rsid w:val="00B92F83"/>
    <w:rsid w:val="00B94CDB"/>
    <w:rsid w:val="00B955E3"/>
    <w:rsid w:val="00B96054"/>
    <w:rsid w:val="00B96CCE"/>
    <w:rsid w:val="00BA5883"/>
    <w:rsid w:val="00BA5DC6"/>
    <w:rsid w:val="00BA6196"/>
    <w:rsid w:val="00BB5ACF"/>
    <w:rsid w:val="00BB700F"/>
    <w:rsid w:val="00BC3B35"/>
    <w:rsid w:val="00BC66D0"/>
    <w:rsid w:val="00BC6D8C"/>
    <w:rsid w:val="00BD1D87"/>
    <w:rsid w:val="00BD45DE"/>
    <w:rsid w:val="00BE0E65"/>
    <w:rsid w:val="00BE2C23"/>
    <w:rsid w:val="00BF4AF5"/>
    <w:rsid w:val="00C005C1"/>
    <w:rsid w:val="00C04552"/>
    <w:rsid w:val="00C113DC"/>
    <w:rsid w:val="00C13C46"/>
    <w:rsid w:val="00C1501D"/>
    <w:rsid w:val="00C15943"/>
    <w:rsid w:val="00C15D09"/>
    <w:rsid w:val="00C16BE9"/>
    <w:rsid w:val="00C17DE6"/>
    <w:rsid w:val="00C2335B"/>
    <w:rsid w:val="00C265D7"/>
    <w:rsid w:val="00C32742"/>
    <w:rsid w:val="00C34006"/>
    <w:rsid w:val="00C3429B"/>
    <w:rsid w:val="00C36229"/>
    <w:rsid w:val="00C36B4C"/>
    <w:rsid w:val="00C40CA5"/>
    <w:rsid w:val="00C42563"/>
    <w:rsid w:val="00C426B1"/>
    <w:rsid w:val="00C451EE"/>
    <w:rsid w:val="00C45E70"/>
    <w:rsid w:val="00C46AB9"/>
    <w:rsid w:val="00C500F7"/>
    <w:rsid w:val="00C51382"/>
    <w:rsid w:val="00C514BF"/>
    <w:rsid w:val="00C53C08"/>
    <w:rsid w:val="00C5627F"/>
    <w:rsid w:val="00C5676D"/>
    <w:rsid w:val="00C57FAD"/>
    <w:rsid w:val="00C66160"/>
    <w:rsid w:val="00C7184F"/>
    <w:rsid w:val="00C721AC"/>
    <w:rsid w:val="00C73A04"/>
    <w:rsid w:val="00C802BA"/>
    <w:rsid w:val="00C81448"/>
    <w:rsid w:val="00C81DD6"/>
    <w:rsid w:val="00C85F81"/>
    <w:rsid w:val="00C90D6A"/>
    <w:rsid w:val="00C90EC8"/>
    <w:rsid w:val="00C9368C"/>
    <w:rsid w:val="00C93DA6"/>
    <w:rsid w:val="00CA247E"/>
    <w:rsid w:val="00CA2A13"/>
    <w:rsid w:val="00CA6D05"/>
    <w:rsid w:val="00CA6D21"/>
    <w:rsid w:val="00CB0D54"/>
    <w:rsid w:val="00CB466F"/>
    <w:rsid w:val="00CB5986"/>
    <w:rsid w:val="00CC11AA"/>
    <w:rsid w:val="00CC2881"/>
    <w:rsid w:val="00CC4FC4"/>
    <w:rsid w:val="00CC5E98"/>
    <w:rsid w:val="00CC72B6"/>
    <w:rsid w:val="00CD1DA1"/>
    <w:rsid w:val="00CD5891"/>
    <w:rsid w:val="00CE2081"/>
    <w:rsid w:val="00CE4A7D"/>
    <w:rsid w:val="00CE790B"/>
    <w:rsid w:val="00CE7F54"/>
    <w:rsid w:val="00CF1E77"/>
    <w:rsid w:val="00D0218D"/>
    <w:rsid w:val="00D060D6"/>
    <w:rsid w:val="00D11D07"/>
    <w:rsid w:val="00D12EEA"/>
    <w:rsid w:val="00D13C1F"/>
    <w:rsid w:val="00D17962"/>
    <w:rsid w:val="00D2114B"/>
    <w:rsid w:val="00D22FF5"/>
    <w:rsid w:val="00D25EAD"/>
    <w:rsid w:val="00D25FB5"/>
    <w:rsid w:val="00D26456"/>
    <w:rsid w:val="00D267F0"/>
    <w:rsid w:val="00D26BAB"/>
    <w:rsid w:val="00D314F9"/>
    <w:rsid w:val="00D37DDD"/>
    <w:rsid w:val="00D40BB7"/>
    <w:rsid w:val="00D440C1"/>
    <w:rsid w:val="00D44223"/>
    <w:rsid w:val="00D47617"/>
    <w:rsid w:val="00D52855"/>
    <w:rsid w:val="00D53AE3"/>
    <w:rsid w:val="00D544AB"/>
    <w:rsid w:val="00D54D2A"/>
    <w:rsid w:val="00D54D78"/>
    <w:rsid w:val="00D6192E"/>
    <w:rsid w:val="00D713B5"/>
    <w:rsid w:val="00D713CD"/>
    <w:rsid w:val="00D71B4D"/>
    <w:rsid w:val="00D72EBB"/>
    <w:rsid w:val="00D73A05"/>
    <w:rsid w:val="00D74535"/>
    <w:rsid w:val="00D74FD2"/>
    <w:rsid w:val="00D86634"/>
    <w:rsid w:val="00D9178B"/>
    <w:rsid w:val="00D96CC4"/>
    <w:rsid w:val="00DA21DD"/>
    <w:rsid w:val="00DA2529"/>
    <w:rsid w:val="00DA30EE"/>
    <w:rsid w:val="00DA4886"/>
    <w:rsid w:val="00DB130A"/>
    <w:rsid w:val="00DB2EBB"/>
    <w:rsid w:val="00DB4C3A"/>
    <w:rsid w:val="00DB4E5A"/>
    <w:rsid w:val="00DC109A"/>
    <w:rsid w:val="00DC10A1"/>
    <w:rsid w:val="00DC3548"/>
    <w:rsid w:val="00DC4BAE"/>
    <w:rsid w:val="00DC655F"/>
    <w:rsid w:val="00DD0B59"/>
    <w:rsid w:val="00DD2C69"/>
    <w:rsid w:val="00DD2DEB"/>
    <w:rsid w:val="00DD374B"/>
    <w:rsid w:val="00DD3CBC"/>
    <w:rsid w:val="00DD7EBD"/>
    <w:rsid w:val="00DE2FA1"/>
    <w:rsid w:val="00DE3174"/>
    <w:rsid w:val="00DE3D17"/>
    <w:rsid w:val="00DE7DE6"/>
    <w:rsid w:val="00DF4FB8"/>
    <w:rsid w:val="00DF62B6"/>
    <w:rsid w:val="00DF7A48"/>
    <w:rsid w:val="00DF7CD2"/>
    <w:rsid w:val="00E06A33"/>
    <w:rsid w:val="00E06AAD"/>
    <w:rsid w:val="00E07225"/>
    <w:rsid w:val="00E11CFF"/>
    <w:rsid w:val="00E11E37"/>
    <w:rsid w:val="00E12CBE"/>
    <w:rsid w:val="00E167CD"/>
    <w:rsid w:val="00E17250"/>
    <w:rsid w:val="00E17C42"/>
    <w:rsid w:val="00E2103C"/>
    <w:rsid w:val="00E227AB"/>
    <w:rsid w:val="00E322AB"/>
    <w:rsid w:val="00E334A9"/>
    <w:rsid w:val="00E354A8"/>
    <w:rsid w:val="00E4023F"/>
    <w:rsid w:val="00E43B5C"/>
    <w:rsid w:val="00E44241"/>
    <w:rsid w:val="00E5015B"/>
    <w:rsid w:val="00E51BDC"/>
    <w:rsid w:val="00E52820"/>
    <w:rsid w:val="00E5409F"/>
    <w:rsid w:val="00E541B3"/>
    <w:rsid w:val="00E545FB"/>
    <w:rsid w:val="00E54E40"/>
    <w:rsid w:val="00E62C4B"/>
    <w:rsid w:val="00E7371B"/>
    <w:rsid w:val="00E74002"/>
    <w:rsid w:val="00E80038"/>
    <w:rsid w:val="00E811F6"/>
    <w:rsid w:val="00E90E6D"/>
    <w:rsid w:val="00E94824"/>
    <w:rsid w:val="00EA18D2"/>
    <w:rsid w:val="00EA209A"/>
    <w:rsid w:val="00EA4066"/>
    <w:rsid w:val="00EA4E9A"/>
    <w:rsid w:val="00EA7F51"/>
    <w:rsid w:val="00EC1FE9"/>
    <w:rsid w:val="00EC5149"/>
    <w:rsid w:val="00EC6EE3"/>
    <w:rsid w:val="00ED3CEE"/>
    <w:rsid w:val="00EE0377"/>
    <w:rsid w:val="00EE3B10"/>
    <w:rsid w:val="00EE6488"/>
    <w:rsid w:val="00EE734F"/>
    <w:rsid w:val="00EF145B"/>
    <w:rsid w:val="00EF7B68"/>
    <w:rsid w:val="00F007B9"/>
    <w:rsid w:val="00F00A5A"/>
    <w:rsid w:val="00F021FA"/>
    <w:rsid w:val="00F026FF"/>
    <w:rsid w:val="00F1245F"/>
    <w:rsid w:val="00F13101"/>
    <w:rsid w:val="00F149E2"/>
    <w:rsid w:val="00F15F6C"/>
    <w:rsid w:val="00F17904"/>
    <w:rsid w:val="00F20BCF"/>
    <w:rsid w:val="00F232CC"/>
    <w:rsid w:val="00F23E4A"/>
    <w:rsid w:val="00F262EC"/>
    <w:rsid w:val="00F26B64"/>
    <w:rsid w:val="00F26DA8"/>
    <w:rsid w:val="00F30729"/>
    <w:rsid w:val="00F3334F"/>
    <w:rsid w:val="00F35E7E"/>
    <w:rsid w:val="00F40E5F"/>
    <w:rsid w:val="00F50E83"/>
    <w:rsid w:val="00F51FB0"/>
    <w:rsid w:val="00F52B91"/>
    <w:rsid w:val="00F53342"/>
    <w:rsid w:val="00F62E97"/>
    <w:rsid w:val="00F62E9A"/>
    <w:rsid w:val="00F630A9"/>
    <w:rsid w:val="00F64209"/>
    <w:rsid w:val="00F6578F"/>
    <w:rsid w:val="00F66148"/>
    <w:rsid w:val="00F768C7"/>
    <w:rsid w:val="00F813CC"/>
    <w:rsid w:val="00F82DB4"/>
    <w:rsid w:val="00F90094"/>
    <w:rsid w:val="00F91277"/>
    <w:rsid w:val="00F92E2E"/>
    <w:rsid w:val="00F93BF5"/>
    <w:rsid w:val="00F93C4F"/>
    <w:rsid w:val="00F95531"/>
    <w:rsid w:val="00F95DD5"/>
    <w:rsid w:val="00FB0A4F"/>
    <w:rsid w:val="00FB4D79"/>
    <w:rsid w:val="00FC2C0C"/>
    <w:rsid w:val="00FC3672"/>
    <w:rsid w:val="00FC3E0A"/>
    <w:rsid w:val="00FD4AD9"/>
    <w:rsid w:val="00FE13DB"/>
    <w:rsid w:val="00FE2B8B"/>
    <w:rsid w:val="00FE2C3D"/>
    <w:rsid w:val="00FE4844"/>
    <w:rsid w:val="00FF277A"/>
    <w:rsid w:val="00FF2B97"/>
    <w:rsid w:val="00FF2EEE"/>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22D376C-EDAC-4E10-BA21-226D220E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1 Char,Footnote Text Char1 Char Char,Footnote Text Char1 Char1 Char Char Char Char,Footnote Text Char2,Footnote Text Char2 Char,Footnote Text Char2 Char Char Char Char,Footnote Text Char5"/>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odyText">
    <w:name w:val="Body Text"/>
    <w:basedOn w:val="Normal"/>
    <w:link w:val="BodyTextChar"/>
    <w:rsid w:val="006A7F29"/>
    <w:pPr>
      <w:spacing w:after="120"/>
    </w:pPr>
  </w:style>
  <w:style w:type="character" w:customStyle="1" w:styleId="BodyTextChar">
    <w:name w:val="Body Text Char"/>
    <w:basedOn w:val="DefaultParagraphFont"/>
    <w:link w:val="BodyText"/>
    <w:rsid w:val="006A7F29"/>
    <w:rPr>
      <w:snapToGrid w:val="0"/>
      <w:kern w:val="28"/>
      <w:sz w:val="22"/>
    </w:rPr>
  </w:style>
  <w:style w:type="character" w:customStyle="1" w:styleId="FootnoteTextChar">
    <w:name w:val="Footnote Text Char"/>
    <w:aliases w:val="Footnote Text Char Char Char Char Char,Footnote Text Char1 Char Char Char,Footnote Text Char1 Char Char1,Footnote Text Char1 Char1 Char Char Char Char Char,Footnote Text Char2 Char Char,Footnote Text Char2 Char1"/>
    <w:link w:val="FootnoteText"/>
    <w:rsid w:val="006A7F29"/>
  </w:style>
  <w:style w:type="paragraph" w:styleId="BalloonText">
    <w:name w:val="Balloon Text"/>
    <w:basedOn w:val="Normal"/>
    <w:link w:val="BalloonTextChar"/>
    <w:rsid w:val="00A6225F"/>
    <w:rPr>
      <w:rFonts w:ascii="Segoe UI" w:hAnsi="Segoe UI" w:cs="Segoe UI"/>
      <w:sz w:val="18"/>
      <w:szCs w:val="18"/>
    </w:rPr>
  </w:style>
  <w:style w:type="character" w:customStyle="1" w:styleId="BalloonTextChar">
    <w:name w:val="Balloon Text Char"/>
    <w:basedOn w:val="DefaultParagraphFont"/>
    <w:link w:val="BalloonText"/>
    <w:rsid w:val="00A6225F"/>
    <w:rPr>
      <w:rFonts w:ascii="Segoe UI" w:hAnsi="Segoe UI" w:cs="Segoe UI"/>
      <w:snapToGrid w:val="0"/>
      <w:kern w:val="28"/>
      <w:sz w:val="18"/>
      <w:szCs w:val="18"/>
    </w:rPr>
  </w:style>
  <w:style w:type="character" w:styleId="CommentReference">
    <w:name w:val="annotation reference"/>
    <w:basedOn w:val="DefaultParagraphFont"/>
    <w:rsid w:val="00A6225F"/>
    <w:rPr>
      <w:sz w:val="16"/>
      <w:szCs w:val="16"/>
    </w:rPr>
  </w:style>
  <w:style w:type="paragraph" w:styleId="CommentText">
    <w:name w:val="annotation text"/>
    <w:basedOn w:val="Normal"/>
    <w:link w:val="CommentTextChar"/>
    <w:rsid w:val="00A6225F"/>
    <w:rPr>
      <w:sz w:val="20"/>
    </w:rPr>
  </w:style>
  <w:style w:type="character" w:customStyle="1" w:styleId="CommentTextChar">
    <w:name w:val="Comment Text Char"/>
    <w:basedOn w:val="DefaultParagraphFont"/>
    <w:link w:val="CommentText"/>
    <w:rsid w:val="00A6225F"/>
    <w:rPr>
      <w:snapToGrid w:val="0"/>
      <w:kern w:val="28"/>
    </w:rPr>
  </w:style>
  <w:style w:type="paragraph" w:styleId="CommentSubject">
    <w:name w:val="annotation subject"/>
    <w:basedOn w:val="CommentText"/>
    <w:next w:val="CommentText"/>
    <w:link w:val="CommentSubjectChar"/>
    <w:rsid w:val="00A6225F"/>
    <w:rPr>
      <w:b/>
      <w:bCs/>
    </w:rPr>
  </w:style>
  <w:style w:type="character" w:customStyle="1" w:styleId="CommentSubjectChar">
    <w:name w:val="Comment Subject Char"/>
    <w:basedOn w:val="CommentTextChar"/>
    <w:link w:val="CommentSubject"/>
    <w:rsid w:val="00A6225F"/>
    <w:rPr>
      <w:b/>
      <w:bCs/>
      <w:snapToGrid w:val="0"/>
      <w:kern w:val="28"/>
    </w:rPr>
  </w:style>
  <w:style w:type="paragraph" w:styleId="Revision">
    <w:name w:val="Revision"/>
    <w:hidden/>
    <w:uiPriority w:val="99"/>
    <w:semiHidden/>
    <w:rsid w:val="00CC4FC4"/>
    <w:rPr>
      <w:snapToGrid w:val="0"/>
      <w:kern w:val="28"/>
      <w:sz w:val="22"/>
    </w:rPr>
  </w:style>
  <w:style w:type="character" w:customStyle="1" w:styleId="ParaNumChar">
    <w:name w:val="ParaNum Char"/>
    <w:link w:val="ParaNum"/>
    <w:locked/>
    <w:rsid w:val="003943C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public-safety-support-center"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