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51422" w:rsidRPr="00BD4376" w:rsidP="00D51422" w14:paraId="6CC8CB7F" w14:textId="72C82194">
      <w:pPr>
        <w:jc w:val="right"/>
        <w:rPr>
          <w:b/>
          <w:szCs w:val="22"/>
        </w:rPr>
      </w:pPr>
      <w:r w:rsidRPr="00D51422">
        <w:rPr>
          <w:b/>
          <w:szCs w:val="22"/>
        </w:rPr>
        <w:t xml:space="preserve">DA </w:t>
      </w:r>
      <w:r w:rsidR="008A3583">
        <w:rPr>
          <w:b/>
          <w:szCs w:val="22"/>
        </w:rPr>
        <w:t>19-</w:t>
      </w:r>
      <w:r w:rsidR="002A501A">
        <w:rPr>
          <w:b/>
          <w:szCs w:val="22"/>
        </w:rPr>
        <w:t>1130</w:t>
      </w:r>
    </w:p>
    <w:p w:rsidR="00D51422" w:rsidRPr="00D51422" w:rsidP="00D51422" w14:paraId="6E33A77E" w14:textId="0C783D39">
      <w:pPr>
        <w:spacing w:before="60"/>
        <w:jc w:val="right"/>
        <w:rPr>
          <w:b/>
          <w:szCs w:val="22"/>
        </w:rPr>
      </w:pPr>
      <w:r>
        <w:rPr>
          <w:b/>
          <w:szCs w:val="22"/>
        </w:rPr>
        <w:t>Novem</w:t>
      </w:r>
      <w:r w:rsidR="008A3583">
        <w:rPr>
          <w:b/>
          <w:szCs w:val="22"/>
        </w:rPr>
        <w:t xml:space="preserve">ber </w:t>
      </w:r>
      <w:r w:rsidR="00911F0F">
        <w:rPr>
          <w:b/>
          <w:szCs w:val="22"/>
        </w:rPr>
        <w:t>1</w:t>
      </w:r>
      <w:r w:rsidRPr="00D51422" w:rsidR="009561E3">
        <w:rPr>
          <w:b/>
          <w:szCs w:val="22"/>
        </w:rPr>
        <w:t>, 2019</w:t>
      </w:r>
    </w:p>
    <w:p w:rsidR="00D51422" w:rsidRPr="00D51422" w:rsidP="00D51422" w14:paraId="4EAD7D64" w14:textId="77777777">
      <w:pPr>
        <w:jc w:val="right"/>
        <w:rPr>
          <w:szCs w:val="22"/>
        </w:rPr>
      </w:pPr>
    </w:p>
    <w:p w:rsidR="00D51422" w:rsidRPr="00D51422" w:rsidP="00431297" w14:paraId="70B03F77" w14:textId="77777777">
      <w:pPr>
        <w:jc w:val="center"/>
        <w:rPr>
          <w:b/>
          <w:caps/>
          <w:szCs w:val="22"/>
        </w:rPr>
      </w:pPr>
      <w:r>
        <w:rPr>
          <w:b/>
          <w:caps/>
          <w:szCs w:val="22"/>
        </w:rPr>
        <w:t xml:space="preserve">WIRELESS TELECOMMUNICATIONS </w:t>
      </w:r>
      <w:r w:rsidRPr="00D51422" w:rsidR="009561E3">
        <w:rPr>
          <w:b/>
          <w:caps/>
          <w:szCs w:val="22"/>
        </w:rPr>
        <w:t>BUREAU SEEK</w:t>
      </w:r>
      <w:r w:rsidR="00431297">
        <w:rPr>
          <w:b/>
          <w:caps/>
          <w:szCs w:val="22"/>
        </w:rPr>
        <w:t>s</w:t>
      </w:r>
      <w:r w:rsidRPr="00D51422" w:rsidR="009561E3">
        <w:rPr>
          <w:b/>
          <w:caps/>
          <w:szCs w:val="22"/>
        </w:rPr>
        <w:t xml:space="preserve"> comment on</w:t>
      </w:r>
    </w:p>
    <w:p w:rsidR="00713C94" w:rsidRPr="00D51422" w:rsidP="00713C94" w14:paraId="347FA5C7" w14:textId="6016AE72">
      <w:pPr>
        <w:jc w:val="center"/>
        <w:rPr>
          <w:b/>
          <w:caps/>
          <w:szCs w:val="22"/>
        </w:rPr>
      </w:pPr>
      <w:r>
        <w:rPr>
          <w:b/>
          <w:caps/>
          <w:szCs w:val="22"/>
        </w:rPr>
        <w:t xml:space="preserve">NEW YORK UNIVERSITY </w:t>
      </w:r>
      <w:r w:rsidRPr="00D51422" w:rsidR="009561E3">
        <w:rPr>
          <w:b/>
          <w:caps/>
          <w:szCs w:val="22"/>
        </w:rPr>
        <w:t>Petition for Declaratory ruling</w:t>
      </w:r>
      <w:r>
        <w:rPr>
          <w:b/>
          <w:caps/>
          <w:szCs w:val="22"/>
        </w:rPr>
        <w:t xml:space="preserve"> REGARDING AMATEUR RADIO COMMUNICATIONS </w:t>
      </w:r>
    </w:p>
    <w:p w:rsidR="008062E4" w:rsidP="00D51422" w14:paraId="20078C5A" w14:textId="77777777">
      <w:pPr>
        <w:jc w:val="center"/>
        <w:rPr>
          <w:b/>
        </w:rPr>
      </w:pPr>
      <w:bookmarkStart w:id="0" w:name="_Hlk16600401"/>
    </w:p>
    <w:p w:rsidR="00D51422" w:rsidP="00D51422" w14:paraId="5CA00FFE" w14:textId="77777777">
      <w:pPr>
        <w:jc w:val="center"/>
        <w:rPr>
          <w:b/>
        </w:rPr>
      </w:pPr>
      <w:r>
        <w:rPr>
          <w:b/>
        </w:rPr>
        <w:t>WT</w:t>
      </w:r>
      <w:r w:rsidRPr="00D51422" w:rsidR="009561E3">
        <w:rPr>
          <w:b/>
        </w:rPr>
        <w:t xml:space="preserve"> Docket No. </w:t>
      </w:r>
      <w:r w:rsidR="008A3583">
        <w:rPr>
          <w:b/>
        </w:rPr>
        <w:t>16-239</w:t>
      </w:r>
    </w:p>
    <w:bookmarkEnd w:id="0"/>
    <w:p w:rsidR="00D51422" w:rsidP="00D51422" w14:paraId="03925F11" w14:textId="77777777">
      <w:pPr>
        <w:jc w:val="center"/>
        <w:rPr>
          <w:b/>
          <w:szCs w:val="22"/>
        </w:rPr>
      </w:pPr>
    </w:p>
    <w:p w:rsidR="00D51422" w:rsidRPr="00D51422" w:rsidP="00D51422" w14:paraId="2155AFD9" w14:textId="29745180">
      <w:pPr>
        <w:rPr>
          <w:b/>
          <w:szCs w:val="22"/>
        </w:rPr>
      </w:pPr>
      <w:r w:rsidRPr="00D51422">
        <w:rPr>
          <w:b/>
          <w:szCs w:val="22"/>
        </w:rPr>
        <w:t xml:space="preserve">Comments Due:  </w:t>
      </w:r>
      <w:r w:rsidR="00BC17C7">
        <w:rPr>
          <w:b/>
          <w:szCs w:val="22"/>
        </w:rPr>
        <w:t>Dec</w:t>
      </w:r>
      <w:r w:rsidR="008A3583">
        <w:rPr>
          <w:b/>
          <w:bCs/>
          <w:szCs w:val="22"/>
        </w:rPr>
        <w:t xml:space="preserve">ember </w:t>
      </w:r>
      <w:r w:rsidR="007D5140">
        <w:rPr>
          <w:b/>
          <w:bCs/>
          <w:szCs w:val="22"/>
        </w:rPr>
        <w:t>2</w:t>
      </w:r>
      <w:r w:rsidR="00B750A6">
        <w:rPr>
          <w:b/>
          <w:bCs/>
          <w:szCs w:val="22"/>
        </w:rPr>
        <w:t>, 2019</w:t>
      </w:r>
    </w:p>
    <w:p w:rsidR="00D51422" w:rsidRPr="00D51422" w:rsidP="00D51422" w14:paraId="6F47D2CC" w14:textId="4520C9D6">
      <w:pPr>
        <w:rPr>
          <w:b/>
          <w:szCs w:val="22"/>
        </w:rPr>
      </w:pPr>
      <w:r w:rsidRPr="00D51422">
        <w:rPr>
          <w:b/>
          <w:szCs w:val="22"/>
        </w:rPr>
        <w:t xml:space="preserve">Reply Comments Due:  </w:t>
      </w:r>
      <w:r w:rsidR="00BC17C7">
        <w:rPr>
          <w:b/>
          <w:szCs w:val="22"/>
        </w:rPr>
        <w:t>Dec</w:t>
      </w:r>
      <w:r w:rsidR="008A3583">
        <w:rPr>
          <w:b/>
          <w:bCs/>
          <w:szCs w:val="22"/>
        </w:rPr>
        <w:t xml:space="preserve">ember </w:t>
      </w:r>
      <w:r w:rsidR="007D5140">
        <w:rPr>
          <w:b/>
          <w:bCs/>
          <w:szCs w:val="22"/>
        </w:rPr>
        <w:t>17</w:t>
      </w:r>
      <w:r w:rsidR="00B750A6">
        <w:rPr>
          <w:b/>
          <w:bCs/>
          <w:szCs w:val="22"/>
        </w:rPr>
        <w:t>, 2019</w:t>
      </w:r>
    </w:p>
    <w:p w:rsidR="00D51422" w:rsidRPr="00D51422" w:rsidP="00D51422" w14:paraId="316EDA71" w14:textId="77777777">
      <w:pPr>
        <w:rPr>
          <w:b/>
          <w:szCs w:val="22"/>
        </w:rPr>
      </w:pPr>
    </w:p>
    <w:p w:rsidR="00D51422" w:rsidRPr="00D51422" w:rsidP="004E71CE" w14:paraId="04BEDE1F" w14:textId="683965D8">
      <w:pPr>
        <w:spacing w:after="120"/>
        <w:ind w:firstLine="720"/>
        <w:rPr>
          <w:szCs w:val="22"/>
        </w:rPr>
      </w:pPr>
      <w:r w:rsidRPr="00713C94">
        <w:rPr>
          <w:szCs w:val="22"/>
        </w:rPr>
        <w:t xml:space="preserve">By this </w:t>
      </w:r>
      <w:r w:rsidRPr="0074391A">
        <w:rPr>
          <w:szCs w:val="22"/>
        </w:rPr>
        <w:t>Public Notice</w:t>
      </w:r>
      <w:r w:rsidRPr="00713C94">
        <w:rPr>
          <w:szCs w:val="22"/>
        </w:rPr>
        <w:t>, the Wireless Telecommunications Bureau seek</w:t>
      </w:r>
      <w:r w:rsidR="00F34192">
        <w:rPr>
          <w:szCs w:val="22"/>
        </w:rPr>
        <w:t>s</w:t>
      </w:r>
      <w:r w:rsidRPr="00713C94">
        <w:rPr>
          <w:szCs w:val="22"/>
        </w:rPr>
        <w:t xml:space="preserve"> comment on a Petition for </w:t>
      </w:r>
      <w:r w:rsidR="00431297">
        <w:rPr>
          <w:szCs w:val="22"/>
        </w:rPr>
        <w:t xml:space="preserve">Declaratory Ruling </w:t>
      </w:r>
      <w:r w:rsidRPr="00713C94">
        <w:rPr>
          <w:szCs w:val="22"/>
        </w:rPr>
        <w:t xml:space="preserve">filed </w:t>
      </w:r>
      <w:r w:rsidR="00BC17C7">
        <w:rPr>
          <w:szCs w:val="22"/>
        </w:rPr>
        <w:t>on behalf of New York University</w:t>
      </w:r>
      <w:r w:rsidR="00EF01D0">
        <w:rPr>
          <w:szCs w:val="22"/>
        </w:rPr>
        <w:t xml:space="preserve"> (NYU)</w:t>
      </w:r>
      <w:r w:rsidRPr="00713C94">
        <w:rPr>
          <w:szCs w:val="22"/>
        </w:rPr>
        <w:t>.</w:t>
      </w:r>
      <w:r>
        <w:rPr>
          <w:szCs w:val="22"/>
          <w:vertAlign w:val="superscript"/>
        </w:rPr>
        <w:footnoteReference w:id="3"/>
      </w:r>
      <w:r w:rsidRPr="00713C94">
        <w:rPr>
          <w:szCs w:val="22"/>
        </w:rPr>
        <w:t xml:space="preserve">  </w:t>
      </w:r>
      <w:r w:rsidR="00EF01D0">
        <w:rPr>
          <w:szCs w:val="22"/>
        </w:rPr>
        <w:t>NYU</w:t>
      </w:r>
      <w:r w:rsidR="00431297">
        <w:rPr>
          <w:szCs w:val="22"/>
        </w:rPr>
        <w:t xml:space="preserve"> </w:t>
      </w:r>
      <w:r w:rsidR="00EF01D0">
        <w:rPr>
          <w:szCs w:val="22"/>
        </w:rPr>
        <w:t>see</w:t>
      </w:r>
      <w:r w:rsidR="00431297">
        <w:rPr>
          <w:szCs w:val="22"/>
        </w:rPr>
        <w:t xml:space="preserve">ks </w:t>
      </w:r>
      <w:r w:rsidR="00EF01D0">
        <w:rPr>
          <w:szCs w:val="22"/>
        </w:rPr>
        <w:t xml:space="preserve">a </w:t>
      </w:r>
      <w:r w:rsidR="004C6A50">
        <w:rPr>
          <w:szCs w:val="22"/>
        </w:rPr>
        <w:t>declar</w:t>
      </w:r>
      <w:r w:rsidR="00EF01D0">
        <w:rPr>
          <w:szCs w:val="22"/>
        </w:rPr>
        <w:t>atory ruling</w:t>
      </w:r>
      <w:r w:rsidR="004C6A50">
        <w:rPr>
          <w:szCs w:val="22"/>
        </w:rPr>
        <w:t xml:space="preserve"> that</w:t>
      </w:r>
      <w:r w:rsidR="00431297">
        <w:rPr>
          <w:szCs w:val="22"/>
        </w:rPr>
        <w:t xml:space="preserve"> </w:t>
      </w:r>
      <w:r w:rsidR="00EF01D0">
        <w:rPr>
          <w:szCs w:val="22"/>
        </w:rPr>
        <w:t>s</w:t>
      </w:r>
      <w:r w:rsidR="00431297">
        <w:rPr>
          <w:szCs w:val="22"/>
        </w:rPr>
        <w:t>ection 97.113(a)(4) of t</w:t>
      </w:r>
      <w:r w:rsidR="00EF01D0">
        <w:rPr>
          <w:szCs w:val="22"/>
        </w:rPr>
        <w:t>he Commission’s</w:t>
      </w:r>
      <w:r w:rsidR="00431297">
        <w:rPr>
          <w:szCs w:val="22"/>
        </w:rPr>
        <w:t xml:space="preserve"> </w:t>
      </w:r>
      <w:r w:rsidR="00EF01D0">
        <w:rPr>
          <w:szCs w:val="22"/>
        </w:rPr>
        <w:t>r</w:t>
      </w:r>
      <w:r w:rsidR="00431297">
        <w:rPr>
          <w:szCs w:val="22"/>
        </w:rPr>
        <w:t>ules</w:t>
      </w:r>
      <w:r>
        <w:rPr>
          <w:rStyle w:val="FootnoteReference"/>
          <w:szCs w:val="22"/>
        </w:rPr>
        <w:footnoteReference w:id="4"/>
      </w:r>
      <w:r w:rsidR="004C6A50">
        <w:rPr>
          <w:szCs w:val="22"/>
        </w:rPr>
        <w:t xml:space="preserve"> prohibits </w:t>
      </w:r>
      <w:r w:rsidR="00EF01D0">
        <w:rPr>
          <w:szCs w:val="22"/>
        </w:rPr>
        <w:t>the transmission on amateur radio frequencies of “</w:t>
      </w:r>
      <w:r w:rsidR="004C6A50">
        <w:rPr>
          <w:szCs w:val="22"/>
        </w:rPr>
        <w:t>effectively encrypted or encoded</w:t>
      </w:r>
      <w:r w:rsidR="00EF01D0">
        <w:rPr>
          <w:szCs w:val="22"/>
        </w:rPr>
        <w:t xml:space="preserve"> messages, including messages that cannot be readily decoded over-the-air for true meaning.</w:t>
      </w:r>
      <w:r w:rsidR="004C6A50">
        <w:rPr>
          <w:szCs w:val="22"/>
        </w:rPr>
        <w:t>”</w:t>
      </w:r>
      <w:r>
        <w:rPr>
          <w:rStyle w:val="FootnoteReference"/>
          <w:szCs w:val="22"/>
        </w:rPr>
        <w:footnoteReference w:id="5"/>
      </w:r>
      <w:r w:rsidRPr="00D51422" w:rsidR="009561E3">
        <w:rPr>
          <w:szCs w:val="22"/>
        </w:rPr>
        <w:t xml:space="preserve"> </w:t>
      </w:r>
      <w:r w:rsidR="00823812">
        <w:rPr>
          <w:szCs w:val="22"/>
        </w:rPr>
        <w:t xml:space="preserve"> </w:t>
      </w:r>
    </w:p>
    <w:p w:rsidR="00973333" w:rsidP="00973333" w14:paraId="295C002A" w14:textId="7931E2B9">
      <w:pPr>
        <w:spacing w:after="120"/>
        <w:rPr>
          <w:szCs w:val="22"/>
        </w:rPr>
      </w:pPr>
      <w:r>
        <w:rPr>
          <w:szCs w:val="22"/>
        </w:rPr>
        <w:tab/>
      </w:r>
      <w:r w:rsidR="004C6A50">
        <w:rPr>
          <w:szCs w:val="22"/>
        </w:rPr>
        <w:t xml:space="preserve">Section 97.113(a)(4) </w:t>
      </w:r>
      <w:r w:rsidR="00C902F2">
        <w:rPr>
          <w:szCs w:val="22"/>
        </w:rPr>
        <w:t>prohibit</w:t>
      </w:r>
      <w:r w:rsidR="00FC7E8A">
        <w:rPr>
          <w:szCs w:val="22"/>
        </w:rPr>
        <w:t>s</w:t>
      </w:r>
      <w:r w:rsidR="00C902F2">
        <w:rPr>
          <w:szCs w:val="22"/>
        </w:rPr>
        <w:t xml:space="preserve"> </w:t>
      </w:r>
      <w:r w:rsidR="00096040">
        <w:rPr>
          <w:szCs w:val="22"/>
        </w:rPr>
        <w:t>amateur stations from transmitting “</w:t>
      </w:r>
      <w:r w:rsidR="00C902F2">
        <w:rPr>
          <w:szCs w:val="22"/>
        </w:rPr>
        <w:t>messages encoded for the purpose of obscuring their meaning</w:t>
      </w:r>
      <w:r w:rsidR="001D730F">
        <w:rPr>
          <w:szCs w:val="22"/>
        </w:rPr>
        <w:t>.</w:t>
      </w:r>
      <w:r w:rsidR="00096040">
        <w:rPr>
          <w:szCs w:val="22"/>
        </w:rPr>
        <w:t>”</w:t>
      </w:r>
      <w:r>
        <w:rPr>
          <w:rStyle w:val="FootnoteReference"/>
          <w:szCs w:val="22"/>
        </w:rPr>
        <w:footnoteReference w:id="6"/>
      </w:r>
      <w:r>
        <w:rPr>
          <w:szCs w:val="22"/>
        </w:rPr>
        <w:t xml:space="preserve"> </w:t>
      </w:r>
      <w:r w:rsidR="00FC7E8A">
        <w:rPr>
          <w:szCs w:val="22"/>
        </w:rPr>
        <w:t xml:space="preserve"> </w:t>
      </w:r>
      <w:r w:rsidR="00096040">
        <w:rPr>
          <w:szCs w:val="22"/>
        </w:rPr>
        <w:t>NYU</w:t>
      </w:r>
      <w:r w:rsidR="00FC7E8A">
        <w:rPr>
          <w:szCs w:val="22"/>
        </w:rPr>
        <w:t xml:space="preserve"> argues that dynamic compression techniques</w:t>
      </w:r>
      <w:r w:rsidR="00B32F3E">
        <w:rPr>
          <w:szCs w:val="22"/>
        </w:rPr>
        <w:t xml:space="preserve"> </w:t>
      </w:r>
      <w:r w:rsidR="000134C0">
        <w:rPr>
          <w:szCs w:val="22"/>
        </w:rPr>
        <w:t xml:space="preserve">effectively encrypt or encode communications </w:t>
      </w:r>
      <w:r w:rsidR="00AB511D">
        <w:rPr>
          <w:szCs w:val="22"/>
        </w:rPr>
        <w:t xml:space="preserve">in violation of the rule </w:t>
      </w:r>
      <w:r w:rsidR="000134C0">
        <w:rPr>
          <w:szCs w:val="22"/>
        </w:rPr>
        <w:t xml:space="preserve">because they </w:t>
      </w:r>
      <w:r w:rsidR="00327A5C">
        <w:rPr>
          <w:szCs w:val="22"/>
        </w:rPr>
        <w:t>allow only two linked stations to complete a transmission without error</w:t>
      </w:r>
      <w:r w:rsidR="0074391A">
        <w:rPr>
          <w:szCs w:val="22"/>
        </w:rPr>
        <w:t>,</w:t>
      </w:r>
      <w:r w:rsidR="00327A5C">
        <w:rPr>
          <w:szCs w:val="22"/>
        </w:rPr>
        <w:t xml:space="preserve"> and thus </w:t>
      </w:r>
      <w:r w:rsidR="00FC7E8A">
        <w:rPr>
          <w:szCs w:val="22"/>
        </w:rPr>
        <w:t xml:space="preserve">have the </w:t>
      </w:r>
      <w:r w:rsidR="00B32F3E">
        <w:rPr>
          <w:szCs w:val="22"/>
        </w:rPr>
        <w:t xml:space="preserve">practical </w:t>
      </w:r>
      <w:r w:rsidR="00FC7E8A">
        <w:rPr>
          <w:szCs w:val="22"/>
        </w:rPr>
        <w:t>effect of obscuring messages for anyone other than the sender and receiver.</w:t>
      </w:r>
      <w:r>
        <w:rPr>
          <w:rStyle w:val="FootnoteReference"/>
          <w:szCs w:val="22"/>
        </w:rPr>
        <w:footnoteReference w:id="7"/>
      </w:r>
      <w:r w:rsidR="00FC7E8A">
        <w:rPr>
          <w:szCs w:val="22"/>
        </w:rPr>
        <w:t xml:space="preserve">  </w:t>
      </w:r>
    </w:p>
    <w:p w:rsidR="00596018" w:rsidP="00973333" w14:paraId="497F07E0" w14:textId="77777777">
      <w:pPr>
        <w:spacing w:after="120"/>
        <w:rPr>
          <w:iCs/>
          <w:szCs w:val="22"/>
        </w:rPr>
      </w:pPr>
      <w:r>
        <w:rPr>
          <w:szCs w:val="22"/>
        </w:rPr>
        <w:tab/>
        <w:t xml:space="preserve">We seek comment on </w:t>
      </w:r>
      <w:r w:rsidR="00681CE2">
        <w:rPr>
          <w:szCs w:val="22"/>
        </w:rPr>
        <w:t>the</w:t>
      </w:r>
      <w:r>
        <w:rPr>
          <w:szCs w:val="22"/>
        </w:rPr>
        <w:t xml:space="preserve"> issues raised by </w:t>
      </w:r>
      <w:r w:rsidR="00096040">
        <w:rPr>
          <w:szCs w:val="22"/>
        </w:rPr>
        <w:t>NYU’s p</w:t>
      </w:r>
      <w:r>
        <w:rPr>
          <w:szCs w:val="22"/>
        </w:rPr>
        <w:t xml:space="preserve">etition.  </w:t>
      </w:r>
    </w:p>
    <w:p w:rsidR="00D51422" w:rsidRPr="00D51422" w:rsidP="004E71CE" w14:paraId="295DF431" w14:textId="77777777">
      <w:pPr>
        <w:spacing w:after="120"/>
        <w:ind w:firstLine="720"/>
        <w:rPr>
          <w:szCs w:val="22"/>
        </w:rPr>
      </w:pPr>
      <w:r w:rsidRPr="00D51422">
        <w:rPr>
          <w:i/>
          <w:szCs w:val="22"/>
        </w:rPr>
        <w:t xml:space="preserve">Filing Requirements.  </w:t>
      </w:r>
      <w:r w:rsidRPr="00D51422">
        <w:rPr>
          <w:szCs w:val="22"/>
        </w:rPr>
        <w:t>Interested parties may file comments on or before the date indicated on the first page of this document.</w:t>
      </w:r>
      <w:r>
        <w:rPr>
          <w:sz w:val="20"/>
          <w:vertAlign w:val="superscript"/>
        </w:rPr>
        <w:footnoteReference w:id="8"/>
      </w:r>
      <w:r w:rsidRPr="00D51422">
        <w:rPr>
          <w:szCs w:val="22"/>
        </w:rPr>
        <w:t xml:space="preserve">  </w:t>
      </w:r>
      <w:r w:rsidRPr="00D51422">
        <w:rPr>
          <w:iCs/>
          <w:szCs w:val="22"/>
        </w:rPr>
        <w:t>All filings must refer</w:t>
      </w:r>
      <w:r w:rsidR="006B2F03">
        <w:rPr>
          <w:iCs/>
          <w:szCs w:val="22"/>
        </w:rPr>
        <w:t xml:space="preserve"> to</w:t>
      </w:r>
      <w:r w:rsidRPr="00D51422">
        <w:t xml:space="preserve"> </w:t>
      </w:r>
      <w:r w:rsidRPr="006B2F03" w:rsidR="006B2F03">
        <w:rPr>
          <w:b/>
          <w:bCs/>
          <w:iCs/>
          <w:szCs w:val="22"/>
        </w:rPr>
        <w:t>WT</w:t>
      </w:r>
      <w:r w:rsidRPr="006B2F03">
        <w:rPr>
          <w:b/>
          <w:bCs/>
          <w:iCs/>
          <w:szCs w:val="22"/>
        </w:rPr>
        <w:t xml:space="preserve"> Docket No. </w:t>
      </w:r>
      <w:r w:rsidR="008F1933">
        <w:rPr>
          <w:b/>
          <w:bCs/>
          <w:iCs/>
          <w:szCs w:val="22"/>
        </w:rPr>
        <w:t>16-239</w:t>
      </w:r>
      <w:r w:rsidRPr="00D51422">
        <w:rPr>
          <w:iCs/>
          <w:szCs w:val="22"/>
        </w:rPr>
        <w:t>.</w:t>
      </w:r>
      <w:r>
        <w:rPr>
          <w:rStyle w:val="FootnoteReference"/>
          <w:iCs/>
          <w:szCs w:val="22"/>
        </w:rPr>
        <w:footnoteReference w:id="9"/>
      </w:r>
      <w:r w:rsidRPr="00D51422">
        <w:rPr>
          <w:iCs/>
          <w:szCs w:val="22"/>
        </w:rPr>
        <w:t xml:space="preserve">  </w:t>
      </w:r>
      <w:r w:rsidRPr="00D51422">
        <w:rPr>
          <w:szCs w:val="22"/>
        </w:rPr>
        <w:t>Comments may be filed using the Commission’s Electronic Comment Filing System (ECFS).</w:t>
      </w:r>
      <w:r>
        <w:rPr>
          <w:sz w:val="20"/>
          <w:vertAlign w:val="superscript"/>
        </w:rPr>
        <w:footnoteReference w:id="10"/>
      </w:r>
      <w:r w:rsidRPr="00D51422">
        <w:rPr>
          <w:szCs w:val="22"/>
        </w:rPr>
        <w:t xml:space="preserve">  </w:t>
      </w:r>
    </w:p>
    <w:p w:rsidR="00D51422" w:rsidRPr="00D51422" w:rsidP="00D51422" w14:paraId="146DD126" w14:textId="77777777">
      <w:pPr>
        <w:numPr>
          <w:ilvl w:val="0"/>
          <w:numId w:val="7"/>
        </w:numPr>
        <w:spacing w:after="120"/>
        <w:rPr>
          <w:szCs w:val="22"/>
        </w:rPr>
      </w:pPr>
      <w:r w:rsidRPr="00D51422">
        <w:rPr>
          <w:szCs w:val="22"/>
        </w:rPr>
        <w:t xml:space="preserve">Electronic Filers:  Comments may be filed electronically using the </w:t>
      </w:r>
      <w:r w:rsidR="00B621AE">
        <w:rPr>
          <w:szCs w:val="22"/>
        </w:rPr>
        <w:t>Commission’s online Electronic Comment Filing System (</w:t>
      </w:r>
      <w:r w:rsidRPr="00D51422">
        <w:rPr>
          <w:szCs w:val="22"/>
        </w:rPr>
        <w:t>ECFS</w:t>
      </w:r>
      <w:r w:rsidR="00B621AE">
        <w:rPr>
          <w:szCs w:val="22"/>
        </w:rPr>
        <w:t>)</w:t>
      </w:r>
      <w:r w:rsidRPr="00D51422">
        <w:rPr>
          <w:szCs w:val="22"/>
        </w:rPr>
        <w:t xml:space="preserve">:  </w:t>
      </w:r>
      <w:r w:rsidRPr="00D51422">
        <w:rPr>
          <w:color w:val="0000FF"/>
          <w:szCs w:val="22"/>
          <w:u w:val="single"/>
        </w:rPr>
        <w:t>https://www.fcc.gov/ecfs</w:t>
      </w:r>
      <w:r w:rsidRPr="00D51422">
        <w:rPr>
          <w:szCs w:val="22"/>
        </w:rPr>
        <w:t>.</w:t>
      </w:r>
    </w:p>
    <w:p w:rsidR="00D51422" w:rsidRPr="00D51422" w:rsidP="00D51422" w14:paraId="53FD4E02" w14:textId="77777777">
      <w:pPr>
        <w:numPr>
          <w:ilvl w:val="0"/>
          <w:numId w:val="7"/>
        </w:numPr>
        <w:spacing w:after="120"/>
        <w:rPr>
          <w:szCs w:val="22"/>
        </w:rPr>
      </w:pPr>
      <w:r w:rsidRPr="00D51422">
        <w:rPr>
          <w:szCs w:val="22"/>
        </w:rPr>
        <w:t>Paper Filers:  Parties who choose to file by paper must file an original and one copy of each filing.</w:t>
      </w:r>
    </w:p>
    <w:p w:rsidR="00D51422" w:rsidRPr="00D51422" w:rsidP="00D51422" w14:paraId="37A68D33" w14:textId="77777777">
      <w:pPr>
        <w:widowControl/>
        <w:numPr>
          <w:ilvl w:val="0"/>
          <w:numId w:val="7"/>
        </w:numPr>
        <w:spacing w:after="120"/>
        <w:rPr>
          <w:szCs w:val="22"/>
        </w:rPr>
      </w:pPr>
      <w:r w:rsidRPr="00D5142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1422" w:rsidRPr="00D51422" w:rsidP="00D51422" w14:paraId="0B83BBA4" w14:textId="77777777">
      <w:pPr>
        <w:numPr>
          <w:ilvl w:val="1"/>
          <w:numId w:val="7"/>
        </w:numPr>
        <w:spacing w:after="120"/>
        <w:rPr>
          <w:szCs w:val="22"/>
        </w:rPr>
      </w:pPr>
      <w:r w:rsidRPr="00D5142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D51422" w:rsidRPr="00D51422" w:rsidP="00D51422" w14:paraId="57C23B73" w14:textId="77777777">
      <w:pPr>
        <w:numPr>
          <w:ilvl w:val="1"/>
          <w:numId w:val="7"/>
        </w:numPr>
        <w:spacing w:after="120"/>
        <w:rPr>
          <w:szCs w:val="22"/>
        </w:rPr>
      </w:pPr>
      <w:r w:rsidRPr="00D51422">
        <w:rPr>
          <w:szCs w:val="22"/>
        </w:rPr>
        <w:t>Commercial overnight mail (other than U.S. Postal Service Express Mail and Priority Mail) must be sent to 9050 Junction Drive, Annapolis Junction, MD 20701.</w:t>
      </w:r>
    </w:p>
    <w:p w:rsidR="00D51422" w:rsidRPr="00D51422" w:rsidP="00D51422" w14:paraId="516F7F72" w14:textId="77777777">
      <w:pPr>
        <w:numPr>
          <w:ilvl w:val="1"/>
          <w:numId w:val="7"/>
        </w:numPr>
        <w:spacing w:after="120"/>
        <w:rPr>
          <w:szCs w:val="22"/>
        </w:rPr>
      </w:pPr>
      <w:r w:rsidRPr="00D51422">
        <w:rPr>
          <w:szCs w:val="22"/>
        </w:rPr>
        <w:t>U.S. Postal Service first-class, Express, and Priority mail must be addressed to 445 12th Street, SW, Washington DC  20554.</w:t>
      </w:r>
    </w:p>
    <w:p w:rsidR="00D51422" w:rsidRPr="00D51422" w:rsidP="00D51422" w14:paraId="3D791BFF" w14:textId="77777777">
      <w:pPr>
        <w:spacing w:after="120"/>
        <w:ind w:firstLine="720"/>
        <w:rPr>
          <w:szCs w:val="22"/>
        </w:rPr>
      </w:pPr>
      <w:r w:rsidRPr="00D51422">
        <w:rPr>
          <w:i/>
          <w:szCs w:val="22"/>
        </w:rPr>
        <w:t>Ex Parte Rules</w:t>
      </w:r>
      <w:r w:rsidRPr="00D51422">
        <w:rPr>
          <w:szCs w:val="22"/>
        </w:rPr>
        <w:t>.  Th</w:t>
      </w:r>
      <w:r w:rsidR="00B621AE">
        <w:rPr>
          <w:szCs w:val="22"/>
        </w:rPr>
        <w:t>is</w:t>
      </w:r>
      <w:r w:rsidRPr="00D51422">
        <w:rPr>
          <w:szCs w:val="22"/>
        </w:rPr>
        <w:t xml:space="preserve"> proceeding shall be treated as a “permit-but-disclose” proceeding in accordance with the Commission’s </w:t>
      </w:r>
      <w:r w:rsidRPr="00D51422">
        <w:rPr>
          <w:i/>
          <w:iCs/>
          <w:szCs w:val="22"/>
        </w:rPr>
        <w:t xml:space="preserve">ex parte </w:t>
      </w:r>
      <w:r w:rsidRPr="00D51422">
        <w:rPr>
          <w:szCs w:val="22"/>
        </w:rPr>
        <w:t>rules.</w:t>
      </w:r>
      <w:r>
        <w:rPr>
          <w:sz w:val="20"/>
          <w:vertAlign w:val="superscript"/>
        </w:rPr>
        <w:footnoteReference w:id="11"/>
      </w:r>
      <w:r w:rsidRPr="00D51422">
        <w:rPr>
          <w:szCs w:val="22"/>
        </w:rPr>
        <w:t xml:space="preserve">  Persons making </w:t>
      </w:r>
      <w:r w:rsidRPr="00D51422">
        <w:rPr>
          <w:i/>
          <w:szCs w:val="22"/>
        </w:rPr>
        <w:t xml:space="preserve">ex parte </w:t>
      </w:r>
      <w:r w:rsidRPr="00D5142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51422">
        <w:rPr>
          <w:i/>
          <w:iCs/>
          <w:szCs w:val="22"/>
        </w:rPr>
        <w:t xml:space="preserve">ex parte </w:t>
      </w:r>
      <w:r w:rsidRPr="00D51422">
        <w:rPr>
          <w:szCs w:val="22"/>
        </w:rPr>
        <w:t xml:space="preserve">presentations are reminded that memoranda summarizing the presentation must (1) list all persons attending or otherwise participating in the meeting at which the </w:t>
      </w:r>
      <w:r w:rsidRPr="00D51422">
        <w:rPr>
          <w:i/>
          <w:iCs/>
          <w:szCs w:val="22"/>
        </w:rPr>
        <w:t xml:space="preserve">ex parte </w:t>
      </w:r>
      <w:r w:rsidRPr="00D5142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51422">
        <w:rPr>
          <w:i/>
          <w:iCs/>
          <w:szCs w:val="22"/>
        </w:rPr>
        <w:t xml:space="preserve">ex parte </w:t>
      </w:r>
      <w:r w:rsidRPr="00D51422">
        <w:rPr>
          <w:szCs w:val="22"/>
        </w:rPr>
        <w:t xml:space="preserve">meetings are deemed to be written </w:t>
      </w:r>
      <w:r w:rsidRPr="00D51422">
        <w:rPr>
          <w:i/>
          <w:iCs/>
          <w:szCs w:val="22"/>
        </w:rPr>
        <w:t>ex parte</w:t>
      </w:r>
      <w:r w:rsidRPr="00D51422">
        <w:rPr>
          <w:szCs w:val="22"/>
        </w:rPr>
        <w:t xml:space="preserve"> presentations and must be filed consistent with rule 1.1206(b).  In proceedings governed by rule 1.49(f) or for which the Commission has made available a method of electronic filing, written </w:t>
      </w:r>
      <w:r w:rsidRPr="00D51422">
        <w:rPr>
          <w:i/>
          <w:iCs/>
          <w:szCs w:val="22"/>
        </w:rPr>
        <w:t xml:space="preserve">ex parte </w:t>
      </w:r>
      <w:r w:rsidRPr="00D51422">
        <w:rPr>
          <w:szCs w:val="22"/>
        </w:rPr>
        <w:t xml:space="preserve">presentations and memoranda summarizing oral </w:t>
      </w:r>
      <w:r w:rsidRPr="00D51422">
        <w:rPr>
          <w:i/>
          <w:iCs/>
          <w:szCs w:val="22"/>
        </w:rPr>
        <w:t xml:space="preserve">ex parte </w:t>
      </w:r>
      <w:r w:rsidRPr="00D51422">
        <w:rPr>
          <w:szCs w:val="22"/>
        </w:rPr>
        <w:t>presentations, and all attachments thereto, must be filed through the electronic comment filing system available for that proceeding, and must be filed in their native format (</w:t>
      </w:r>
      <w:r w:rsidRPr="00D51422">
        <w:rPr>
          <w:i/>
          <w:iCs/>
          <w:szCs w:val="22"/>
        </w:rPr>
        <w:t>e.g.</w:t>
      </w:r>
      <w:r w:rsidRPr="00D51422">
        <w:rPr>
          <w:szCs w:val="22"/>
        </w:rPr>
        <w:t xml:space="preserve">, .doc, .xml, .ppt, searchable .pdf).  Participants in this proceeding should familiarize themselves with the Commission’s </w:t>
      </w:r>
      <w:r w:rsidRPr="00D51422">
        <w:rPr>
          <w:i/>
          <w:iCs/>
          <w:szCs w:val="22"/>
        </w:rPr>
        <w:t xml:space="preserve">ex parte </w:t>
      </w:r>
      <w:r w:rsidRPr="00D51422">
        <w:rPr>
          <w:szCs w:val="22"/>
        </w:rPr>
        <w:t>rules.</w:t>
      </w:r>
    </w:p>
    <w:p w:rsidR="00D51422" w:rsidRPr="00D51422" w:rsidP="00D51422" w14:paraId="6A33C878" w14:textId="77777777">
      <w:pPr>
        <w:spacing w:after="120"/>
        <w:ind w:firstLine="720"/>
        <w:rPr>
          <w:szCs w:val="22"/>
        </w:rPr>
      </w:pPr>
      <w:r w:rsidRPr="00D51422">
        <w:rPr>
          <w:i/>
          <w:szCs w:val="22"/>
        </w:rPr>
        <w:t xml:space="preserve">People with Disabilities.  </w:t>
      </w:r>
      <w:r w:rsidRPr="00D51422">
        <w:rPr>
          <w:szCs w:val="22"/>
        </w:rPr>
        <w:t xml:space="preserve">To request materials in accessible formats for people with disabilities (Braille, large print, electronic files, audio format), send an e-mail to </w:t>
      </w:r>
      <w:r w:rsidRPr="00D51422">
        <w:rPr>
          <w:color w:val="0000FF"/>
          <w:szCs w:val="22"/>
          <w:u w:val="single"/>
        </w:rPr>
        <w:t>fcc504@fcc.gov</w:t>
      </w:r>
      <w:r w:rsidRPr="00D51422">
        <w:rPr>
          <w:szCs w:val="22"/>
        </w:rPr>
        <w:t xml:space="preserve"> or call the Consumer and Governmental Affairs Bureau at 202-418-0530 (voice), 844-432-2275 (videophone), or 202-418-0432 (TTY).</w:t>
      </w:r>
    </w:p>
    <w:p w:rsidR="00B621AE" w:rsidP="00D51422" w14:paraId="5F9EA4B2" w14:textId="77777777">
      <w:pPr>
        <w:spacing w:after="120"/>
        <w:ind w:firstLine="720"/>
        <w:rPr>
          <w:szCs w:val="22"/>
        </w:rPr>
      </w:pPr>
      <w:r w:rsidRPr="00D51422">
        <w:rPr>
          <w:i/>
          <w:szCs w:val="22"/>
        </w:rPr>
        <w:t xml:space="preserve">Additional Information.  </w:t>
      </w:r>
      <w:r w:rsidRPr="00D51422">
        <w:rPr>
          <w:szCs w:val="22"/>
        </w:rPr>
        <w:t xml:space="preserve">For further information regarding this Notice, please contact </w:t>
      </w:r>
      <w:r w:rsidR="008F1933">
        <w:rPr>
          <w:szCs w:val="22"/>
        </w:rPr>
        <w:t>Paul Moon, Mobility</w:t>
      </w:r>
      <w:r>
        <w:rPr>
          <w:szCs w:val="22"/>
        </w:rPr>
        <w:t xml:space="preserve"> Division, Wireless Telecommunications </w:t>
      </w:r>
      <w:r w:rsidRPr="00D51422">
        <w:rPr>
          <w:szCs w:val="22"/>
        </w:rPr>
        <w:t xml:space="preserve">Bureau, at (202) </w:t>
      </w:r>
      <w:r>
        <w:rPr>
          <w:szCs w:val="22"/>
        </w:rPr>
        <w:t>418-</w:t>
      </w:r>
      <w:r w:rsidR="008F1933">
        <w:rPr>
          <w:szCs w:val="22"/>
        </w:rPr>
        <w:t>1793</w:t>
      </w:r>
      <w:r w:rsidRPr="00D51422">
        <w:rPr>
          <w:szCs w:val="22"/>
        </w:rPr>
        <w:t xml:space="preserve">, or by e-mail </w:t>
      </w:r>
      <w:r>
        <w:rPr>
          <w:szCs w:val="22"/>
        </w:rPr>
        <w:t xml:space="preserve">to </w:t>
      </w:r>
      <w:hyperlink r:id="rId5" w:history="1">
        <w:r w:rsidRPr="005E3279" w:rsidR="008F1933">
          <w:rPr>
            <w:rStyle w:val="Hyperlink"/>
          </w:rPr>
          <w:t>paul.moon@fcc.gov</w:t>
        </w:r>
      </w:hyperlink>
      <w:r w:rsidR="008F1933">
        <w:t>.</w:t>
      </w:r>
    </w:p>
    <w:p w:rsidR="00284903" w:rsidP="00D51422" w14:paraId="6421193A" w14:textId="77777777">
      <w:pPr>
        <w:ind w:left="720"/>
        <w:contextualSpacing/>
        <w:jc w:val="center"/>
        <w:rPr>
          <w:szCs w:val="22"/>
        </w:rPr>
      </w:pPr>
    </w:p>
    <w:p w:rsidR="00D51422" w:rsidRPr="00D51422" w:rsidP="00D51422" w14:paraId="64D1BABB" w14:textId="77777777">
      <w:pPr>
        <w:ind w:left="720"/>
        <w:contextualSpacing/>
        <w:jc w:val="center"/>
        <w:rPr>
          <w:szCs w:val="22"/>
        </w:rPr>
      </w:pPr>
      <w:r w:rsidRPr="00D51422">
        <w:rPr>
          <w:szCs w:val="22"/>
        </w:rPr>
        <w:t>-FCC-</w:t>
      </w: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CDD93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B644B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C2F5CE1"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0F66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0602" w14:paraId="33E0BB40" w14:textId="77777777">
      <w:r>
        <w:separator/>
      </w:r>
    </w:p>
  </w:footnote>
  <w:footnote w:type="continuationSeparator" w:id="1">
    <w:p w:rsidR="00250602" w14:paraId="6EDBA26B" w14:textId="77777777">
      <w:pPr>
        <w:rPr>
          <w:sz w:val="20"/>
        </w:rPr>
      </w:pPr>
    </w:p>
  </w:footnote>
  <w:footnote w:type="continuationNotice" w:id="2">
    <w:p w:rsidR="00250602" w:rsidRPr="00EF01D0" w:rsidP="00EF01D0" w14:paraId="4E94748C" w14:textId="77777777">
      <w:pPr>
        <w:pStyle w:val="Footer"/>
      </w:pPr>
    </w:p>
  </w:footnote>
  <w:footnote w:id="3">
    <w:p w:rsidR="00EF01D0" w:rsidRPr="00EF01D0" w:rsidP="00713C94" w14:paraId="3C33A349" w14:textId="77777777">
      <w:pPr>
        <w:pStyle w:val="FootnoteText"/>
        <w:rPr>
          <w:color w:val="0000FF"/>
          <w:u w:val="single"/>
        </w:rPr>
      </w:pPr>
      <w:r>
        <w:rPr>
          <w:rStyle w:val="FootnoteReference"/>
        </w:rPr>
        <w:footnoteRef/>
      </w:r>
      <w:r>
        <w:t xml:space="preserve"> </w:t>
      </w:r>
      <w:bookmarkStart w:id="1" w:name="_Hlk17977540"/>
      <w:r w:rsidR="00431297">
        <w:rPr>
          <w:szCs w:val="22"/>
        </w:rPr>
        <w:t xml:space="preserve">Petition </w:t>
      </w:r>
      <w:r>
        <w:rPr>
          <w:szCs w:val="22"/>
        </w:rPr>
        <w:t xml:space="preserve">of New York University </w:t>
      </w:r>
      <w:r w:rsidR="00431297">
        <w:rPr>
          <w:szCs w:val="22"/>
        </w:rPr>
        <w:t>for Declaratory Ruling</w:t>
      </w:r>
      <w:r>
        <w:t xml:space="preserve"> (filed </w:t>
      </w:r>
      <w:r w:rsidR="00431297">
        <w:t>Oct</w:t>
      </w:r>
      <w:r w:rsidR="00360771">
        <w:t>.</w:t>
      </w:r>
      <w:r w:rsidR="00431297">
        <w:t xml:space="preserve"> 24</w:t>
      </w:r>
      <w:r>
        <w:t>, 2019)</w:t>
      </w:r>
      <w:bookmarkEnd w:id="1"/>
      <w:r>
        <w:t xml:space="preserve"> (Petition),</w:t>
      </w:r>
      <w:r w:rsidR="00431297">
        <w:t xml:space="preserve"> </w:t>
      </w:r>
      <w:r>
        <w:t xml:space="preserve">viewable at </w:t>
      </w:r>
      <w:hyperlink r:id="rId1" w:history="1">
        <w:r w:rsidRPr="00665F83">
          <w:rPr>
            <w:rStyle w:val="Hyperlink"/>
          </w:rPr>
          <w:t>https://ecfsapi.fcc.gov/file/10242392005642/NYU%20Wireless%20Petition%20for%20Declaratory%20Ruling%20-%2010.24.19.pdf</w:t>
        </w:r>
      </w:hyperlink>
      <w:r>
        <w:rPr>
          <w:rStyle w:val="Hyperlink"/>
        </w:rPr>
        <w:t xml:space="preserve">.  </w:t>
      </w:r>
    </w:p>
  </w:footnote>
  <w:footnote w:id="4">
    <w:p w:rsidR="00EF01D0" w14:paraId="240BFE5D" w14:textId="77777777">
      <w:pPr>
        <w:pStyle w:val="FootnoteText"/>
      </w:pPr>
      <w:r>
        <w:rPr>
          <w:rStyle w:val="FootnoteReference"/>
        </w:rPr>
        <w:footnoteRef/>
      </w:r>
      <w:r>
        <w:t xml:space="preserve"> 47 CFR § </w:t>
      </w:r>
      <w:r>
        <w:rPr>
          <w:szCs w:val="22"/>
        </w:rPr>
        <w:t>97.113(a)(4).</w:t>
      </w:r>
    </w:p>
  </w:footnote>
  <w:footnote w:id="5">
    <w:p w:rsidR="00823812" w14:paraId="7B29FD43" w14:textId="77777777">
      <w:pPr>
        <w:pStyle w:val="FootnoteText"/>
      </w:pPr>
      <w:r>
        <w:rPr>
          <w:rStyle w:val="FootnoteReference"/>
        </w:rPr>
        <w:footnoteRef/>
      </w:r>
      <w:r>
        <w:t xml:space="preserve"> </w:t>
      </w:r>
      <w:r w:rsidR="00EF01D0">
        <w:t xml:space="preserve">Petition </w:t>
      </w:r>
      <w:r w:rsidR="004C6A50">
        <w:t xml:space="preserve">at </w:t>
      </w:r>
      <w:r w:rsidR="00EF01D0">
        <w:t>1</w:t>
      </w:r>
      <w:r w:rsidR="00261D5A">
        <w:t>, 2</w:t>
      </w:r>
      <w:r w:rsidR="00EF4774">
        <w:t xml:space="preserve">; </w:t>
      </w:r>
      <w:r w:rsidR="00EF4774">
        <w:rPr>
          <w:i/>
        </w:rPr>
        <w:t>see also id.</w:t>
      </w:r>
      <w:r w:rsidR="00EF4774">
        <w:t xml:space="preserve"> at 6 (“Section 97.113(a)(4) prohibits the transmission of messages that cannot be decoded over-the-air for true meaning under reasonable propagation conditions”)</w:t>
      </w:r>
      <w:r w:rsidR="00EF01D0">
        <w:t xml:space="preserve">.  </w:t>
      </w:r>
    </w:p>
  </w:footnote>
  <w:footnote w:id="6">
    <w:p w:rsidR="001A672F" w:rsidP="001A672F" w14:paraId="14E5FE7C" w14:textId="77777777">
      <w:pPr>
        <w:pStyle w:val="FootnoteText"/>
      </w:pPr>
      <w:r>
        <w:rPr>
          <w:rStyle w:val="FootnoteReference"/>
        </w:rPr>
        <w:footnoteRef/>
      </w:r>
      <w:r>
        <w:t xml:space="preserve"> 47 CFR </w:t>
      </w:r>
      <w:r w:rsidR="00284903">
        <w:t>§</w:t>
      </w:r>
      <w:r>
        <w:t> </w:t>
      </w:r>
      <w:r w:rsidR="002C06AD">
        <w:t>97.113(a)(4).</w:t>
      </w:r>
    </w:p>
  </w:footnote>
  <w:footnote w:id="7">
    <w:p w:rsidR="00FC7E8A" w14:paraId="56609A5C" w14:textId="77777777">
      <w:pPr>
        <w:pStyle w:val="FootnoteText"/>
      </w:pPr>
      <w:r>
        <w:rPr>
          <w:rStyle w:val="FootnoteReference"/>
        </w:rPr>
        <w:footnoteRef/>
      </w:r>
      <w:r w:rsidR="002C06AD">
        <w:t xml:space="preserve"> </w:t>
      </w:r>
      <w:r w:rsidR="002C06AD">
        <w:rPr>
          <w:i/>
        </w:rPr>
        <w:t>See</w:t>
      </w:r>
      <w:r>
        <w:t xml:space="preserve"> Petition at 3</w:t>
      </w:r>
      <w:r w:rsidR="00B32F3E">
        <w:t>-</w:t>
      </w:r>
      <w:r>
        <w:t>4.</w:t>
      </w:r>
    </w:p>
  </w:footnote>
  <w:footnote w:id="8">
    <w:p w:rsidR="00D51422" w:rsidRPr="0087057A" w:rsidP="00D51422" w14:paraId="3EF43441" w14:textId="77777777">
      <w:pPr>
        <w:pStyle w:val="FootnoteText"/>
      </w:pPr>
      <w:r w:rsidRPr="0087057A">
        <w:rPr>
          <w:rStyle w:val="FootnoteReference"/>
          <w:sz w:val="20"/>
        </w:rPr>
        <w:footnoteRef/>
      </w:r>
      <w:r w:rsidRPr="0087057A">
        <w:t xml:space="preserve"> </w:t>
      </w:r>
      <w:r w:rsidR="006B2F03">
        <w:rPr>
          <w:i/>
          <w:iCs/>
        </w:rPr>
        <w:t xml:space="preserve">See </w:t>
      </w:r>
      <w:r w:rsidRPr="0087057A">
        <w:t>47 CFR §§ 1.2, 1.405, 1.419.</w:t>
      </w:r>
    </w:p>
  </w:footnote>
  <w:footnote w:id="9">
    <w:p w:rsidR="006B2F03" w14:paraId="3985808C" w14:textId="77777777">
      <w:pPr>
        <w:pStyle w:val="FootnoteText"/>
      </w:pPr>
      <w:r>
        <w:rPr>
          <w:rStyle w:val="FootnoteReference"/>
        </w:rPr>
        <w:footnoteRef/>
      </w:r>
      <w:r>
        <w:t xml:space="preserve"> </w:t>
      </w:r>
      <w:r w:rsidR="0074391A">
        <w:t xml:space="preserve">While the Petition was filed in multiple dockets, comments and reply comments to the Petition should be filed only in WT Docket No. 16-239.  We note that the issues raised in the Petition also have been discussed in previous filings in that docket.  </w:t>
      </w:r>
      <w:r w:rsidR="0074391A">
        <w:rPr>
          <w:i/>
        </w:rPr>
        <w:t>See, e.g.,</w:t>
      </w:r>
      <w:r w:rsidR="0074391A">
        <w:t xml:space="preserve"> Letter from Theodore S. Rappaport, (filed Apr. 3, 2019); Letter from Theodore S. Rappaport and Michael J. Marcus (filed July 24, 2019).</w:t>
      </w:r>
    </w:p>
  </w:footnote>
  <w:footnote w:id="10">
    <w:p w:rsidR="00D51422" w:rsidRPr="0087057A" w:rsidP="00D51422" w14:paraId="51A15A04"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11">
    <w:p w:rsidR="00D51422" w:rsidRPr="0087057A" w:rsidP="00D51422" w14:paraId="36073F85" w14:textId="77777777">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01A" w14:paraId="2A85C7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BD7853" w14:textId="64056E40">
    <w:pPr>
      <w:tabs>
        <w:tab w:val="center" w:pos="4680"/>
        <w:tab w:val="right" w:pos="9360"/>
      </w:tabs>
    </w:pPr>
    <w:r w:rsidRPr="009838BC">
      <w:rPr>
        <w:b/>
      </w:rPr>
      <w:tab/>
      <w:t>Federal Communications Commission</w:t>
    </w:r>
    <w:r w:rsidRPr="009838BC">
      <w:rPr>
        <w:b/>
      </w:rPr>
      <w:tab/>
    </w:r>
    <w:r w:rsidR="00D51422">
      <w:rPr>
        <w:b/>
      </w:rPr>
      <w:t xml:space="preserve">DA </w:t>
    </w:r>
    <w:r w:rsidR="00341D60">
      <w:rPr>
        <w:b/>
      </w:rPr>
      <w:t>19-</w:t>
    </w:r>
    <w:r w:rsidR="002A501A">
      <w:rPr>
        <w:b/>
      </w:rPr>
      <w:t>1130</w:t>
    </w:r>
    <w:bookmarkStart w:id="2" w:name="_GoBack"/>
    <w:bookmarkEnd w:id="2"/>
  </w:p>
  <w:p w:rsidR="009838BC" w:rsidRPr="009838BC" w:rsidP="009838BC" w14:paraId="68BDF2D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mc:Fallback>
      </mc:AlternateContent>
    </w:r>
  </w:p>
  <w:p w:rsidR="009838BC" w:rsidRPr="009838BC" w:rsidP="009838BC" w14:paraId="5A1A61D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5EA31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632F97F" w14:textId="77777777">
                    <w:pPr>
                      <w:rPr>
                        <w:rFonts w:ascii="Arial" w:hAnsi="Arial"/>
                        <w:b/>
                      </w:rPr>
                    </w:pPr>
                    <w:r>
                      <w:rPr>
                        <w:rFonts w:ascii="Arial" w:hAnsi="Arial"/>
                        <w:b/>
                      </w:rPr>
                      <w:t>Federal Communications Commission</w:t>
                    </w:r>
                  </w:p>
                  <w:p w:rsidR="009838BC" w:rsidP="009838BC" w14:paraId="3C9A350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2F1611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6906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9561E3">
      <w:rPr>
        <w:rFonts w:ascii="Arial" w:hAnsi="Arial" w:cs="Arial"/>
        <w:b/>
        <w:sz w:val="96"/>
      </w:rPr>
      <w:t>PUBLIC NOTICE</w:t>
    </w:r>
  </w:p>
  <w:p w:rsidR="009838BC" w:rsidRPr="00357D50" w:rsidP="009838BC" w14:paraId="5CA2C10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r w:rsidRPr="00D216CD">
                            <w:rPr>
                              <w:rFonts w:ascii="Arial" w:hAnsi="Arial"/>
                              <w:b/>
                              <w:sz w:val="16"/>
                            </w:rPr>
                            <w:t>h</w:t>
                          </w:r>
                          <w:bookmarkEnd w:id="3"/>
                          <w:r w:rsidRPr="00D216CD">
                            <w:rPr>
                              <w:rFonts w:ascii="Arial" w:hAnsi="Arial"/>
                              <w:b/>
                              <w:sz w:val="16"/>
                            </w:rPr>
                            <w:t>ttps://www.fcc.gov</w:t>
                          </w:r>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2852A2" w14:textId="77777777">
                    <w:pPr>
                      <w:spacing w:before="40"/>
                      <w:jc w:val="right"/>
                      <w:rPr>
                        <w:rFonts w:ascii="Arial" w:hAnsi="Arial"/>
                        <w:b/>
                        <w:sz w:val="16"/>
                      </w:rPr>
                    </w:pPr>
                    <w:r>
                      <w:rPr>
                        <w:rFonts w:ascii="Arial" w:hAnsi="Arial"/>
                        <w:b/>
                        <w:sz w:val="16"/>
                      </w:rPr>
                      <w:t>News Media Information 202 / 418-0500</w:t>
                    </w:r>
                  </w:p>
                  <w:p w:rsidR="009838BC" w:rsidP="009838BC" w14:paraId="44F6E3A4" w14:textId="77777777">
                    <w:pPr>
                      <w:jc w:val="right"/>
                      <w:rPr>
                        <w:rFonts w:ascii="Arial" w:hAnsi="Arial"/>
                        <w:b/>
                        <w:sz w:val="16"/>
                      </w:rPr>
                    </w:pPr>
                    <w:r>
                      <w:rPr>
                        <w:rFonts w:ascii="Arial" w:hAnsi="Arial"/>
                        <w:b/>
                        <w:sz w:val="16"/>
                      </w:rPr>
                      <w:t xml:space="preserve">Internet: </w:t>
                    </w:r>
                    <w:bookmarkStart w:id="3" w:name="_Hlt233824"/>
                    <w:r w:rsidRPr="00D216CD">
                      <w:rPr>
                        <w:rFonts w:ascii="Arial" w:hAnsi="Arial"/>
                        <w:b/>
                        <w:sz w:val="16"/>
                      </w:rPr>
                      <w:t>h</w:t>
                    </w:r>
                    <w:bookmarkEnd w:id="3"/>
                    <w:r w:rsidRPr="00D216CD">
                      <w:rPr>
                        <w:rFonts w:ascii="Arial" w:hAnsi="Arial"/>
                        <w:b/>
                        <w:sz w:val="16"/>
                      </w:rPr>
                      <w:t>ttps://www.fcc.gov</w:t>
                    </w:r>
                  </w:p>
                  <w:p w:rsidR="009838BC" w:rsidP="009838BC" w14:paraId="4E87EC9F" w14:textId="77777777">
                    <w:pPr>
                      <w:jc w:val="right"/>
                    </w:pPr>
                    <w:r>
                      <w:rPr>
                        <w:rFonts w:ascii="Arial" w:hAnsi="Arial"/>
                        <w:b/>
                        <w:sz w:val="16"/>
                      </w:rPr>
                      <w:t>TTY: 1-888-835-5322</w:t>
                    </w:r>
                  </w:p>
                </w:txbxContent>
              </v:textbox>
            </v:shape>
          </w:pict>
        </mc:Fallback>
      </mc:AlternateContent>
    </w:r>
  </w:p>
  <w:p w:rsidR="006F7393" w:rsidRPr="009838BC" w:rsidP="009838BC" w14:paraId="6AD3A5F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22"/>
    <w:rsid w:val="000072CE"/>
    <w:rsid w:val="000134C0"/>
    <w:rsid w:val="00013A8B"/>
    <w:rsid w:val="00021445"/>
    <w:rsid w:val="00036039"/>
    <w:rsid w:val="00037F90"/>
    <w:rsid w:val="000524D1"/>
    <w:rsid w:val="000875BF"/>
    <w:rsid w:val="00096040"/>
    <w:rsid w:val="00096D8C"/>
    <w:rsid w:val="000A51B9"/>
    <w:rsid w:val="000B29F7"/>
    <w:rsid w:val="000C0B65"/>
    <w:rsid w:val="000C3224"/>
    <w:rsid w:val="000D2F32"/>
    <w:rsid w:val="000E3D42"/>
    <w:rsid w:val="000E5884"/>
    <w:rsid w:val="000F0CE1"/>
    <w:rsid w:val="00122BD5"/>
    <w:rsid w:val="00171784"/>
    <w:rsid w:val="00191C03"/>
    <w:rsid w:val="001979D9"/>
    <w:rsid w:val="001A672F"/>
    <w:rsid w:val="001D6BCF"/>
    <w:rsid w:val="001D730F"/>
    <w:rsid w:val="001E01CA"/>
    <w:rsid w:val="001E0E55"/>
    <w:rsid w:val="00202CA4"/>
    <w:rsid w:val="002060D9"/>
    <w:rsid w:val="00226822"/>
    <w:rsid w:val="00242E12"/>
    <w:rsid w:val="00250602"/>
    <w:rsid w:val="00260594"/>
    <w:rsid w:val="00261D5A"/>
    <w:rsid w:val="00275711"/>
    <w:rsid w:val="00284903"/>
    <w:rsid w:val="00285017"/>
    <w:rsid w:val="002A2D2E"/>
    <w:rsid w:val="002A501A"/>
    <w:rsid w:val="002B315F"/>
    <w:rsid w:val="002C06AD"/>
    <w:rsid w:val="002D1AE2"/>
    <w:rsid w:val="002E7C7F"/>
    <w:rsid w:val="00327A5C"/>
    <w:rsid w:val="00341D60"/>
    <w:rsid w:val="00343749"/>
    <w:rsid w:val="00357D50"/>
    <w:rsid w:val="00360771"/>
    <w:rsid w:val="003637EF"/>
    <w:rsid w:val="0036734A"/>
    <w:rsid w:val="003925DC"/>
    <w:rsid w:val="003A5952"/>
    <w:rsid w:val="003B0550"/>
    <w:rsid w:val="003B694F"/>
    <w:rsid w:val="003C772D"/>
    <w:rsid w:val="003F171C"/>
    <w:rsid w:val="003F4949"/>
    <w:rsid w:val="00412C34"/>
    <w:rsid w:val="00412FC5"/>
    <w:rsid w:val="00417D96"/>
    <w:rsid w:val="00422276"/>
    <w:rsid w:val="004242F1"/>
    <w:rsid w:val="00431297"/>
    <w:rsid w:val="00445463"/>
    <w:rsid w:val="00445A00"/>
    <w:rsid w:val="00451B0F"/>
    <w:rsid w:val="0045205D"/>
    <w:rsid w:val="0046125F"/>
    <w:rsid w:val="00471220"/>
    <w:rsid w:val="00487524"/>
    <w:rsid w:val="00491952"/>
    <w:rsid w:val="00496106"/>
    <w:rsid w:val="004B72DC"/>
    <w:rsid w:val="004C12D0"/>
    <w:rsid w:val="004C2EE3"/>
    <w:rsid w:val="004C6A50"/>
    <w:rsid w:val="004E4A22"/>
    <w:rsid w:val="004E68E9"/>
    <w:rsid w:val="004E71CE"/>
    <w:rsid w:val="00511968"/>
    <w:rsid w:val="005407E4"/>
    <w:rsid w:val="00540D53"/>
    <w:rsid w:val="00547E81"/>
    <w:rsid w:val="005508CB"/>
    <w:rsid w:val="0055614C"/>
    <w:rsid w:val="00596018"/>
    <w:rsid w:val="005A0118"/>
    <w:rsid w:val="005E3279"/>
    <w:rsid w:val="005E5823"/>
    <w:rsid w:val="00600006"/>
    <w:rsid w:val="0060073C"/>
    <w:rsid w:val="00607BA5"/>
    <w:rsid w:val="0061356D"/>
    <w:rsid w:val="00620B75"/>
    <w:rsid w:val="00626EB6"/>
    <w:rsid w:val="006353A3"/>
    <w:rsid w:val="00637F7D"/>
    <w:rsid w:val="00655D03"/>
    <w:rsid w:val="00665F83"/>
    <w:rsid w:val="00681CE2"/>
    <w:rsid w:val="00683B48"/>
    <w:rsid w:val="00683F84"/>
    <w:rsid w:val="00696455"/>
    <w:rsid w:val="006A6A81"/>
    <w:rsid w:val="006B2F03"/>
    <w:rsid w:val="006D4140"/>
    <w:rsid w:val="006E26AF"/>
    <w:rsid w:val="006F7393"/>
    <w:rsid w:val="0070224F"/>
    <w:rsid w:val="00703EE0"/>
    <w:rsid w:val="007115F7"/>
    <w:rsid w:val="00713C94"/>
    <w:rsid w:val="00715A5B"/>
    <w:rsid w:val="00736BA4"/>
    <w:rsid w:val="007374C4"/>
    <w:rsid w:val="00741D79"/>
    <w:rsid w:val="0074391A"/>
    <w:rsid w:val="0078519E"/>
    <w:rsid w:val="00785689"/>
    <w:rsid w:val="00791E11"/>
    <w:rsid w:val="0079754B"/>
    <w:rsid w:val="007A1E6D"/>
    <w:rsid w:val="007D5140"/>
    <w:rsid w:val="0080250F"/>
    <w:rsid w:val="008062E4"/>
    <w:rsid w:val="00822CE0"/>
    <w:rsid w:val="00823812"/>
    <w:rsid w:val="00837C62"/>
    <w:rsid w:val="008419D5"/>
    <w:rsid w:val="00841AA2"/>
    <w:rsid w:val="00841AB1"/>
    <w:rsid w:val="0085471D"/>
    <w:rsid w:val="008623D7"/>
    <w:rsid w:val="0087057A"/>
    <w:rsid w:val="00880B79"/>
    <w:rsid w:val="008A3583"/>
    <w:rsid w:val="008B3792"/>
    <w:rsid w:val="008C22FD"/>
    <w:rsid w:val="008E68E8"/>
    <w:rsid w:val="008F1933"/>
    <w:rsid w:val="00910F12"/>
    <w:rsid w:val="00911F0F"/>
    <w:rsid w:val="0092354A"/>
    <w:rsid w:val="00926503"/>
    <w:rsid w:val="00930ECF"/>
    <w:rsid w:val="00955865"/>
    <w:rsid w:val="009561E3"/>
    <w:rsid w:val="00973333"/>
    <w:rsid w:val="009838BC"/>
    <w:rsid w:val="009A32E6"/>
    <w:rsid w:val="009D0BCA"/>
    <w:rsid w:val="009D17B4"/>
    <w:rsid w:val="009D2C19"/>
    <w:rsid w:val="00A3356B"/>
    <w:rsid w:val="00A45F4F"/>
    <w:rsid w:val="00A600A9"/>
    <w:rsid w:val="00A66E24"/>
    <w:rsid w:val="00A74AC1"/>
    <w:rsid w:val="00A866AC"/>
    <w:rsid w:val="00A93CB9"/>
    <w:rsid w:val="00AA55B7"/>
    <w:rsid w:val="00AA5B9E"/>
    <w:rsid w:val="00AB2407"/>
    <w:rsid w:val="00AB511D"/>
    <w:rsid w:val="00AB53DF"/>
    <w:rsid w:val="00AC2F8B"/>
    <w:rsid w:val="00AF3D4E"/>
    <w:rsid w:val="00B07E5C"/>
    <w:rsid w:val="00B22FEF"/>
    <w:rsid w:val="00B326E3"/>
    <w:rsid w:val="00B32F3E"/>
    <w:rsid w:val="00B621AE"/>
    <w:rsid w:val="00B750A6"/>
    <w:rsid w:val="00B811F7"/>
    <w:rsid w:val="00B83C5D"/>
    <w:rsid w:val="00BA5DC6"/>
    <w:rsid w:val="00BA5F06"/>
    <w:rsid w:val="00BA6196"/>
    <w:rsid w:val="00BB4497"/>
    <w:rsid w:val="00BC17C7"/>
    <w:rsid w:val="00BC6D8C"/>
    <w:rsid w:val="00BD4376"/>
    <w:rsid w:val="00C11482"/>
    <w:rsid w:val="00C16AF2"/>
    <w:rsid w:val="00C173D5"/>
    <w:rsid w:val="00C332D1"/>
    <w:rsid w:val="00C34006"/>
    <w:rsid w:val="00C426B1"/>
    <w:rsid w:val="00C573E1"/>
    <w:rsid w:val="00C82B6B"/>
    <w:rsid w:val="00C902F2"/>
    <w:rsid w:val="00C90D6A"/>
    <w:rsid w:val="00CB11BD"/>
    <w:rsid w:val="00CB71BD"/>
    <w:rsid w:val="00CC72B6"/>
    <w:rsid w:val="00D0218D"/>
    <w:rsid w:val="00D216CD"/>
    <w:rsid w:val="00D36F56"/>
    <w:rsid w:val="00D51422"/>
    <w:rsid w:val="00D625AE"/>
    <w:rsid w:val="00D64673"/>
    <w:rsid w:val="00D6645D"/>
    <w:rsid w:val="00D71F76"/>
    <w:rsid w:val="00D7332F"/>
    <w:rsid w:val="00DA2529"/>
    <w:rsid w:val="00DB130A"/>
    <w:rsid w:val="00DB774B"/>
    <w:rsid w:val="00DC0C51"/>
    <w:rsid w:val="00DC10A1"/>
    <w:rsid w:val="00DC655F"/>
    <w:rsid w:val="00DD7329"/>
    <w:rsid w:val="00DD7EBD"/>
    <w:rsid w:val="00DE6D18"/>
    <w:rsid w:val="00DF1D15"/>
    <w:rsid w:val="00DF62B6"/>
    <w:rsid w:val="00E07225"/>
    <w:rsid w:val="00E155B7"/>
    <w:rsid w:val="00E17AD1"/>
    <w:rsid w:val="00E51D18"/>
    <w:rsid w:val="00E5409F"/>
    <w:rsid w:val="00E65569"/>
    <w:rsid w:val="00E6631A"/>
    <w:rsid w:val="00E80087"/>
    <w:rsid w:val="00EB3F2C"/>
    <w:rsid w:val="00EC0185"/>
    <w:rsid w:val="00EC5346"/>
    <w:rsid w:val="00EC71F2"/>
    <w:rsid w:val="00EC76F1"/>
    <w:rsid w:val="00ED7F4E"/>
    <w:rsid w:val="00EF01D0"/>
    <w:rsid w:val="00EF1959"/>
    <w:rsid w:val="00EF4774"/>
    <w:rsid w:val="00EF51DC"/>
    <w:rsid w:val="00F021FA"/>
    <w:rsid w:val="00F268A2"/>
    <w:rsid w:val="00F34192"/>
    <w:rsid w:val="00F43D54"/>
    <w:rsid w:val="00F57ACA"/>
    <w:rsid w:val="00F62E97"/>
    <w:rsid w:val="00F64209"/>
    <w:rsid w:val="00F86E94"/>
    <w:rsid w:val="00F93BF5"/>
    <w:rsid w:val="00F96F63"/>
    <w:rsid w:val="00FA2F59"/>
    <w:rsid w:val="00FA4449"/>
    <w:rsid w:val="00FB296E"/>
    <w:rsid w:val="00FB2A31"/>
    <w:rsid w:val="00FC7E8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BAC0076-5AD0-4205-BEA5-11AABCD2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51422"/>
  </w:style>
  <w:style w:type="paragraph" w:styleId="BalloonText">
    <w:name w:val="Balloon Text"/>
    <w:basedOn w:val="Normal"/>
    <w:link w:val="BalloonTextChar"/>
    <w:uiPriority w:val="99"/>
    <w:semiHidden/>
    <w:unhideWhenUsed/>
    <w:rsid w:val="00713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94"/>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B621AE"/>
    <w:rPr>
      <w:color w:val="605E5C"/>
      <w:shd w:val="clear" w:color="auto" w:fill="E1DFDD"/>
    </w:rPr>
  </w:style>
  <w:style w:type="paragraph" w:styleId="ListParagraph">
    <w:name w:val="List Paragraph"/>
    <w:basedOn w:val="Normal"/>
    <w:uiPriority w:val="34"/>
    <w:qFormat/>
    <w:rsid w:val="001D730F"/>
    <w:pPr>
      <w:ind w:left="720"/>
      <w:contextualSpacing/>
    </w:pPr>
  </w:style>
  <w:style w:type="character" w:styleId="CommentReference">
    <w:name w:val="annotation reference"/>
    <w:basedOn w:val="DefaultParagraphFont"/>
    <w:uiPriority w:val="99"/>
    <w:semiHidden/>
    <w:unhideWhenUsed/>
    <w:rsid w:val="00191C03"/>
    <w:rPr>
      <w:sz w:val="16"/>
      <w:szCs w:val="16"/>
    </w:rPr>
  </w:style>
  <w:style w:type="paragraph" w:styleId="CommentText">
    <w:name w:val="annotation text"/>
    <w:basedOn w:val="Normal"/>
    <w:link w:val="CommentTextChar"/>
    <w:uiPriority w:val="99"/>
    <w:semiHidden/>
    <w:unhideWhenUsed/>
    <w:rsid w:val="00191C03"/>
    <w:rPr>
      <w:sz w:val="20"/>
    </w:rPr>
  </w:style>
  <w:style w:type="character" w:customStyle="1" w:styleId="CommentTextChar">
    <w:name w:val="Comment Text Char"/>
    <w:basedOn w:val="DefaultParagraphFont"/>
    <w:link w:val="CommentText"/>
    <w:uiPriority w:val="99"/>
    <w:semiHidden/>
    <w:rsid w:val="00191C03"/>
    <w:rPr>
      <w:snapToGrid w:val="0"/>
      <w:kern w:val="28"/>
    </w:rPr>
  </w:style>
  <w:style w:type="paragraph" w:styleId="CommentSubject">
    <w:name w:val="annotation subject"/>
    <w:basedOn w:val="CommentText"/>
    <w:next w:val="CommentText"/>
    <w:link w:val="CommentSubjectChar"/>
    <w:uiPriority w:val="99"/>
    <w:semiHidden/>
    <w:unhideWhenUsed/>
    <w:rsid w:val="00191C03"/>
    <w:rPr>
      <w:b/>
      <w:bCs/>
    </w:rPr>
  </w:style>
  <w:style w:type="character" w:customStyle="1" w:styleId="CommentSubjectChar">
    <w:name w:val="Comment Subject Char"/>
    <w:basedOn w:val="CommentTextChar"/>
    <w:link w:val="CommentSubject"/>
    <w:uiPriority w:val="99"/>
    <w:semiHidden/>
    <w:rsid w:val="00191C03"/>
    <w:rPr>
      <w:b/>
      <w:bCs/>
      <w:snapToGrid w:val="0"/>
      <w:kern w:val="28"/>
    </w:rPr>
  </w:style>
  <w:style w:type="character" w:styleId="FollowedHyperlink">
    <w:name w:val="FollowedHyperlink"/>
    <w:basedOn w:val="DefaultParagraphFont"/>
    <w:uiPriority w:val="99"/>
    <w:semiHidden/>
    <w:unhideWhenUsed/>
    <w:rsid w:val="00D36F56"/>
    <w:rPr>
      <w:color w:val="954F72" w:themeColor="followedHyperlink"/>
      <w:u w:val="single"/>
    </w:rPr>
  </w:style>
  <w:style w:type="character" w:customStyle="1" w:styleId="UnresolvedMention">
    <w:name w:val="Unresolved Mention"/>
    <w:basedOn w:val="DefaultParagraphFont"/>
    <w:uiPriority w:val="99"/>
    <w:rsid w:val="0043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ul.moo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42392005642/NYU%20Wireless%20Petition%20for%20Declaratory%20Ruling%20-%2010.24.19.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