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F3B59" w:rsidRPr="00A45FF2" w:rsidP="008F7EFB" w14:paraId="1FB3853F" w14:textId="5B7657A0">
      <w:pPr>
        <w:widowControl/>
        <w:jc w:val="right"/>
        <w:rPr>
          <w:b/>
          <w:szCs w:val="22"/>
        </w:rPr>
      </w:pPr>
      <w:bookmarkStart w:id="0" w:name="_Hlk16838211"/>
      <w:bookmarkStart w:id="1" w:name="_Hlk16770269"/>
      <w:bookmarkStart w:id="2" w:name="_Hlk19030824"/>
      <w:r w:rsidRPr="00A45FF2">
        <w:rPr>
          <w:b/>
          <w:szCs w:val="22"/>
        </w:rPr>
        <w:t xml:space="preserve">DA </w:t>
      </w:r>
      <w:r w:rsidR="00B56F07">
        <w:rPr>
          <w:b/>
          <w:szCs w:val="22"/>
        </w:rPr>
        <w:t>19-1131</w:t>
      </w:r>
    </w:p>
    <w:p w:rsidR="006F3B59" w:rsidRPr="00A45FF2" w:rsidP="008F7EFB" w14:paraId="450B730A" w14:textId="660C81EB">
      <w:pPr>
        <w:widowControl/>
        <w:spacing w:before="60"/>
        <w:jc w:val="right"/>
        <w:rPr>
          <w:b/>
          <w:szCs w:val="22"/>
        </w:rPr>
      </w:pPr>
      <w:r w:rsidRPr="00A45FF2">
        <w:rPr>
          <w:b/>
          <w:szCs w:val="22"/>
        </w:rPr>
        <w:t xml:space="preserve">Released: </w:t>
      </w:r>
      <w:r w:rsidR="00B56F07">
        <w:rPr>
          <w:b/>
          <w:szCs w:val="22"/>
        </w:rPr>
        <w:t>November 1, 2019</w:t>
      </w:r>
    </w:p>
    <w:p w:rsidR="006F3B59" w:rsidRPr="00A45FF2" w:rsidP="008F7EFB" w14:paraId="63492677" w14:textId="77777777">
      <w:pPr>
        <w:widowControl/>
        <w:jc w:val="right"/>
        <w:rPr>
          <w:szCs w:val="22"/>
        </w:rPr>
      </w:pPr>
    </w:p>
    <w:p w:rsidR="006F3B59" w:rsidRPr="00A45FF2" w:rsidP="008F7EFB" w14:paraId="08558949" w14:textId="15B0D02C">
      <w:pPr>
        <w:widowControl/>
        <w:spacing w:after="240"/>
        <w:jc w:val="center"/>
        <w:rPr>
          <w:b/>
          <w:caps/>
          <w:szCs w:val="22"/>
        </w:rPr>
      </w:pPr>
      <w:bookmarkStart w:id="3" w:name="_Hlk16585157"/>
      <w:r w:rsidRPr="00A45FF2">
        <w:rPr>
          <w:b/>
          <w:caps/>
          <w:szCs w:val="22"/>
        </w:rPr>
        <w:t xml:space="preserve">PUBLIC SAFETY AND HOMELAND SECURITY BUREAU SEEKS COMMENT ON </w:t>
      </w:r>
      <w:r w:rsidRPr="00A45FF2" w:rsidR="00EB1A11">
        <w:rPr>
          <w:b/>
          <w:caps/>
          <w:szCs w:val="22"/>
        </w:rPr>
        <w:t>commonwealth of Pennsylvania and Firstenergy</w:t>
      </w:r>
      <w:r w:rsidRPr="00A45FF2" w:rsidR="00993D4B">
        <w:rPr>
          <w:b/>
          <w:caps/>
          <w:szCs w:val="22"/>
        </w:rPr>
        <w:t xml:space="preserve"> Corp.</w:t>
      </w:r>
      <w:r w:rsidRPr="00A45FF2" w:rsidR="00EB1A11">
        <w:rPr>
          <w:b/>
          <w:caps/>
          <w:szCs w:val="22"/>
        </w:rPr>
        <w:t xml:space="preserve"> </w:t>
      </w:r>
      <w:r w:rsidR="00CA67B0">
        <w:rPr>
          <w:b/>
          <w:caps/>
          <w:szCs w:val="22"/>
        </w:rPr>
        <w:t xml:space="preserve">REQUEST </w:t>
      </w:r>
      <w:r w:rsidR="00FF0A84">
        <w:rPr>
          <w:b/>
          <w:caps/>
          <w:szCs w:val="22"/>
        </w:rPr>
        <w:t xml:space="preserve">FOR CLARIFICATION </w:t>
      </w:r>
      <w:r w:rsidR="00341811">
        <w:rPr>
          <w:b/>
          <w:caps/>
          <w:szCs w:val="22"/>
        </w:rPr>
        <w:t>OR</w:t>
      </w:r>
      <w:r w:rsidR="00FF0A84">
        <w:rPr>
          <w:b/>
          <w:caps/>
          <w:szCs w:val="22"/>
        </w:rPr>
        <w:t xml:space="preserve">, IN THE ALTERNATIVE, WAIVER </w:t>
      </w:r>
      <w:r w:rsidR="006115BE">
        <w:rPr>
          <w:b/>
          <w:caps/>
          <w:szCs w:val="22"/>
        </w:rPr>
        <w:t>TO SHARE VHF FREQUENCIES</w:t>
      </w:r>
    </w:p>
    <w:bookmarkEnd w:id="3"/>
    <w:p w:rsidR="006F3B59" w:rsidRPr="00A45FF2" w:rsidP="008F7EFB" w14:paraId="5F8D762F" w14:textId="590B913E">
      <w:pPr>
        <w:widowControl/>
        <w:jc w:val="center"/>
        <w:rPr>
          <w:szCs w:val="22"/>
        </w:rPr>
      </w:pPr>
      <w:r w:rsidRPr="00A45FF2">
        <w:rPr>
          <w:b/>
          <w:szCs w:val="22"/>
        </w:rPr>
        <w:t xml:space="preserve">PS Docket No. </w:t>
      </w:r>
      <w:r w:rsidR="00AD4745">
        <w:rPr>
          <w:b/>
          <w:szCs w:val="22"/>
        </w:rPr>
        <w:t xml:space="preserve">19-255 </w:t>
      </w:r>
      <w:bookmarkStart w:id="4" w:name="TOChere"/>
    </w:p>
    <w:bookmarkEnd w:id="4"/>
    <w:p w:rsidR="006F3B59" w:rsidRPr="00A45FF2" w:rsidP="008F7EFB" w14:paraId="50FBCE00" w14:textId="77777777">
      <w:pPr>
        <w:widowControl/>
        <w:rPr>
          <w:b/>
          <w:szCs w:val="22"/>
        </w:rPr>
      </w:pPr>
    </w:p>
    <w:p w:rsidR="006F3B59" w:rsidRPr="00A45FF2" w:rsidP="008F7EFB" w14:paraId="671AC98A" w14:textId="432F5149">
      <w:pPr>
        <w:widowControl/>
        <w:rPr>
          <w:b/>
          <w:szCs w:val="22"/>
        </w:rPr>
      </w:pPr>
      <w:r w:rsidRPr="00A45FF2">
        <w:rPr>
          <w:b/>
          <w:szCs w:val="22"/>
        </w:rPr>
        <w:t xml:space="preserve">Comments Due: </w:t>
      </w:r>
      <w:r w:rsidR="00B56F07">
        <w:rPr>
          <w:b/>
          <w:szCs w:val="22"/>
        </w:rPr>
        <w:t>December 2, 2019</w:t>
      </w:r>
    </w:p>
    <w:p w:rsidR="006F3B59" w:rsidRPr="00A45FF2" w:rsidP="008F7EFB" w14:paraId="09B2906C" w14:textId="1FF5E21E">
      <w:pPr>
        <w:widowControl/>
        <w:rPr>
          <w:szCs w:val="22"/>
        </w:rPr>
      </w:pPr>
      <w:r w:rsidRPr="00A45FF2">
        <w:rPr>
          <w:b/>
          <w:szCs w:val="22"/>
        </w:rPr>
        <w:t xml:space="preserve">Reply Comments Due: </w:t>
      </w:r>
      <w:r w:rsidR="00B56F07">
        <w:rPr>
          <w:b/>
          <w:szCs w:val="22"/>
        </w:rPr>
        <w:t>December 17, 2019</w:t>
      </w:r>
    </w:p>
    <w:p w:rsidR="006F3B59" w:rsidRPr="00A45FF2" w:rsidP="008F7EFB" w14:paraId="225B382F" w14:textId="77777777">
      <w:pPr>
        <w:widowControl/>
        <w:rPr>
          <w:szCs w:val="22"/>
        </w:rPr>
      </w:pPr>
    </w:p>
    <w:p w:rsidR="008A52DC" w:rsidRPr="00A45FF2" w:rsidP="008F7EFB" w14:paraId="604CCA76" w14:textId="20C38557">
      <w:pPr>
        <w:widowControl/>
        <w:contextualSpacing/>
        <w:rPr>
          <w:szCs w:val="22"/>
        </w:rPr>
      </w:pPr>
      <w:r w:rsidRPr="00A45FF2">
        <w:rPr>
          <w:szCs w:val="22"/>
        </w:rPr>
        <w:tab/>
        <w:t xml:space="preserve">By this Public Notice, </w:t>
      </w:r>
      <w:r w:rsidRPr="00A45FF2" w:rsidR="00993D4B">
        <w:rPr>
          <w:szCs w:val="22"/>
        </w:rPr>
        <w:t xml:space="preserve">the </w:t>
      </w:r>
      <w:r w:rsidRPr="00A45FF2">
        <w:rPr>
          <w:szCs w:val="22"/>
        </w:rPr>
        <w:t>Public Safety and Homeland Security Bureau</w:t>
      </w:r>
      <w:r w:rsidR="00C801D8">
        <w:rPr>
          <w:szCs w:val="22"/>
        </w:rPr>
        <w:t xml:space="preserve"> (PSHSB)</w:t>
      </w:r>
      <w:r w:rsidRPr="00A45FF2">
        <w:rPr>
          <w:szCs w:val="22"/>
        </w:rPr>
        <w:t xml:space="preserve"> seeks comment on </w:t>
      </w:r>
      <w:r w:rsidR="00C52A01">
        <w:rPr>
          <w:szCs w:val="22"/>
        </w:rPr>
        <w:t>a</w:t>
      </w:r>
      <w:r w:rsidRPr="00A45FF2">
        <w:rPr>
          <w:szCs w:val="22"/>
        </w:rPr>
        <w:t xml:space="preserve"> </w:t>
      </w:r>
      <w:r w:rsidRPr="00A45FF2" w:rsidR="00172693">
        <w:rPr>
          <w:szCs w:val="22"/>
        </w:rPr>
        <w:t xml:space="preserve">joint </w:t>
      </w:r>
      <w:r w:rsidRPr="00A45FF2">
        <w:rPr>
          <w:szCs w:val="22"/>
        </w:rPr>
        <w:t xml:space="preserve">request by the Commonwealth of Pennsylvania </w:t>
      </w:r>
      <w:r w:rsidR="0087725A">
        <w:rPr>
          <w:szCs w:val="22"/>
        </w:rPr>
        <w:t xml:space="preserve">(the Commonwealth) </w:t>
      </w:r>
      <w:r w:rsidRPr="00A45FF2">
        <w:rPr>
          <w:szCs w:val="22"/>
        </w:rPr>
        <w:t xml:space="preserve">and FirstEnergy Corp. </w:t>
      </w:r>
      <w:r w:rsidR="00042C39">
        <w:rPr>
          <w:szCs w:val="22"/>
        </w:rPr>
        <w:t xml:space="preserve">(First Energy) </w:t>
      </w:r>
      <w:r w:rsidRPr="00A45FF2" w:rsidR="00FE2F87">
        <w:rPr>
          <w:szCs w:val="22"/>
        </w:rPr>
        <w:t>(</w:t>
      </w:r>
      <w:r w:rsidR="00042C39">
        <w:rPr>
          <w:szCs w:val="22"/>
        </w:rPr>
        <w:t xml:space="preserve">collectively, </w:t>
      </w:r>
      <w:r w:rsidRPr="00A45FF2" w:rsidR="00FE2F87">
        <w:rPr>
          <w:szCs w:val="22"/>
        </w:rPr>
        <w:t>Petitioners)</w:t>
      </w:r>
      <w:r w:rsidRPr="00A45FF2">
        <w:rPr>
          <w:szCs w:val="22"/>
        </w:rPr>
        <w:t xml:space="preserve"> to </w:t>
      </w:r>
      <w:r w:rsidR="00E673D6">
        <w:rPr>
          <w:szCs w:val="22"/>
        </w:rPr>
        <w:t xml:space="preserve">either (a) </w:t>
      </w:r>
      <w:r w:rsidR="00C52A01">
        <w:rPr>
          <w:szCs w:val="22"/>
        </w:rPr>
        <w:t xml:space="preserve">find that </w:t>
      </w:r>
      <w:r w:rsidR="00E673D6">
        <w:rPr>
          <w:szCs w:val="22"/>
        </w:rPr>
        <w:t xml:space="preserve">the scope of a waiver granted to Petitioners in 1999 </w:t>
      </w:r>
      <w:r w:rsidR="00C52A01">
        <w:rPr>
          <w:szCs w:val="22"/>
        </w:rPr>
        <w:t>authorizes</w:t>
      </w:r>
      <w:r w:rsidR="00E673D6">
        <w:rPr>
          <w:szCs w:val="22"/>
        </w:rPr>
        <w:t xml:space="preserve"> Petitioners to share </w:t>
      </w:r>
      <w:r w:rsidR="00C52A01">
        <w:rPr>
          <w:szCs w:val="22"/>
        </w:rPr>
        <w:t xml:space="preserve">both </w:t>
      </w:r>
      <w:r w:rsidR="00517FE5">
        <w:rPr>
          <w:szCs w:val="22"/>
        </w:rPr>
        <w:t>800 MHz</w:t>
      </w:r>
      <w:r w:rsidR="00C52A01">
        <w:rPr>
          <w:szCs w:val="22"/>
        </w:rPr>
        <w:t xml:space="preserve"> and VHF </w:t>
      </w:r>
      <w:r w:rsidR="00E673D6">
        <w:rPr>
          <w:szCs w:val="22"/>
        </w:rPr>
        <w:t>channels on their systems</w:t>
      </w:r>
      <w:r>
        <w:rPr>
          <w:rStyle w:val="FootnoteReference"/>
          <w:szCs w:val="22"/>
        </w:rPr>
        <w:footnoteReference w:id="3"/>
      </w:r>
      <w:r w:rsidRPr="00A45FF2" w:rsidR="00172693">
        <w:rPr>
          <w:szCs w:val="22"/>
        </w:rPr>
        <w:t xml:space="preserve"> or</w:t>
      </w:r>
      <w:r w:rsidR="00CA67B0">
        <w:rPr>
          <w:szCs w:val="22"/>
        </w:rPr>
        <w:t>,</w:t>
      </w:r>
      <w:r w:rsidRPr="00A45FF2" w:rsidR="00172693">
        <w:rPr>
          <w:szCs w:val="22"/>
        </w:rPr>
        <w:t xml:space="preserve"> </w:t>
      </w:r>
      <w:r w:rsidR="00F42AE7">
        <w:rPr>
          <w:szCs w:val="22"/>
        </w:rPr>
        <w:t xml:space="preserve">(b) </w:t>
      </w:r>
      <w:r w:rsidR="005F025D">
        <w:rPr>
          <w:szCs w:val="22"/>
        </w:rPr>
        <w:t xml:space="preserve">amend the </w:t>
      </w:r>
      <w:r w:rsidR="00517FE5">
        <w:rPr>
          <w:szCs w:val="22"/>
        </w:rPr>
        <w:t xml:space="preserve">1999 waiver to </w:t>
      </w:r>
      <w:r w:rsidR="00E673D6">
        <w:rPr>
          <w:szCs w:val="22"/>
        </w:rPr>
        <w:t xml:space="preserve">allow </w:t>
      </w:r>
      <w:r w:rsidR="00517FE5">
        <w:rPr>
          <w:szCs w:val="22"/>
        </w:rPr>
        <w:t xml:space="preserve">Petitioners </w:t>
      </w:r>
      <w:r w:rsidR="00E673D6">
        <w:rPr>
          <w:szCs w:val="22"/>
        </w:rPr>
        <w:t xml:space="preserve">to share </w:t>
      </w:r>
      <w:r w:rsidR="00F42AE7">
        <w:rPr>
          <w:szCs w:val="22"/>
        </w:rPr>
        <w:t xml:space="preserve">both 800 MHz and </w:t>
      </w:r>
      <w:r w:rsidRPr="00A45FF2" w:rsidR="00172693">
        <w:rPr>
          <w:szCs w:val="22"/>
        </w:rPr>
        <w:t>VHF Channels</w:t>
      </w:r>
      <w:r w:rsidR="00F42AE7">
        <w:rPr>
          <w:szCs w:val="22"/>
        </w:rPr>
        <w:t xml:space="preserve"> on their systems</w:t>
      </w:r>
      <w:r w:rsidRPr="00A45FF2" w:rsidR="00172693">
        <w:rPr>
          <w:szCs w:val="22"/>
        </w:rPr>
        <w:t>.</w:t>
      </w:r>
      <w:r>
        <w:rPr>
          <w:rStyle w:val="FootnoteReference"/>
          <w:szCs w:val="22"/>
        </w:rPr>
        <w:footnoteReference w:id="4"/>
      </w:r>
      <w:r w:rsidRPr="00A45FF2">
        <w:rPr>
          <w:szCs w:val="22"/>
        </w:rPr>
        <w:t xml:space="preserve">  </w:t>
      </w:r>
    </w:p>
    <w:p w:rsidR="008A52DC" w:rsidRPr="00A45FF2" w:rsidP="008F7EFB" w14:paraId="0403AF17" w14:textId="77777777">
      <w:pPr>
        <w:widowControl/>
        <w:contextualSpacing/>
        <w:rPr>
          <w:szCs w:val="22"/>
        </w:rPr>
      </w:pPr>
    </w:p>
    <w:p w:rsidR="009D6431" w:rsidP="008F7EFB" w14:paraId="77795C7E" w14:textId="0A54C596">
      <w:pPr>
        <w:widowControl/>
        <w:contextualSpacing/>
        <w:rPr>
          <w:szCs w:val="22"/>
        </w:rPr>
      </w:pPr>
      <w:r w:rsidRPr="00A45FF2">
        <w:rPr>
          <w:szCs w:val="22"/>
        </w:rPr>
        <w:tab/>
      </w:r>
      <w:r w:rsidRPr="009D6431">
        <w:rPr>
          <w:i/>
          <w:szCs w:val="22"/>
        </w:rPr>
        <w:t>Interpretation of the 1999 Waiver</w:t>
      </w:r>
      <w:r>
        <w:rPr>
          <w:szCs w:val="22"/>
        </w:rPr>
        <w:t xml:space="preserve">: </w:t>
      </w:r>
      <w:r w:rsidRPr="00A45FF2">
        <w:rPr>
          <w:szCs w:val="22"/>
        </w:rPr>
        <w:t>Petitioners ask th</w:t>
      </w:r>
      <w:r w:rsidR="00F42AE7">
        <w:rPr>
          <w:szCs w:val="22"/>
        </w:rPr>
        <w:t xml:space="preserve">at we </w:t>
      </w:r>
      <w:r w:rsidRPr="00A45FF2">
        <w:rPr>
          <w:szCs w:val="22"/>
        </w:rPr>
        <w:t>c</w:t>
      </w:r>
      <w:r w:rsidR="00CA67B0">
        <w:rPr>
          <w:szCs w:val="22"/>
        </w:rPr>
        <w:t>onfirm</w:t>
      </w:r>
      <w:r w:rsidRPr="00A45FF2">
        <w:rPr>
          <w:szCs w:val="22"/>
        </w:rPr>
        <w:t xml:space="preserve"> that </w:t>
      </w:r>
      <w:r w:rsidR="006115BE">
        <w:rPr>
          <w:szCs w:val="22"/>
        </w:rPr>
        <w:t>the</w:t>
      </w:r>
      <w:r w:rsidR="00BE488A">
        <w:rPr>
          <w:szCs w:val="22"/>
        </w:rPr>
        <w:t>ir</w:t>
      </w:r>
      <w:r w:rsidR="006115BE">
        <w:rPr>
          <w:szCs w:val="22"/>
        </w:rPr>
        <w:t xml:space="preserve"> 1999 waiver</w:t>
      </w:r>
      <w:r w:rsidRPr="00A45FF2">
        <w:rPr>
          <w:szCs w:val="22"/>
        </w:rPr>
        <w:t xml:space="preserve"> permits </w:t>
      </w:r>
      <w:r>
        <w:rPr>
          <w:szCs w:val="22"/>
        </w:rPr>
        <w:t xml:space="preserve">adding </w:t>
      </w:r>
      <w:r w:rsidRPr="00A45FF2">
        <w:rPr>
          <w:szCs w:val="22"/>
        </w:rPr>
        <w:t>VHF frequenc</w:t>
      </w:r>
      <w:r w:rsidR="003A6B3C">
        <w:rPr>
          <w:szCs w:val="22"/>
        </w:rPr>
        <w:t>ies</w:t>
      </w:r>
      <w:r w:rsidRPr="00A45FF2">
        <w:rPr>
          <w:szCs w:val="22"/>
        </w:rPr>
        <w:t xml:space="preserve"> </w:t>
      </w:r>
      <w:r w:rsidR="00F42AE7">
        <w:rPr>
          <w:szCs w:val="22"/>
        </w:rPr>
        <w:t>to</w:t>
      </w:r>
      <w:r w:rsidRPr="00A45FF2">
        <w:rPr>
          <w:szCs w:val="22"/>
        </w:rPr>
        <w:t xml:space="preserve"> </w:t>
      </w:r>
      <w:r w:rsidR="00FC2DF8">
        <w:rPr>
          <w:szCs w:val="22"/>
        </w:rPr>
        <w:t>their</w:t>
      </w:r>
      <w:r w:rsidRPr="00A45FF2">
        <w:rPr>
          <w:szCs w:val="22"/>
        </w:rPr>
        <w:t xml:space="preserve"> shared system</w:t>
      </w:r>
      <w:r w:rsidR="00F42AE7">
        <w:rPr>
          <w:szCs w:val="22"/>
        </w:rPr>
        <w:t>,</w:t>
      </w:r>
      <w:r>
        <w:rPr>
          <w:rStyle w:val="FootnoteReference"/>
          <w:szCs w:val="22"/>
        </w:rPr>
        <w:footnoteReference w:id="5"/>
      </w:r>
      <w:r w:rsidR="00F42AE7">
        <w:rPr>
          <w:szCs w:val="22"/>
        </w:rPr>
        <w:t xml:space="preserve"> a</w:t>
      </w:r>
      <w:r>
        <w:rPr>
          <w:szCs w:val="22"/>
        </w:rPr>
        <w:t>sserting</w:t>
      </w:r>
      <w:r w:rsidR="00F42AE7">
        <w:rPr>
          <w:szCs w:val="22"/>
        </w:rPr>
        <w:t xml:space="preserve"> that the waiver grant </w:t>
      </w:r>
      <w:r w:rsidR="00BE488A">
        <w:rPr>
          <w:szCs w:val="22"/>
        </w:rPr>
        <w:t xml:space="preserve">language; </w:t>
      </w:r>
      <w:r w:rsidR="00F42AE7">
        <w:rPr>
          <w:szCs w:val="22"/>
        </w:rPr>
        <w:t>“including any stations they subsequently add to the system</w:t>
      </w:r>
      <w:r w:rsidR="00BE488A">
        <w:rPr>
          <w:szCs w:val="22"/>
        </w:rPr>
        <w:t>,</w:t>
      </w:r>
      <w:r w:rsidR="00F42AE7">
        <w:rPr>
          <w:szCs w:val="22"/>
        </w:rPr>
        <w:t xml:space="preserve">” </w:t>
      </w:r>
      <w:r>
        <w:rPr>
          <w:szCs w:val="22"/>
        </w:rPr>
        <w:t xml:space="preserve">contemplates addition of VHF channels.  We </w:t>
      </w:r>
      <w:r w:rsidR="00BE488A">
        <w:rPr>
          <w:szCs w:val="22"/>
        </w:rPr>
        <w:t xml:space="preserve">seek comment on whether </w:t>
      </w:r>
      <w:r>
        <w:rPr>
          <w:szCs w:val="22"/>
        </w:rPr>
        <w:t xml:space="preserve">the quoted language, considered in context, </w:t>
      </w:r>
      <w:r w:rsidR="00F42AE7">
        <w:rPr>
          <w:szCs w:val="22"/>
        </w:rPr>
        <w:t>applie</w:t>
      </w:r>
      <w:r>
        <w:rPr>
          <w:szCs w:val="22"/>
        </w:rPr>
        <w:t>s</w:t>
      </w:r>
      <w:r w:rsidR="00F42AE7">
        <w:rPr>
          <w:szCs w:val="22"/>
        </w:rPr>
        <w:t xml:space="preserve"> </w:t>
      </w:r>
      <w:r>
        <w:rPr>
          <w:szCs w:val="22"/>
        </w:rPr>
        <w:t>only to the addition of 800 MHz facilities</w:t>
      </w:r>
      <w:r w:rsidR="00BE488A">
        <w:rPr>
          <w:szCs w:val="22"/>
        </w:rPr>
        <w:t xml:space="preserve"> as opposed to both 800 MHz and </w:t>
      </w:r>
      <w:r>
        <w:rPr>
          <w:szCs w:val="22"/>
        </w:rPr>
        <w:t xml:space="preserve">VHF facilities.  </w:t>
      </w:r>
    </w:p>
    <w:p w:rsidR="009D6431" w:rsidP="008F7EFB" w14:paraId="3BF5067B" w14:textId="77777777">
      <w:pPr>
        <w:widowControl/>
        <w:contextualSpacing/>
        <w:rPr>
          <w:szCs w:val="22"/>
        </w:rPr>
      </w:pPr>
    </w:p>
    <w:p w:rsidR="0087725A" w:rsidP="008F7EFB" w14:paraId="7C6D6979" w14:textId="728E8D01">
      <w:pPr>
        <w:widowControl/>
        <w:ind w:firstLine="720"/>
        <w:contextualSpacing/>
        <w:rPr>
          <w:szCs w:val="22"/>
        </w:rPr>
      </w:pPr>
      <w:r w:rsidRPr="0037485A">
        <w:rPr>
          <w:i/>
          <w:szCs w:val="22"/>
        </w:rPr>
        <w:t xml:space="preserve">Waiver to </w:t>
      </w:r>
      <w:r w:rsidRPr="0037485A" w:rsidR="0037485A">
        <w:rPr>
          <w:i/>
          <w:szCs w:val="22"/>
        </w:rPr>
        <w:t xml:space="preserve">Allow Sharing of </w:t>
      </w:r>
      <w:r w:rsidRPr="0037485A" w:rsidR="00F42AE7">
        <w:rPr>
          <w:i/>
          <w:szCs w:val="22"/>
        </w:rPr>
        <w:t xml:space="preserve">VHF </w:t>
      </w:r>
      <w:r w:rsidRPr="0037485A" w:rsidR="0037485A">
        <w:rPr>
          <w:i/>
          <w:szCs w:val="22"/>
        </w:rPr>
        <w:t>Channels</w:t>
      </w:r>
      <w:r w:rsidR="0037485A">
        <w:rPr>
          <w:szCs w:val="22"/>
        </w:rPr>
        <w:t>: Petitioners’ alternative request for relief is a</w:t>
      </w:r>
      <w:r w:rsidR="00517FE5">
        <w:rPr>
          <w:szCs w:val="22"/>
        </w:rPr>
        <w:t>n amendment to the 1999</w:t>
      </w:r>
      <w:r w:rsidR="0037485A">
        <w:rPr>
          <w:szCs w:val="22"/>
        </w:rPr>
        <w:t xml:space="preserve"> waiver</w:t>
      </w:r>
      <w:r w:rsidRPr="00A45FF2" w:rsidR="007A3B4D">
        <w:rPr>
          <w:szCs w:val="22"/>
        </w:rPr>
        <w:t>,</w:t>
      </w:r>
      <w:r w:rsidR="0037485A">
        <w:rPr>
          <w:szCs w:val="22"/>
        </w:rPr>
        <w:t xml:space="preserve"> pursuant to sections 1.3 and 1.925 of the Commission’s rules</w:t>
      </w:r>
      <w:r>
        <w:rPr>
          <w:szCs w:val="22"/>
        </w:rPr>
        <w:t>,</w:t>
      </w:r>
      <w:r>
        <w:rPr>
          <w:rStyle w:val="FootnoteReference"/>
          <w:szCs w:val="22"/>
        </w:rPr>
        <w:footnoteReference w:id="6"/>
      </w:r>
      <w:r w:rsidRPr="00A45FF2" w:rsidR="007A3B4D">
        <w:rPr>
          <w:szCs w:val="22"/>
        </w:rPr>
        <w:t xml:space="preserve"> to allow </w:t>
      </w:r>
      <w:r w:rsidR="0037485A">
        <w:rPr>
          <w:szCs w:val="22"/>
        </w:rPr>
        <w:t xml:space="preserve">them to add VHF channels to their </w:t>
      </w:r>
      <w:r>
        <w:rPr>
          <w:szCs w:val="22"/>
        </w:rPr>
        <w:t xml:space="preserve">shared </w:t>
      </w:r>
      <w:r w:rsidR="0037485A">
        <w:rPr>
          <w:szCs w:val="22"/>
        </w:rPr>
        <w:t xml:space="preserve">systems. </w:t>
      </w:r>
      <w:r w:rsidR="00BE488A">
        <w:rPr>
          <w:szCs w:val="22"/>
        </w:rPr>
        <w:t xml:space="preserve"> Petitioners</w:t>
      </w:r>
      <w:r w:rsidR="0037485A">
        <w:rPr>
          <w:szCs w:val="22"/>
        </w:rPr>
        <w:t xml:space="preserve"> request that the waiver apply to the VHF </w:t>
      </w:r>
      <w:r w:rsidR="00A467A9">
        <w:rPr>
          <w:szCs w:val="22"/>
        </w:rPr>
        <w:t xml:space="preserve">channel </w:t>
      </w:r>
      <w:r w:rsidR="0037485A">
        <w:rPr>
          <w:szCs w:val="22"/>
        </w:rPr>
        <w:t xml:space="preserve">licensees listed in the Appendix and </w:t>
      </w:r>
      <w:r w:rsidR="00A467A9">
        <w:rPr>
          <w:szCs w:val="22"/>
        </w:rPr>
        <w:t>“</w:t>
      </w:r>
      <w:r w:rsidR="0037485A">
        <w:rPr>
          <w:szCs w:val="22"/>
        </w:rPr>
        <w:t xml:space="preserve">to </w:t>
      </w:r>
      <w:r w:rsidRPr="00A45FF2" w:rsidR="007A3B4D">
        <w:rPr>
          <w:szCs w:val="22"/>
        </w:rPr>
        <w:t>any future stations that may be added later</w:t>
      </w:r>
      <w:r w:rsidR="00A467A9">
        <w:rPr>
          <w:szCs w:val="22"/>
        </w:rPr>
        <w:t xml:space="preserve"> . . . </w:t>
      </w:r>
      <w:r w:rsidRPr="00A45FF2" w:rsidR="007A3B4D">
        <w:rPr>
          <w:szCs w:val="22"/>
        </w:rPr>
        <w:t>to avoid the unnecessarily burdensome administrative task of refiling a waiver request each time a site is constructed or modified.”</w:t>
      </w:r>
      <w:r>
        <w:rPr>
          <w:rStyle w:val="FootnoteReference"/>
          <w:szCs w:val="22"/>
        </w:rPr>
        <w:footnoteReference w:id="7"/>
      </w:r>
      <w:r w:rsidRPr="00A45FF2" w:rsidR="00BB78BA">
        <w:rPr>
          <w:szCs w:val="22"/>
        </w:rPr>
        <w:t xml:space="preserve">  </w:t>
      </w:r>
      <w:r w:rsidRPr="0087725A">
        <w:rPr>
          <w:szCs w:val="22"/>
        </w:rPr>
        <w:t xml:space="preserve">  </w:t>
      </w:r>
    </w:p>
    <w:p w:rsidR="0087725A" w:rsidP="008F7EFB" w14:paraId="64A3F896" w14:textId="77777777">
      <w:pPr>
        <w:widowControl/>
        <w:ind w:firstLine="720"/>
        <w:contextualSpacing/>
        <w:rPr>
          <w:szCs w:val="22"/>
        </w:rPr>
      </w:pPr>
    </w:p>
    <w:p w:rsidR="00FE2F87" w:rsidRPr="00A45FF2" w:rsidP="008F7EFB" w14:paraId="21B178AC" w14:textId="0C744C68">
      <w:pPr>
        <w:widowControl/>
        <w:ind w:firstLine="720"/>
        <w:contextualSpacing/>
        <w:rPr>
          <w:szCs w:val="22"/>
        </w:rPr>
      </w:pPr>
      <w:r>
        <w:rPr>
          <w:szCs w:val="22"/>
        </w:rPr>
        <w:t>We seek comment on the advisability of Petitioners adding VHF channels to their shared systems and on their request to add future VHF channels without specific Commission authorization.  Commenting parties should address the effects, if any, of adding VHF channels to Petitioners</w:t>
      </w:r>
      <w:r w:rsidR="00C52A01">
        <w:rPr>
          <w:szCs w:val="22"/>
        </w:rPr>
        <w:t>’</w:t>
      </w:r>
      <w:r>
        <w:rPr>
          <w:szCs w:val="22"/>
        </w:rPr>
        <w:t xml:space="preserve"> systems if such VHF channels are not exclusive authorizations, i.e., if the channels are </w:t>
      </w:r>
      <w:r w:rsidR="00C52A01">
        <w:rPr>
          <w:szCs w:val="22"/>
        </w:rPr>
        <w:t>also used by other co-channel licensees in the area.</w:t>
      </w:r>
      <w:r>
        <w:rPr>
          <w:rStyle w:val="FootnoteReference"/>
          <w:szCs w:val="22"/>
        </w:rPr>
        <w:footnoteReference w:id="8"/>
      </w:r>
      <w:r w:rsidR="00C52A01">
        <w:rPr>
          <w:szCs w:val="22"/>
        </w:rPr>
        <w:t xml:space="preserve">  </w:t>
      </w:r>
    </w:p>
    <w:p w:rsidR="006F3B59" w:rsidRPr="00A45FF2" w:rsidP="008F7EFB" w14:paraId="03CD594D" w14:textId="36CB44F2">
      <w:pPr>
        <w:widowControl/>
        <w:contextualSpacing/>
        <w:rPr>
          <w:szCs w:val="22"/>
        </w:rPr>
      </w:pPr>
      <w:r w:rsidRPr="00A45FF2">
        <w:rPr>
          <w:szCs w:val="22"/>
        </w:rPr>
        <w:tab/>
      </w:r>
    </w:p>
    <w:p w:rsidR="006F3B59" w:rsidRPr="00A45FF2" w:rsidP="008F7EFB" w14:paraId="77E78389" w14:textId="1FE8D672">
      <w:pPr>
        <w:widowControl/>
        <w:ind w:firstLine="720"/>
        <w:contextualSpacing/>
        <w:rPr>
          <w:szCs w:val="22"/>
        </w:rPr>
      </w:pPr>
      <w:r w:rsidRPr="00A45FF2">
        <w:rPr>
          <w:szCs w:val="22"/>
        </w:rPr>
        <w:t>Pursuant to Sections 1.415 and 1.419 of the Commission’s rules,</w:t>
      </w:r>
      <w:r w:rsidR="00930F7B">
        <w:rPr>
          <w:szCs w:val="22"/>
        </w:rPr>
        <w:t xml:space="preserve"> </w:t>
      </w:r>
      <w:r w:rsidRPr="00930F7B" w:rsidR="00930F7B">
        <w:rPr>
          <w:szCs w:val="22"/>
        </w:rPr>
        <w:t xml:space="preserve">47 CFR §§ 1.415, 1.419, </w:t>
      </w:r>
      <w:r w:rsidRPr="00A45FF2">
        <w:rPr>
          <w:szCs w:val="22"/>
        </w:rPr>
        <w:t xml:space="preserve">interested parties may file comments and reply comments on or before the dates indicated above, in PS Docket No. </w:t>
      </w:r>
      <w:r w:rsidR="00AD4745">
        <w:rPr>
          <w:szCs w:val="22"/>
        </w:rPr>
        <w:t>19-255</w:t>
      </w:r>
      <w:r w:rsidRPr="00A45FF2">
        <w:rPr>
          <w:szCs w:val="22"/>
        </w:rPr>
        <w:t>.  Comments ma</w:t>
      </w:r>
      <w:bookmarkStart w:id="5" w:name="_GoBack"/>
      <w:bookmarkEnd w:id="5"/>
      <w:r w:rsidRPr="00A45FF2">
        <w:rPr>
          <w:szCs w:val="22"/>
        </w:rPr>
        <w:t>y be filed using the Commission’s Electronic Comment Filing System (ECFS).</w:t>
      </w:r>
      <w:r w:rsidR="00930F7B">
        <w:rPr>
          <w:szCs w:val="22"/>
        </w:rPr>
        <w:t xml:space="preserve"> </w:t>
      </w:r>
      <w:r w:rsidRPr="00AF0BD5" w:rsidR="00930F7B">
        <w:rPr>
          <w:i/>
          <w:szCs w:val="22"/>
        </w:rPr>
        <w:t>See Electronic Filing of Documents in Rulemaking Proceedings</w:t>
      </w:r>
      <w:r w:rsidRPr="00930F7B" w:rsidR="00930F7B">
        <w:rPr>
          <w:szCs w:val="22"/>
        </w:rPr>
        <w:t>, 63 FR 24121 (1998).</w:t>
      </w:r>
    </w:p>
    <w:p w:rsidR="006F3B59" w:rsidRPr="00A45FF2" w:rsidP="008F7EFB" w14:paraId="07AE1130" w14:textId="77777777">
      <w:pPr>
        <w:widowControl/>
        <w:contextualSpacing/>
        <w:rPr>
          <w:szCs w:val="22"/>
        </w:rPr>
      </w:pPr>
    </w:p>
    <w:p w:rsidR="006F3B59" w:rsidRPr="00A45FF2" w:rsidP="008F7EFB" w14:paraId="3BD62000" w14:textId="77777777">
      <w:pPr>
        <w:widowControl/>
        <w:numPr>
          <w:ilvl w:val="0"/>
          <w:numId w:val="9"/>
        </w:numPr>
        <w:contextualSpacing/>
        <w:rPr>
          <w:szCs w:val="22"/>
        </w:rPr>
      </w:pPr>
      <w:r w:rsidRPr="00A45FF2">
        <w:rPr>
          <w:szCs w:val="22"/>
        </w:rPr>
        <w:t xml:space="preserve">Electronic Filers:  Petitions may be filed electronically using the Internet by accessing the ECFS:  </w:t>
      </w:r>
      <w:hyperlink r:id="rId5" w:history="1">
        <w:r w:rsidRPr="00A45FF2">
          <w:rPr>
            <w:rStyle w:val="Hyperlink"/>
            <w:szCs w:val="22"/>
          </w:rPr>
          <w:t>http://www.fcc.gov/ecfs/</w:t>
        </w:r>
      </w:hyperlink>
      <w:r w:rsidRPr="00A45FF2">
        <w:rPr>
          <w:szCs w:val="22"/>
        </w:rPr>
        <w:t xml:space="preserve">.  </w:t>
      </w:r>
    </w:p>
    <w:p w:rsidR="006F3B59" w:rsidRPr="00A45FF2" w:rsidP="008F7EFB" w14:paraId="2096775E" w14:textId="77777777">
      <w:pPr>
        <w:widowControl/>
        <w:contextualSpacing/>
        <w:rPr>
          <w:szCs w:val="22"/>
        </w:rPr>
      </w:pPr>
    </w:p>
    <w:p w:rsidR="006F3B59" w:rsidRPr="00A45FF2" w:rsidP="008F7EFB" w14:paraId="476E230C" w14:textId="77777777">
      <w:pPr>
        <w:widowControl/>
        <w:numPr>
          <w:ilvl w:val="0"/>
          <w:numId w:val="7"/>
        </w:numPr>
        <w:contextualSpacing/>
        <w:rPr>
          <w:szCs w:val="22"/>
        </w:rPr>
      </w:pPr>
      <w:r w:rsidRPr="00A45FF2">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6F3B59" w:rsidRPr="00A45FF2" w:rsidP="008F7EFB" w14:paraId="67434B4A" w14:textId="77777777">
      <w:pPr>
        <w:widowControl/>
        <w:contextualSpacing/>
        <w:rPr>
          <w:szCs w:val="22"/>
        </w:rPr>
      </w:pPr>
    </w:p>
    <w:p w:rsidR="006F3B59" w:rsidRPr="00A45FF2" w:rsidP="008F7EFB" w14:paraId="1BAC3E1C" w14:textId="77777777">
      <w:pPr>
        <w:widowControl/>
        <w:ind w:left="720"/>
        <w:contextualSpacing/>
        <w:rPr>
          <w:szCs w:val="22"/>
        </w:rPr>
      </w:pPr>
      <w:r w:rsidRPr="00A45FF2">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6F3B59" w:rsidRPr="00A45FF2" w:rsidP="008F7EFB" w14:paraId="39D7850D" w14:textId="77777777">
      <w:pPr>
        <w:widowControl/>
        <w:contextualSpacing/>
        <w:rPr>
          <w:szCs w:val="22"/>
        </w:rPr>
      </w:pPr>
    </w:p>
    <w:p w:rsidR="006F3B59" w:rsidRPr="00A45FF2" w:rsidP="008F7EFB" w14:paraId="1C180523" w14:textId="77777777">
      <w:pPr>
        <w:widowControl/>
        <w:numPr>
          <w:ilvl w:val="0"/>
          <w:numId w:val="8"/>
        </w:numPr>
        <w:contextualSpacing/>
        <w:rPr>
          <w:szCs w:val="22"/>
        </w:rPr>
      </w:pPr>
      <w:r w:rsidRPr="00A45FF2">
        <w:rPr>
          <w:szCs w:val="22"/>
        </w:rPr>
        <w:t>All hand-delivered or messenger-delivered paper filings for the Commission’s Secretary must be delivered to FCC Headquarters at 445 12</w:t>
      </w:r>
      <w:r w:rsidRPr="00A45FF2">
        <w:rPr>
          <w:szCs w:val="22"/>
          <w:vertAlign w:val="superscript"/>
        </w:rPr>
        <w:t>th</w:t>
      </w:r>
      <w:r w:rsidRPr="00A45FF2">
        <w:rPr>
          <w:szCs w:val="22"/>
        </w:rPr>
        <w:t xml:space="preserve"> St., SW, Room TW-A325, Washington, DC 20554.  The filing hours are 8:00 a.m. to 7:00 p.m.   All hand deliveries must be held together with rubber bands or fasteners.  Any envelopes and boxes must be disposed of </w:t>
      </w:r>
      <w:r w:rsidRPr="00A45FF2">
        <w:rPr>
          <w:szCs w:val="22"/>
          <w:u w:val="single"/>
        </w:rPr>
        <w:t>before</w:t>
      </w:r>
      <w:r w:rsidRPr="00A45FF2">
        <w:rPr>
          <w:szCs w:val="22"/>
        </w:rPr>
        <w:t xml:space="preserve"> entering the building.  </w:t>
      </w:r>
    </w:p>
    <w:p w:rsidR="006F3B59" w:rsidRPr="00A45FF2" w:rsidP="008F7EFB" w14:paraId="6089D925" w14:textId="77777777">
      <w:pPr>
        <w:widowControl/>
        <w:ind w:left="1080"/>
        <w:contextualSpacing/>
        <w:rPr>
          <w:szCs w:val="22"/>
        </w:rPr>
      </w:pPr>
    </w:p>
    <w:p w:rsidR="006F3B59" w:rsidRPr="00A45FF2" w:rsidP="008F7EFB" w14:paraId="235C3A95" w14:textId="6AEB21FC">
      <w:pPr>
        <w:widowControl/>
        <w:numPr>
          <w:ilvl w:val="0"/>
          <w:numId w:val="8"/>
        </w:numPr>
        <w:contextualSpacing/>
        <w:rPr>
          <w:szCs w:val="22"/>
        </w:rPr>
      </w:pPr>
      <w:r w:rsidRPr="00A45FF2">
        <w:rPr>
          <w:szCs w:val="22"/>
        </w:rPr>
        <w:t xml:space="preserve">Commercial overnight mail (other than U.S. Postal Service Express Mail and Priority Mail) must be sent to </w:t>
      </w:r>
      <w:r w:rsidRPr="00A45FF2" w:rsidR="00650D01">
        <w:rPr>
          <w:szCs w:val="22"/>
        </w:rPr>
        <w:t>9050 Junction Drive, Annapolis Junction, MD 20701.</w:t>
      </w:r>
    </w:p>
    <w:p w:rsidR="006F3B59" w:rsidRPr="00A45FF2" w:rsidP="008F7EFB" w14:paraId="24402D50" w14:textId="77777777">
      <w:pPr>
        <w:widowControl/>
        <w:contextualSpacing/>
        <w:rPr>
          <w:szCs w:val="22"/>
        </w:rPr>
      </w:pPr>
    </w:p>
    <w:p w:rsidR="006F3B59" w:rsidRPr="00A45FF2" w:rsidP="008F7EFB" w14:paraId="4D171EF8" w14:textId="77777777">
      <w:pPr>
        <w:widowControl/>
        <w:numPr>
          <w:ilvl w:val="0"/>
          <w:numId w:val="8"/>
        </w:numPr>
        <w:contextualSpacing/>
        <w:rPr>
          <w:szCs w:val="22"/>
        </w:rPr>
      </w:pPr>
      <w:r w:rsidRPr="00A45FF2">
        <w:rPr>
          <w:szCs w:val="22"/>
        </w:rPr>
        <w:t>U.S. Postal Service first-class, Express, and Priority mail must be addressed to 445 12</w:t>
      </w:r>
      <w:r w:rsidRPr="00A45FF2">
        <w:rPr>
          <w:szCs w:val="22"/>
          <w:vertAlign w:val="superscript"/>
        </w:rPr>
        <w:t>th</w:t>
      </w:r>
      <w:r w:rsidRPr="00A45FF2">
        <w:rPr>
          <w:szCs w:val="22"/>
        </w:rPr>
        <w:t xml:space="preserve"> Street, SW, Washington DC  20554.</w:t>
      </w:r>
    </w:p>
    <w:p w:rsidR="006F3B59" w:rsidRPr="00A45FF2" w:rsidP="008F7EFB" w14:paraId="0B0BDFD2" w14:textId="77777777">
      <w:pPr>
        <w:widowControl/>
        <w:contextualSpacing/>
        <w:rPr>
          <w:szCs w:val="22"/>
        </w:rPr>
      </w:pPr>
    </w:p>
    <w:p w:rsidR="006F3B59" w:rsidRPr="00A45FF2" w:rsidP="008F7EFB" w14:paraId="619638F4" w14:textId="77777777">
      <w:pPr>
        <w:widowControl/>
        <w:contextualSpacing/>
        <w:rPr>
          <w:szCs w:val="22"/>
        </w:rPr>
      </w:pPr>
      <w:r w:rsidRPr="00A45FF2">
        <w:rPr>
          <w:szCs w:val="22"/>
        </w:rPr>
        <w:t xml:space="preserve">People with Disabilities:  To request materials in accessible formats for people with disabilities (braille, large print, electronic files, audio format), send an e-mail to </w:t>
      </w:r>
      <w:hyperlink r:id="rId6" w:history="1">
        <w:r w:rsidRPr="00A45FF2">
          <w:rPr>
            <w:color w:val="0000FF"/>
            <w:szCs w:val="22"/>
            <w:u w:val="single"/>
          </w:rPr>
          <w:t>fcc504@fcc.gov</w:t>
        </w:r>
      </w:hyperlink>
      <w:r w:rsidRPr="00A45FF2">
        <w:rPr>
          <w:szCs w:val="22"/>
        </w:rPr>
        <w:t xml:space="preserve"> or call the Consumer &amp; Governmental Affairs Bureau at 202-418-0530 (voice), 202-418-0432 (TTY).</w:t>
      </w:r>
    </w:p>
    <w:p w:rsidR="006F3B59" w:rsidRPr="00A45FF2" w:rsidP="008F7EFB" w14:paraId="5B13D549" w14:textId="77777777">
      <w:pPr>
        <w:widowControl/>
        <w:contextualSpacing/>
        <w:rPr>
          <w:szCs w:val="22"/>
        </w:rPr>
      </w:pPr>
    </w:p>
    <w:p w:rsidR="006F3B59" w:rsidRPr="00A45FF2" w:rsidP="008F7EFB" w14:paraId="22EA39E6" w14:textId="77777777">
      <w:pPr>
        <w:widowControl/>
        <w:contextualSpacing/>
        <w:rPr>
          <w:szCs w:val="22"/>
        </w:rPr>
      </w:pPr>
      <w:r w:rsidRPr="00A45FF2">
        <w:rPr>
          <w:i/>
          <w:iCs/>
          <w:snapToGrid/>
          <w:kern w:val="0"/>
          <w:szCs w:val="22"/>
        </w:rPr>
        <w:tab/>
        <w:t>Ex Parte Rules</w:t>
      </w:r>
      <w:r w:rsidRPr="00A45FF2">
        <w:rPr>
          <w:snapToGrid/>
          <w:kern w:val="0"/>
          <w:szCs w:val="22"/>
        </w:rPr>
        <w:t xml:space="preserve">.  This proceeding shall be treated as a “permit-but-disclose” proceeding in accordance with the Commission’s </w:t>
      </w:r>
      <w:r w:rsidRPr="00A45FF2">
        <w:rPr>
          <w:i/>
          <w:iCs/>
          <w:snapToGrid/>
          <w:kern w:val="0"/>
          <w:szCs w:val="22"/>
        </w:rPr>
        <w:t xml:space="preserve">ex parte </w:t>
      </w:r>
      <w:r w:rsidRPr="00A45FF2">
        <w:rPr>
          <w:snapToGrid/>
          <w:kern w:val="0"/>
          <w:szCs w:val="22"/>
        </w:rPr>
        <w:t>rules.</w:t>
      </w:r>
      <w:r>
        <w:rPr>
          <w:snapToGrid/>
          <w:kern w:val="0"/>
          <w:szCs w:val="22"/>
          <w:vertAlign w:val="superscript"/>
        </w:rPr>
        <w:footnoteReference w:id="9"/>
      </w:r>
      <w:r w:rsidRPr="00A45FF2">
        <w:rPr>
          <w:snapToGrid/>
          <w:kern w:val="0"/>
          <w:szCs w:val="22"/>
        </w:rPr>
        <w:t xml:space="preserve">  Persons making </w:t>
      </w:r>
      <w:r w:rsidRPr="00A45FF2">
        <w:rPr>
          <w:i/>
          <w:iCs/>
          <w:snapToGrid/>
          <w:kern w:val="0"/>
          <w:szCs w:val="22"/>
        </w:rPr>
        <w:t xml:space="preserve">ex parte </w:t>
      </w:r>
      <w:r w:rsidRPr="00A45FF2">
        <w:rPr>
          <w:snapToGrid/>
          <w:kern w:val="0"/>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A45FF2">
        <w:rPr>
          <w:i/>
          <w:iCs/>
          <w:snapToGrid/>
          <w:kern w:val="0"/>
          <w:szCs w:val="22"/>
        </w:rPr>
        <w:t xml:space="preserve">ex parte </w:t>
      </w:r>
      <w:r w:rsidRPr="00A45FF2">
        <w:rPr>
          <w:snapToGrid/>
          <w:kern w:val="0"/>
          <w:szCs w:val="22"/>
        </w:rPr>
        <w:t xml:space="preserve">presentations are reminded that memoranda summarizing the presentation must: (1) list all persons attending or otherwise participating in the meeting at which the </w:t>
      </w:r>
      <w:r w:rsidRPr="00A45FF2">
        <w:rPr>
          <w:i/>
          <w:iCs/>
          <w:snapToGrid/>
          <w:kern w:val="0"/>
          <w:szCs w:val="22"/>
        </w:rPr>
        <w:t xml:space="preserve">ex parte </w:t>
      </w:r>
      <w:r w:rsidRPr="00A45FF2">
        <w:rPr>
          <w:snapToGrid/>
          <w:kern w:val="0"/>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45FF2">
        <w:rPr>
          <w:i/>
          <w:iCs/>
          <w:snapToGrid/>
          <w:kern w:val="0"/>
          <w:szCs w:val="22"/>
        </w:rPr>
        <w:t xml:space="preserve">ex parte </w:t>
      </w:r>
      <w:r w:rsidRPr="00A45FF2">
        <w:rPr>
          <w:snapToGrid/>
          <w:kern w:val="0"/>
          <w:szCs w:val="22"/>
        </w:rPr>
        <w:t xml:space="preserve">meetings are deemed to be written </w:t>
      </w:r>
      <w:r w:rsidRPr="00A45FF2">
        <w:rPr>
          <w:i/>
          <w:iCs/>
          <w:snapToGrid/>
          <w:kern w:val="0"/>
          <w:szCs w:val="22"/>
        </w:rPr>
        <w:t xml:space="preserve">ex parte </w:t>
      </w:r>
      <w:r w:rsidRPr="00A45FF2">
        <w:rPr>
          <w:snapToGrid/>
          <w:kern w:val="0"/>
          <w:szCs w:val="22"/>
        </w:rPr>
        <w:t>presentations and must be filed consistent with section 1.1206(b) of the Commission’s rules.</w:t>
      </w:r>
      <w:r>
        <w:rPr>
          <w:snapToGrid/>
          <w:kern w:val="0"/>
          <w:szCs w:val="22"/>
          <w:vertAlign w:val="superscript"/>
        </w:rPr>
        <w:footnoteReference w:id="10"/>
      </w:r>
      <w:r w:rsidRPr="00A45FF2">
        <w:rPr>
          <w:snapToGrid/>
          <w:kern w:val="0"/>
          <w:szCs w:val="22"/>
        </w:rPr>
        <w:t xml:space="preserve">  In proceedings governed by section 1.49(f) of the rules or for which the Commission has made available a method of electronic filing, written </w:t>
      </w:r>
      <w:r w:rsidRPr="00A45FF2">
        <w:rPr>
          <w:i/>
          <w:iCs/>
          <w:snapToGrid/>
          <w:kern w:val="0"/>
          <w:szCs w:val="22"/>
        </w:rPr>
        <w:t xml:space="preserve">ex parte </w:t>
      </w:r>
      <w:r w:rsidRPr="00A45FF2">
        <w:rPr>
          <w:snapToGrid/>
          <w:kern w:val="0"/>
          <w:szCs w:val="22"/>
        </w:rPr>
        <w:t xml:space="preserve">presentations and memoranda summarizing oral </w:t>
      </w:r>
      <w:r w:rsidRPr="00A45FF2">
        <w:rPr>
          <w:i/>
          <w:iCs/>
          <w:snapToGrid/>
          <w:kern w:val="0"/>
          <w:szCs w:val="22"/>
        </w:rPr>
        <w:t xml:space="preserve">ex parte </w:t>
      </w:r>
      <w:r w:rsidRPr="00A45FF2">
        <w:rPr>
          <w:snapToGrid/>
          <w:kern w:val="0"/>
          <w:szCs w:val="22"/>
        </w:rPr>
        <w:t>presentations, and all attachments thereto, must be filed through the electronic comment filing system available for that proceeding, and must be filed in their native format (</w:t>
      </w:r>
      <w:r w:rsidRPr="00A45FF2">
        <w:rPr>
          <w:i/>
          <w:iCs/>
          <w:snapToGrid/>
          <w:kern w:val="0"/>
          <w:szCs w:val="22"/>
        </w:rPr>
        <w:t>e.g.</w:t>
      </w:r>
      <w:r w:rsidRPr="00A45FF2">
        <w:rPr>
          <w:snapToGrid/>
          <w:kern w:val="0"/>
          <w:szCs w:val="22"/>
        </w:rPr>
        <w:t>, .doc, .xml, .ppt, searchable .pdf).</w:t>
      </w:r>
      <w:r>
        <w:rPr>
          <w:snapToGrid/>
          <w:kern w:val="0"/>
          <w:szCs w:val="22"/>
          <w:vertAlign w:val="superscript"/>
        </w:rPr>
        <w:footnoteReference w:id="11"/>
      </w:r>
      <w:r w:rsidRPr="00A45FF2">
        <w:rPr>
          <w:snapToGrid/>
          <w:kern w:val="0"/>
          <w:szCs w:val="22"/>
        </w:rPr>
        <w:t xml:space="preserve">  Participants in this proceeding should familiarize themselves with the Commission’s </w:t>
      </w:r>
      <w:r w:rsidRPr="00A45FF2">
        <w:rPr>
          <w:i/>
          <w:iCs/>
          <w:snapToGrid/>
          <w:kern w:val="0"/>
          <w:szCs w:val="22"/>
        </w:rPr>
        <w:t xml:space="preserve">ex parte </w:t>
      </w:r>
      <w:r w:rsidRPr="00A45FF2">
        <w:rPr>
          <w:snapToGrid/>
          <w:kern w:val="0"/>
          <w:szCs w:val="22"/>
        </w:rPr>
        <w:t>rules.</w:t>
      </w:r>
    </w:p>
    <w:p w:rsidR="006F3B59" w:rsidRPr="00A45FF2" w:rsidP="008F7EFB" w14:paraId="0EBBE102" w14:textId="77777777">
      <w:pPr>
        <w:widowControl/>
        <w:contextualSpacing/>
        <w:rPr>
          <w:szCs w:val="22"/>
        </w:rPr>
      </w:pPr>
    </w:p>
    <w:p w:rsidR="006F3B59" w:rsidRPr="00A45FF2" w:rsidP="008F7EFB" w14:paraId="58B3C2E5" w14:textId="13447737">
      <w:pPr>
        <w:widowControl/>
        <w:contextualSpacing/>
        <w:rPr>
          <w:szCs w:val="22"/>
        </w:rPr>
      </w:pPr>
      <w:r w:rsidRPr="00A45FF2">
        <w:rPr>
          <w:i/>
          <w:szCs w:val="22"/>
        </w:rPr>
        <w:tab/>
        <w:t>Additional Information</w:t>
      </w:r>
      <w:r w:rsidRPr="00A45FF2">
        <w:rPr>
          <w:szCs w:val="22"/>
        </w:rPr>
        <w:t>.  For further information, please contact Alex Espinoza, Attorney Advisor, Policy and Licensing Division, Public Safety and Homeland Security Bureau at (202) 418-0849 or alex.espinoza@fcc.gov.</w:t>
      </w:r>
    </w:p>
    <w:p w:rsidR="006F3B59" w:rsidRPr="00A45FF2" w:rsidP="008F7EFB" w14:paraId="0348BBBD" w14:textId="77777777">
      <w:pPr>
        <w:widowControl/>
        <w:rPr>
          <w:szCs w:val="22"/>
        </w:rPr>
      </w:pPr>
    </w:p>
    <w:p w:rsidR="006F3B59" w:rsidRPr="00A45FF2" w:rsidP="008F7EFB" w14:paraId="1856EE65" w14:textId="77777777">
      <w:pPr>
        <w:widowControl/>
        <w:rPr>
          <w:szCs w:val="22"/>
        </w:rPr>
      </w:pPr>
    </w:p>
    <w:bookmarkEnd w:id="0"/>
    <w:bookmarkEnd w:id="1"/>
    <w:p w:rsidR="002478B7" w:rsidRPr="00A45FF2" w:rsidP="008F7EFB" w14:paraId="787DB6C8" w14:textId="00A14EB3">
      <w:pPr>
        <w:widowControl/>
        <w:jc w:val="center"/>
        <w:rPr>
          <w:b/>
          <w:szCs w:val="22"/>
        </w:rPr>
      </w:pPr>
      <w:r w:rsidRPr="00A45FF2">
        <w:rPr>
          <w:szCs w:val="22"/>
        </w:rPr>
        <w:br w:type="page"/>
      </w:r>
      <w:r w:rsidRPr="00A45FF2">
        <w:rPr>
          <w:b/>
          <w:szCs w:val="22"/>
        </w:rPr>
        <w:t xml:space="preserve">Appendix </w:t>
      </w:r>
      <w:r w:rsidRPr="00A45FF2" w:rsidR="00BB78BA">
        <w:rPr>
          <w:b/>
          <w:szCs w:val="22"/>
        </w:rPr>
        <w:t>A</w:t>
      </w:r>
    </w:p>
    <w:p w:rsidR="002478B7" w:rsidRPr="00A45FF2" w:rsidP="008F7EFB" w14:paraId="09DA0029" w14:textId="77777777">
      <w:pPr>
        <w:widowControl/>
        <w:jc w:val="center"/>
        <w:rPr>
          <w:b/>
          <w:szCs w:val="22"/>
        </w:rPr>
      </w:pPr>
    </w:p>
    <w:p w:rsidR="002478B7" w:rsidRPr="00A45FF2" w:rsidP="008F7EFB" w14:paraId="69BD96BC" w14:textId="225A55AE">
      <w:pPr>
        <w:widowControl/>
        <w:jc w:val="center"/>
        <w:rPr>
          <w:b/>
          <w:szCs w:val="22"/>
        </w:rPr>
      </w:pPr>
      <w:r w:rsidRPr="00A45FF2">
        <w:rPr>
          <w:b/>
          <w:szCs w:val="22"/>
        </w:rPr>
        <w:t>Commonwealth of Pennsylvania and FirstEnergy Corp. Callsigns</w:t>
      </w:r>
    </w:p>
    <w:p w:rsidR="002478B7" w:rsidRPr="00A45FF2" w:rsidP="008F7EFB" w14:paraId="7AE24C2A" w14:textId="77777777">
      <w:pPr>
        <w:widowControl/>
        <w:jc w:val="center"/>
        <w:rPr>
          <w:szCs w:val="22"/>
        </w:rPr>
      </w:pPr>
    </w:p>
    <w:p w:rsidR="00DD7C61" w:rsidRPr="00A45FF2" w:rsidP="008F7EFB" w14:paraId="61D0E2C8" w14:textId="69A825D6">
      <w:pPr>
        <w:widowControl/>
        <w:rPr>
          <w:szCs w:val="22"/>
        </w:rPr>
      </w:pPr>
      <w:r w:rsidRPr="00A45FF2">
        <w:rPr>
          <w:szCs w:val="22"/>
        </w:rPr>
        <w:tab/>
        <w:t>List of call</w:t>
      </w:r>
      <w:r w:rsidR="001D1E20">
        <w:rPr>
          <w:szCs w:val="22"/>
        </w:rPr>
        <w:t xml:space="preserve"> </w:t>
      </w:r>
      <w:r w:rsidRPr="00A45FF2">
        <w:rPr>
          <w:szCs w:val="22"/>
        </w:rPr>
        <w:t xml:space="preserve">signs each Petitioner presently contributes to the shared system and proposes to contribute to the shared system: </w:t>
      </w:r>
    </w:p>
    <w:p w:rsidR="002478B7" w:rsidRPr="00A45FF2" w:rsidP="008F7EFB" w14:paraId="62508E0C" w14:textId="77777777">
      <w:pPr>
        <w:widowControl/>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7"/>
        <w:gridCol w:w="2557"/>
        <w:gridCol w:w="1929"/>
        <w:gridCol w:w="1929"/>
      </w:tblGrid>
      <w:tr w14:paraId="77BEC66D" w14:textId="77777777" w:rsidTr="008E5CB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8972" w:type="dxa"/>
            <w:gridSpan w:val="4"/>
            <w:shd w:val="clear" w:color="auto" w:fill="auto"/>
          </w:tcPr>
          <w:p w:rsidR="008E5CBE" w:rsidRPr="006578BD" w:rsidP="008F7EFB" w14:paraId="40723096" w14:textId="77777777">
            <w:pPr>
              <w:widowControl/>
              <w:jc w:val="center"/>
              <w:rPr>
                <w:szCs w:val="22"/>
              </w:rPr>
            </w:pPr>
            <w:r w:rsidRPr="006578BD">
              <w:rPr>
                <w:szCs w:val="22"/>
              </w:rPr>
              <w:t>Commonwealth of Pennsylvania</w:t>
            </w:r>
          </w:p>
        </w:tc>
      </w:tr>
      <w:tr w14:paraId="37FA7F60" w14:textId="77777777" w:rsidTr="008E5CBE">
        <w:tblPrEx>
          <w:tblW w:w="0" w:type="auto"/>
          <w:jc w:val="center"/>
          <w:tblLook w:val="01E0"/>
        </w:tblPrEx>
        <w:trPr>
          <w:jc w:val="center"/>
        </w:trPr>
        <w:tc>
          <w:tcPr>
            <w:tcW w:w="2557" w:type="dxa"/>
            <w:shd w:val="clear" w:color="auto" w:fill="auto"/>
          </w:tcPr>
          <w:p w:rsidR="008E5CBE" w:rsidRPr="006578BD" w:rsidP="008F7EFB" w14:paraId="6CCF3EED" w14:textId="77777777">
            <w:pPr>
              <w:widowControl/>
              <w:rPr>
                <w:szCs w:val="22"/>
              </w:rPr>
            </w:pPr>
            <w:r w:rsidRPr="006578BD">
              <w:rPr>
                <w:rFonts w:eastAsiaTheme="minorHAnsi"/>
                <w:bCs/>
                <w:snapToGrid/>
                <w:kern w:val="0"/>
                <w:szCs w:val="22"/>
              </w:rPr>
              <w:t>WQUZ231</w:t>
            </w:r>
          </w:p>
        </w:tc>
        <w:tc>
          <w:tcPr>
            <w:tcW w:w="2557" w:type="dxa"/>
            <w:shd w:val="clear" w:color="auto" w:fill="auto"/>
          </w:tcPr>
          <w:p w:rsidR="008E5CBE" w:rsidRPr="006578BD" w:rsidP="008F7EFB" w14:paraId="65AE09B3" w14:textId="77777777">
            <w:pPr>
              <w:widowControl/>
              <w:rPr>
                <w:szCs w:val="22"/>
              </w:rPr>
            </w:pPr>
            <w:r w:rsidRPr="006578BD">
              <w:rPr>
                <w:rFonts w:eastAsiaTheme="minorHAnsi"/>
                <w:bCs/>
                <w:snapToGrid/>
                <w:kern w:val="0"/>
                <w:szCs w:val="22"/>
              </w:rPr>
              <w:t>WQVG226</w:t>
            </w:r>
          </w:p>
        </w:tc>
        <w:tc>
          <w:tcPr>
            <w:tcW w:w="1929" w:type="dxa"/>
          </w:tcPr>
          <w:p w:rsidR="008E5CBE" w:rsidRPr="006578BD" w:rsidP="008F7EFB" w14:paraId="60B6FEC1" w14:textId="77777777">
            <w:pPr>
              <w:widowControl/>
              <w:rPr>
                <w:bCs/>
                <w:snapToGrid/>
                <w:kern w:val="0"/>
                <w:szCs w:val="22"/>
              </w:rPr>
            </w:pPr>
            <w:r w:rsidRPr="006578BD">
              <w:rPr>
                <w:rFonts w:eastAsiaTheme="minorHAnsi"/>
                <w:bCs/>
                <w:snapToGrid/>
                <w:kern w:val="0"/>
                <w:szCs w:val="22"/>
              </w:rPr>
              <w:t>WQVR895</w:t>
            </w:r>
          </w:p>
        </w:tc>
        <w:tc>
          <w:tcPr>
            <w:tcW w:w="1929" w:type="dxa"/>
          </w:tcPr>
          <w:p w:rsidR="008E5CBE" w:rsidRPr="006578BD" w:rsidP="008F7EFB" w14:paraId="67580D13" w14:textId="77777777">
            <w:pPr>
              <w:widowControl/>
              <w:rPr>
                <w:bCs/>
                <w:snapToGrid/>
                <w:kern w:val="0"/>
                <w:szCs w:val="22"/>
              </w:rPr>
            </w:pPr>
            <w:r w:rsidRPr="006578BD">
              <w:rPr>
                <w:rFonts w:eastAsiaTheme="minorHAnsi"/>
                <w:bCs/>
                <w:snapToGrid/>
                <w:kern w:val="0"/>
                <w:szCs w:val="22"/>
              </w:rPr>
              <w:t>WQVB974</w:t>
            </w:r>
          </w:p>
        </w:tc>
      </w:tr>
      <w:tr w14:paraId="291DB564" w14:textId="77777777" w:rsidTr="008E5CBE">
        <w:tblPrEx>
          <w:tblW w:w="0" w:type="auto"/>
          <w:jc w:val="center"/>
          <w:tblLook w:val="01E0"/>
        </w:tblPrEx>
        <w:trPr>
          <w:jc w:val="center"/>
        </w:trPr>
        <w:tc>
          <w:tcPr>
            <w:tcW w:w="2557" w:type="dxa"/>
            <w:shd w:val="clear" w:color="auto" w:fill="auto"/>
          </w:tcPr>
          <w:p w:rsidR="008E5CBE" w:rsidRPr="006578BD" w:rsidP="008F7EFB" w14:paraId="1FF547D0" w14:textId="77777777">
            <w:pPr>
              <w:widowControl/>
              <w:rPr>
                <w:szCs w:val="22"/>
              </w:rPr>
            </w:pPr>
            <w:r w:rsidRPr="006578BD">
              <w:rPr>
                <w:rFonts w:eastAsiaTheme="minorHAnsi"/>
                <w:bCs/>
                <w:snapToGrid/>
                <w:kern w:val="0"/>
                <w:szCs w:val="22"/>
              </w:rPr>
              <w:t>WQVL664</w:t>
            </w:r>
          </w:p>
        </w:tc>
        <w:tc>
          <w:tcPr>
            <w:tcW w:w="2557" w:type="dxa"/>
            <w:shd w:val="clear" w:color="auto" w:fill="auto"/>
          </w:tcPr>
          <w:p w:rsidR="008E5CBE" w:rsidRPr="006578BD" w:rsidP="008F7EFB" w14:paraId="1FD0CA69" w14:textId="77777777">
            <w:pPr>
              <w:widowControl/>
              <w:rPr>
                <w:szCs w:val="22"/>
              </w:rPr>
            </w:pPr>
            <w:r w:rsidRPr="006578BD">
              <w:rPr>
                <w:rFonts w:eastAsiaTheme="minorHAnsi"/>
                <w:bCs/>
                <w:snapToGrid/>
                <w:kern w:val="0"/>
                <w:szCs w:val="22"/>
              </w:rPr>
              <w:t>WQUV758</w:t>
            </w:r>
          </w:p>
        </w:tc>
        <w:tc>
          <w:tcPr>
            <w:tcW w:w="1929" w:type="dxa"/>
          </w:tcPr>
          <w:p w:rsidR="008E5CBE" w:rsidRPr="006578BD" w:rsidP="008F7EFB" w14:paraId="27F1DB70" w14:textId="77777777">
            <w:pPr>
              <w:widowControl/>
              <w:rPr>
                <w:bCs/>
                <w:snapToGrid/>
                <w:kern w:val="0"/>
                <w:szCs w:val="22"/>
              </w:rPr>
            </w:pPr>
            <w:r w:rsidRPr="006578BD">
              <w:rPr>
                <w:rFonts w:eastAsiaTheme="minorHAnsi"/>
                <w:bCs/>
                <w:snapToGrid/>
                <w:kern w:val="0"/>
                <w:szCs w:val="22"/>
              </w:rPr>
              <w:t>WQLN571</w:t>
            </w:r>
          </w:p>
        </w:tc>
        <w:tc>
          <w:tcPr>
            <w:tcW w:w="1929" w:type="dxa"/>
          </w:tcPr>
          <w:p w:rsidR="008E5CBE" w:rsidRPr="006578BD" w:rsidP="008F7EFB" w14:paraId="047C217F" w14:textId="77777777">
            <w:pPr>
              <w:widowControl/>
              <w:rPr>
                <w:bCs/>
                <w:snapToGrid/>
                <w:kern w:val="0"/>
                <w:szCs w:val="22"/>
              </w:rPr>
            </w:pPr>
            <w:r w:rsidRPr="006578BD">
              <w:rPr>
                <w:rFonts w:eastAsiaTheme="minorHAnsi"/>
                <w:bCs/>
                <w:snapToGrid/>
                <w:kern w:val="0"/>
                <w:szCs w:val="22"/>
              </w:rPr>
              <w:t>WQUG532</w:t>
            </w:r>
          </w:p>
        </w:tc>
      </w:tr>
      <w:tr w14:paraId="4C88C128" w14:textId="77777777" w:rsidTr="008E5CBE">
        <w:tblPrEx>
          <w:tblW w:w="0" w:type="auto"/>
          <w:jc w:val="center"/>
          <w:tblLook w:val="01E0"/>
        </w:tblPrEx>
        <w:trPr>
          <w:jc w:val="center"/>
        </w:trPr>
        <w:tc>
          <w:tcPr>
            <w:tcW w:w="2557" w:type="dxa"/>
            <w:shd w:val="clear" w:color="auto" w:fill="auto"/>
          </w:tcPr>
          <w:p w:rsidR="008E5CBE" w:rsidRPr="006578BD" w:rsidP="008F7EFB" w14:paraId="73C49644" w14:textId="77777777">
            <w:pPr>
              <w:widowControl/>
              <w:rPr>
                <w:szCs w:val="22"/>
              </w:rPr>
            </w:pPr>
            <w:r w:rsidRPr="006578BD">
              <w:rPr>
                <w:rFonts w:eastAsiaTheme="minorHAnsi"/>
                <w:bCs/>
                <w:snapToGrid/>
                <w:kern w:val="0"/>
                <w:szCs w:val="22"/>
              </w:rPr>
              <w:t>WQUX679</w:t>
            </w:r>
          </w:p>
        </w:tc>
        <w:tc>
          <w:tcPr>
            <w:tcW w:w="2557" w:type="dxa"/>
            <w:shd w:val="clear" w:color="auto" w:fill="auto"/>
          </w:tcPr>
          <w:p w:rsidR="008E5CBE" w:rsidRPr="006578BD" w:rsidP="008F7EFB" w14:paraId="57C59FD8" w14:textId="77777777">
            <w:pPr>
              <w:widowControl/>
              <w:rPr>
                <w:szCs w:val="22"/>
              </w:rPr>
            </w:pPr>
            <w:r w:rsidRPr="006578BD">
              <w:rPr>
                <w:rFonts w:eastAsiaTheme="minorHAnsi"/>
                <w:bCs/>
                <w:snapToGrid/>
                <w:kern w:val="0"/>
                <w:szCs w:val="22"/>
              </w:rPr>
              <w:t>WQUY467</w:t>
            </w:r>
          </w:p>
        </w:tc>
        <w:tc>
          <w:tcPr>
            <w:tcW w:w="1929" w:type="dxa"/>
          </w:tcPr>
          <w:p w:rsidR="008E5CBE" w:rsidRPr="006578BD" w:rsidP="008F7EFB" w14:paraId="53920619" w14:textId="77777777">
            <w:pPr>
              <w:widowControl/>
              <w:rPr>
                <w:bCs/>
                <w:snapToGrid/>
                <w:kern w:val="0"/>
                <w:szCs w:val="22"/>
              </w:rPr>
            </w:pPr>
            <w:r w:rsidRPr="006578BD">
              <w:rPr>
                <w:rFonts w:eastAsiaTheme="minorHAnsi"/>
                <w:bCs/>
                <w:snapToGrid/>
                <w:kern w:val="0"/>
                <w:szCs w:val="22"/>
              </w:rPr>
              <w:t>WQVR895</w:t>
            </w:r>
          </w:p>
        </w:tc>
        <w:tc>
          <w:tcPr>
            <w:tcW w:w="1929" w:type="dxa"/>
          </w:tcPr>
          <w:p w:rsidR="008E5CBE" w:rsidRPr="006578BD" w:rsidP="008F7EFB" w14:paraId="2400C4C0" w14:textId="77777777">
            <w:pPr>
              <w:widowControl/>
              <w:rPr>
                <w:bCs/>
                <w:snapToGrid/>
                <w:kern w:val="0"/>
                <w:szCs w:val="22"/>
                <w:highlight w:val="yellow"/>
              </w:rPr>
            </w:pPr>
            <w:r w:rsidRPr="006578BD">
              <w:rPr>
                <w:rFonts w:eastAsiaTheme="minorHAnsi"/>
                <w:bCs/>
                <w:snapToGrid/>
                <w:kern w:val="0"/>
                <w:szCs w:val="22"/>
              </w:rPr>
              <w:t>WQVV846</w:t>
            </w:r>
          </w:p>
        </w:tc>
      </w:tr>
      <w:tr w14:paraId="48C870D0" w14:textId="77777777" w:rsidTr="008E5CBE">
        <w:tblPrEx>
          <w:tblW w:w="0" w:type="auto"/>
          <w:jc w:val="center"/>
          <w:tblLook w:val="01E0"/>
        </w:tblPrEx>
        <w:trPr>
          <w:jc w:val="center"/>
        </w:trPr>
        <w:tc>
          <w:tcPr>
            <w:tcW w:w="2557" w:type="dxa"/>
            <w:shd w:val="clear" w:color="auto" w:fill="auto"/>
          </w:tcPr>
          <w:p w:rsidR="008E5CBE" w:rsidRPr="006578BD" w:rsidP="008F7EFB" w14:paraId="3566F958" w14:textId="77777777">
            <w:pPr>
              <w:widowControl/>
              <w:rPr>
                <w:szCs w:val="22"/>
              </w:rPr>
            </w:pPr>
            <w:r w:rsidRPr="006578BD">
              <w:rPr>
                <w:rFonts w:eastAsiaTheme="minorHAnsi"/>
                <w:bCs/>
                <w:snapToGrid/>
                <w:kern w:val="0"/>
                <w:szCs w:val="22"/>
              </w:rPr>
              <w:t>WQUE282</w:t>
            </w:r>
          </w:p>
        </w:tc>
        <w:tc>
          <w:tcPr>
            <w:tcW w:w="2557" w:type="dxa"/>
            <w:shd w:val="clear" w:color="auto" w:fill="auto"/>
          </w:tcPr>
          <w:p w:rsidR="008E5CBE" w:rsidRPr="006578BD" w:rsidP="008F7EFB" w14:paraId="4A786854" w14:textId="77777777">
            <w:pPr>
              <w:widowControl/>
              <w:rPr>
                <w:szCs w:val="22"/>
              </w:rPr>
            </w:pPr>
            <w:r w:rsidRPr="006578BD">
              <w:rPr>
                <w:rFonts w:eastAsiaTheme="minorHAnsi"/>
                <w:bCs/>
                <w:snapToGrid/>
                <w:kern w:val="0"/>
                <w:szCs w:val="22"/>
              </w:rPr>
              <w:t>WQUY816</w:t>
            </w:r>
          </w:p>
        </w:tc>
        <w:tc>
          <w:tcPr>
            <w:tcW w:w="1929" w:type="dxa"/>
          </w:tcPr>
          <w:p w:rsidR="008E5CBE" w:rsidRPr="006578BD" w:rsidP="008F7EFB" w14:paraId="084743AC" w14:textId="77777777">
            <w:pPr>
              <w:widowControl/>
              <w:rPr>
                <w:bCs/>
                <w:snapToGrid/>
                <w:kern w:val="0"/>
                <w:szCs w:val="22"/>
              </w:rPr>
            </w:pPr>
            <w:r w:rsidRPr="006578BD">
              <w:rPr>
                <w:rFonts w:eastAsiaTheme="minorHAnsi"/>
                <w:bCs/>
                <w:snapToGrid/>
                <w:kern w:val="0"/>
                <w:szCs w:val="22"/>
              </w:rPr>
              <w:t>WQUY802</w:t>
            </w:r>
          </w:p>
        </w:tc>
        <w:tc>
          <w:tcPr>
            <w:tcW w:w="1929" w:type="dxa"/>
          </w:tcPr>
          <w:p w:rsidR="008E5CBE" w:rsidRPr="006578BD" w:rsidP="008F7EFB" w14:paraId="30FBD934" w14:textId="77777777">
            <w:pPr>
              <w:widowControl/>
              <w:rPr>
                <w:bCs/>
                <w:snapToGrid/>
                <w:kern w:val="0"/>
                <w:szCs w:val="22"/>
              </w:rPr>
            </w:pPr>
            <w:r w:rsidRPr="006578BD">
              <w:rPr>
                <w:rFonts w:eastAsiaTheme="minorHAnsi"/>
                <w:bCs/>
                <w:snapToGrid/>
                <w:kern w:val="0"/>
                <w:szCs w:val="22"/>
              </w:rPr>
              <w:t>WQVG946</w:t>
            </w:r>
          </w:p>
        </w:tc>
      </w:tr>
      <w:tr w14:paraId="08EAE143" w14:textId="77777777" w:rsidTr="008E5CBE">
        <w:tblPrEx>
          <w:tblW w:w="0" w:type="auto"/>
          <w:jc w:val="center"/>
          <w:tblLook w:val="01E0"/>
        </w:tblPrEx>
        <w:trPr>
          <w:jc w:val="center"/>
        </w:trPr>
        <w:tc>
          <w:tcPr>
            <w:tcW w:w="2557" w:type="dxa"/>
            <w:shd w:val="clear" w:color="auto" w:fill="auto"/>
          </w:tcPr>
          <w:p w:rsidR="008E5CBE" w:rsidRPr="006578BD" w:rsidP="008F7EFB" w14:paraId="4C9CBBFF" w14:textId="77777777">
            <w:pPr>
              <w:widowControl/>
              <w:rPr>
                <w:szCs w:val="22"/>
              </w:rPr>
            </w:pPr>
            <w:r w:rsidRPr="006578BD">
              <w:rPr>
                <w:rFonts w:eastAsiaTheme="minorHAnsi"/>
                <w:bCs/>
                <w:snapToGrid/>
                <w:kern w:val="0"/>
                <w:szCs w:val="22"/>
              </w:rPr>
              <w:t>WQUC589</w:t>
            </w:r>
          </w:p>
        </w:tc>
        <w:tc>
          <w:tcPr>
            <w:tcW w:w="2557" w:type="dxa"/>
            <w:shd w:val="clear" w:color="auto" w:fill="auto"/>
          </w:tcPr>
          <w:p w:rsidR="008E5CBE" w:rsidRPr="006578BD" w:rsidP="008F7EFB" w14:paraId="33E4F6B6" w14:textId="77777777">
            <w:pPr>
              <w:widowControl/>
              <w:rPr>
                <w:szCs w:val="22"/>
              </w:rPr>
            </w:pPr>
            <w:r w:rsidRPr="006578BD">
              <w:rPr>
                <w:rFonts w:eastAsiaTheme="minorHAnsi"/>
                <w:bCs/>
                <w:snapToGrid/>
                <w:kern w:val="0"/>
                <w:szCs w:val="22"/>
              </w:rPr>
              <w:t>WQRJ856</w:t>
            </w:r>
          </w:p>
        </w:tc>
        <w:tc>
          <w:tcPr>
            <w:tcW w:w="1929" w:type="dxa"/>
          </w:tcPr>
          <w:p w:rsidR="008E5CBE" w:rsidRPr="006578BD" w:rsidP="008F7EFB" w14:paraId="71D96C1F" w14:textId="77777777">
            <w:pPr>
              <w:widowControl/>
              <w:rPr>
                <w:bCs/>
                <w:snapToGrid/>
                <w:kern w:val="0"/>
                <w:szCs w:val="22"/>
              </w:rPr>
            </w:pPr>
            <w:r w:rsidRPr="006578BD">
              <w:rPr>
                <w:rFonts w:eastAsiaTheme="minorHAnsi"/>
                <w:bCs/>
                <w:snapToGrid/>
                <w:kern w:val="0"/>
                <w:szCs w:val="22"/>
              </w:rPr>
              <w:t>WQWL877</w:t>
            </w:r>
          </w:p>
        </w:tc>
        <w:tc>
          <w:tcPr>
            <w:tcW w:w="1929" w:type="dxa"/>
          </w:tcPr>
          <w:p w:rsidR="008E5CBE" w:rsidRPr="006578BD" w:rsidP="008F7EFB" w14:paraId="3D15D075" w14:textId="77777777">
            <w:pPr>
              <w:widowControl/>
              <w:rPr>
                <w:bCs/>
                <w:snapToGrid/>
                <w:kern w:val="0"/>
                <w:szCs w:val="22"/>
              </w:rPr>
            </w:pPr>
            <w:r w:rsidRPr="006578BD">
              <w:rPr>
                <w:rFonts w:eastAsiaTheme="minorHAnsi"/>
                <w:bCs/>
                <w:snapToGrid/>
                <w:kern w:val="0"/>
                <w:szCs w:val="22"/>
              </w:rPr>
              <w:t>WQUI446</w:t>
            </w:r>
          </w:p>
        </w:tc>
      </w:tr>
      <w:tr w14:paraId="3D9359E1" w14:textId="77777777" w:rsidTr="008E5CBE">
        <w:tblPrEx>
          <w:tblW w:w="0" w:type="auto"/>
          <w:jc w:val="center"/>
          <w:tblLook w:val="01E0"/>
        </w:tblPrEx>
        <w:trPr>
          <w:jc w:val="center"/>
        </w:trPr>
        <w:tc>
          <w:tcPr>
            <w:tcW w:w="2557" w:type="dxa"/>
            <w:shd w:val="clear" w:color="auto" w:fill="auto"/>
          </w:tcPr>
          <w:p w:rsidR="008E5CBE" w:rsidRPr="006578BD" w:rsidP="008F7EFB" w14:paraId="35D08921" w14:textId="77777777">
            <w:pPr>
              <w:widowControl/>
              <w:rPr>
                <w:szCs w:val="22"/>
              </w:rPr>
            </w:pPr>
            <w:r w:rsidRPr="006578BD">
              <w:rPr>
                <w:rFonts w:eastAsiaTheme="minorHAnsi"/>
                <w:bCs/>
                <w:snapToGrid/>
                <w:kern w:val="0"/>
                <w:szCs w:val="22"/>
              </w:rPr>
              <w:t>WQUX677</w:t>
            </w:r>
          </w:p>
        </w:tc>
        <w:tc>
          <w:tcPr>
            <w:tcW w:w="2557" w:type="dxa"/>
            <w:shd w:val="clear" w:color="auto" w:fill="auto"/>
          </w:tcPr>
          <w:p w:rsidR="008E5CBE" w:rsidRPr="006578BD" w:rsidP="008F7EFB" w14:paraId="1C297CE6" w14:textId="77777777">
            <w:pPr>
              <w:widowControl/>
              <w:rPr>
                <w:szCs w:val="22"/>
              </w:rPr>
            </w:pPr>
            <w:r w:rsidRPr="006578BD">
              <w:rPr>
                <w:rFonts w:eastAsiaTheme="minorHAnsi"/>
                <w:bCs/>
                <w:snapToGrid/>
                <w:kern w:val="0"/>
                <w:szCs w:val="22"/>
              </w:rPr>
              <w:t>WQWG501</w:t>
            </w:r>
          </w:p>
        </w:tc>
        <w:tc>
          <w:tcPr>
            <w:tcW w:w="1929" w:type="dxa"/>
          </w:tcPr>
          <w:p w:rsidR="008E5CBE" w:rsidRPr="006578BD" w:rsidP="008F7EFB" w14:paraId="7EA94916" w14:textId="77777777">
            <w:pPr>
              <w:widowControl/>
              <w:rPr>
                <w:bCs/>
                <w:snapToGrid/>
                <w:kern w:val="0"/>
                <w:szCs w:val="22"/>
              </w:rPr>
            </w:pPr>
            <w:r w:rsidRPr="006578BD">
              <w:rPr>
                <w:rFonts w:eastAsiaTheme="minorHAnsi"/>
                <w:bCs/>
                <w:snapToGrid/>
                <w:kern w:val="0"/>
                <w:szCs w:val="22"/>
              </w:rPr>
              <w:t>WQWX943</w:t>
            </w:r>
          </w:p>
        </w:tc>
        <w:tc>
          <w:tcPr>
            <w:tcW w:w="1929" w:type="dxa"/>
          </w:tcPr>
          <w:p w:rsidR="008E5CBE" w:rsidRPr="006578BD" w:rsidP="008F7EFB" w14:paraId="3F65C069" w14:textId="77777777">
            <w:pPr>
              <w:widowControl/>
              <w:rPr>
                <w:bCs/>
                <w:snapToGrid/>
                <w:kern w:val="0"/>
                <w:szCs w:val="22"/>
              </w:rPr>
            </w:pPr>
            <w:r w:rsidRPr="006578BD">
              <w:rPr>
                <w:rFonts w:eastAsiaTheme="minorHAnsi"/>
                <w:bCs/>
                <w:snapToGrid/>
                <w:kern w:val="0"/>
                <w:szCs w:val="22"/>
              </w:rPr>
              <w:t>WQWD725</w:t>
            </w:r>
          </w:p>
        </w:tc>
      </w:tr>
      <w:tr w14:paraId="33F53683" w14:textId="77777777" w:rsidTr="008E5CBE">
        <w:tblPrEx>
          <w:tblW w:w="0" w:type="auto"/>
          <w:jc w:val="center"/>
          <w:tblLook w:val="01E0"/>
        </w:tblPrEx>
        <w:trPr>
          <w:jc w:val="center"/>
        </w:trPr>
        <w:tc>
          <w:tcPr>
            <w:tcW w:w="2557" w:type="dxa"/>
            <w:shd w:val="clear" w:color="auto" w:fill="auto"/>
          </w:tcPr>
          <w:p w:rsidR="008E5CBE" w:rsidRPr="006578BD" w:rsidP="008F7EFB" w14:paraId="58EBEF7E" w14:textId="77777777">
            <w:pPr>
              <w:widowControl/>
              <w:rPr>
                <w:szCs w:val="22"/>
              </w:rPr>
            </w:pPr>
            <w:r w:rsidRPr="006578BD">
              <w:rPr>
                <w:rFonts w:eastAsiaTheme="minorHAnsi"/>
                <w:bCs/>
                <w:snapToGrid/>
                <w:kern w:val="0"/>
                <w:szCs w:val="22"/>
              </w:rPr>
              <w:t>WQVB532</w:t>
            </w:r>
          </w:p>
        </w:tc>
        <w:tc>
          <w:tcPr>
            <w:tcW w:w="2557" w:type="dxa"/>
            <w:shd w:val="clear" w:color="auto" w:fill="auto"/>
          </w:tcPr>
          <w:p w:rsidR="008E5CBE" w:rsidRPr="006578BD" w:rsidP="008F7EFB" w14:paraId="6E4F9E0C" w14:textId="77777777">
            <w:pPr>
              <w:widowControl/>
              <w:rPr>
                <w:szCs w:val="22"/>
              </w:rPr>
            </w:pPr>
            <w:r w:rsidRPr="006578BD">
              <w:rPr>
                <w:rFonts w:eastAsiaTheme="minorHAnsi"/>
                <w:bCs/>
                <w:snapToGrid/>
                <w:kern w:val="0"/>
                <w:szCs w:val="22"/>
              </w:rPr>
              <w:t>WQVL665</w:t>
            </w:r>
          </w:p>
        </w:tc>
        <w:tc>
          <w:tcPr>
            <w:tcW w:w="1929" w:type="dxa"/>
          </w:tcPr>
          <w:p w:rsidR="008E5CBE" w:rsidRPr="006578BD" w:rsidP="008F7EFB" w14:paraId="7F6F1410" w14:textId="77777777">
            <w:pPr>
              <w:widowControl/>
              <w:rPr>
                <w:bCs/>
                <w:snapToGrid/>
                <w:kern w:val="0"/>
                <w:szCs w:val="22"/>
              </w:rPr>
            </w:pPr>
            <w:r w:rsidRPr="006578BD">
              <w:rPr>
                <w:rFonts w:eastAsiaTheme="minorHAnsi"/>
                <w:bCs/>
                <w:snapToGrid/>
                <w:kern w:val="0"/>
                <w:szCs w:val="22"/>
              </w:rPr>
              <w:t>WQWA746</w:t>
            </w:r>
          </w:p>
        </w:tc>
        <w:tc>
          <w:tcPr>
            <w:tcW w:w="1929" w:type="dxa"/>
          </w:tcPr>
          <w:p w:rsidR="008E5CBE" w:rsidRPr="006578BD" w:rsidP="008F7EFB" w14:paraId="6361A49E" w14:textId="77777777">
            <w:pPr>
              <w:widowControl/>
              <w:rPr>
                <w:bCs/>
                <w:snapToGrid/>
                <w:kern w:val="0"/>
                <w:szCs w:val="22"/>
              </w:rPr>
            </w:pPr>
            <w:r w:rsidRPr="006578BD">
              <w:rPr>
                <w:rFonts w:eastAsiaTheme="minorHAnsi"/>
                <w:bCs/>
                <w:snapToGrid/>
                <w:kern w:val="0"/>
                <w:szCs w:val="22"/>
              </w:rPr>
              <w:t>WQLS309</w:t>
            </w:r>
          </w:p>
        </w:tc>
      </w:tr>
      <w:tr w14:paraId="69241A6B" w14:textId="77777777" w:rsidTr="008E5CBE">
        <w:tblPrEx>
          <w:tblW w:w="0" w:type="auto"/>
          <w:jc w:val="center"/>
          <w:tblLook w:val="01E0"/>
        </w:tblPrEx>
        <w:trPr>
          <w:jc w:val="center"/>
        </w:trPr>
        <w:tc>
          <w:tcPr>
            <w:tcW w:w="2557" w:type="dxa"/>
            <w:shd w:val="clear" w:color="auto" w:fill="auto"/>
          </w:tcPr>
          <w:p w:rsidR="008E5CBE" w:rsidRPr="006578BD" w:rsidP="008F7EFB" w14:paraId="613915C1" w14:textId="77777777">
            <w:pPr>
              <w:widowControl/>
              <w:rPr>
                <w:szCs w:val="22"/>
              </w:rPr>
            </w:pPr>
            <w:r w:rsidRPr="006578BD">
              <w:rPr>
                <w:rFonts w:eastAsiaTheme="minorHAnsi"/>
                <w:bCs/>
                <w:snapToGrid/>
                <w:kern w:val="0"/>
                <w:szCs w:val="22"/>
              </w:rPr>
              <w:t>WQVV847</w:t>
            </w:r>
          </w:p>
        </w:tc>
        <w:tc>
          <w:tcPr>
            <w:tcW w:w="2557" w:type="dxa"/>
            <w:shd w:val="clear" w:color="auto" w:fill="auto"/>
          </w:tcPr>
          <w:p w:rsidR="008E5CBE" w:rsidRPr="006578BD" w:rsidP="008F7EFB" w14:paraId="660488F8" w14:textId="77777777">
            <w:pPr>
              <w:widowControl/>
              <w:rPr>
                <w:szCs w:val="22"/>
              </w:rPr>
            </w:pPr>
            <w:r w:rsidRPr="006578BD">
              <w:rPr>
                <w:rFonts w:eastAsiaTheme="minorHAnsi"/>
                <w:bCs/>
                <w:snapToGrid/>
                <w:kern w:val="0"/>
                <w:szCs w:val="22"/>
              </w:rPr>
              <w:t>WQWE404</w:t>
            </w:r>
          </w:p>
        </w:tc>
        <w:tc>
          <w:tcPr>
            <w:tcW w:w="1929" w:type="dxa"/>
          </w:tcPr>
          <w:p w:rsidR="008E5CBE" w:rsidRPr="006578BD" w:rsidP="008F7EFB" w14:paraId="57077599" w14:textId="77777777">
            <w:pPr>
              <w:widowControl/>
              <w:rPr>
                <w:bCs/>
                <w:snapToGrid/>
                <w:kern w:val="0"/>
                <w:szCs w:val="22"/>
              </w:rPr>
            </w:pPr>
            <w:r w:rsidRPr="006578BD">
              <w:rPr>
                <w:rFonts w:eastAsiaTheme="minorHAnsi"/>
                <w:bCs/>
                <w:snapToGrid/>
                <w:kern w:val="0"/>
                <w:szCs w:val="22"/>
              </w:rPr>
              <w:t>WQVG590</w:t>
            </w:r>
          </w:p>
        </w:tc>
        <w:tc>
          <w:tcPr>
            <w:tcW w:w="1929" w:type="dxa"/>
          </w:tcPr>
          <w:p w:rsidR="008E5CBE" w:rsidRPr="006578BD" w:rsidP="008F7EFB" w14:paraId="543750D0" w14:textId="77777777">
            <w:pPr>
              <w:widowControl/>
              <w:rPr>
                <w:bCs/>
                <w:snapToGrid/>
                <w:kern w:val="0"/>
                <w:szCs w:val="22"/>
              </w:rPr>
            </w:pPr>
            <w:r w:rsidRPr="006578BD">
              <w:rPr>
                <w:rFonts w:eastAsiaTheme="minorHAnsi"/>
                <w:bCs/>
                <w:snapToGrid/>
                <w:kern w:val="0"/>
                <w:szCs w:val="22"/>
              </w:rPr>
              <w:t>WRCE588</w:t>
            </w:r>
          </w:p>
        </w:tc>
      </w:tr>
      <w:tr w14:paraId="5940EC17" w14:textId="77777777" w:rsidTr="008E5CBE">
        <w:tblPrEx>
          <w:tblW w:w="0" w:type="auto"/>
          <w:jc w:val="center"/>
          <w:tblLook w:val="01E0"/>
        </w:tblPrEx>
        <w:trPr>
          <w:jc w:val="center"/>
        </w:trPr>
        <w:tc>
          <w:tcPr>
            <w:tcW w:w="2557" w:type="dxa"/>
            <w:shd w:val="clear" w:color="auto" w:fill="auto"/>
          </w:tcPr>
          <w:p w:rsidR="008E5CBE" w:rsidRPr="006578BD" w:rsidP="008F7EFB" w14:paraId="2916796D" w14:textId="77777777">
            <w:pPr>
              <w:widowControl/>
              <w:rPr>
                <w:bCs/>
                <w:snapToGrid/>
                <w:kern w:val="0"/>
                <w:szCs w:val="22"/>
              </w:rPr>
            </w:pPr>
            <w:r w:rsidRPr="006578BD">
              <w:rPr>
                <w:rFonts w:eastAsiaTheme="minorHAnsi"/>
                <w:bCs/>
                <w:snapToGrid/>
                <w:kern w:val="0"/>
                <w:szCs w:val="22"/>
              </w:rPr>
              <w:t>WQVF450</w:t>
            </w:r>
          </w:p>
        </w:tc>
        <w:tc>
          <w:tcPr>
            <w:tcW w:w="2557" w:type="dxa"/>
            <w:shd w:val="clear" w:color="auto" w:fill="auto"/>
          </w:tcPr>
          <w:p w:rsidR="008E5CBE" w:rsidRPr="006578BD" w:rsidP="008F7EFB" w14:paraId="5E3D1C6B" w14:textId="77777777">
            <w:pPr>
              <w:widowControl/>
              <w:rPr>
                <w:szCs w:val="22"/>
              </w:rPr>
            </w:pPr>
            <w:r w:rsidRPr="006578BD">
              <w:rPr>
                <w:rFonts w:eastAsiaTheme="minorHAnsi"/>
                <w:bCs/>
                <w:snapToGrid/>
                <w:kern w:val="0"/>
                <w:szCs w:val="22"/>
              </w:rPr>
              <w:t>WQVA509</w:t>
            </w:r>
          </w:p>
        </w:tc>
        <w:tc>
          <w:tcPr>
            <w:tcW w:w="1929" w:type="dxa"/>
          </w:tcPr>
          <w:p w:rsidR="008E5CBE" w:rsidRPr="006578BD" w:rsidP="008F7EFB" w14:paraId="69781C32" w14:textId="77777777">
            <w:pPr>
              <w:widowControl/>
              <w:rPr>
                <w:bCs/>
                <w:snapToGrid/>
                <w:kern w:val="0"/>
                <w:szCs w:val="22"/>
              </w:rPr>
            </w:pPr>
            <w:r w:rsidRPr="006578BD">
              <w:rPr>
                <w:rFonts w:eastAsiaTheme="minorHAnsi"/>
                <w:bCs/>
                <w:snapToGrid/>
                <w:kern w:val="0"/>
                <w:szCs w:val="22"/>
              </w:rPr>
              <w:t>WQVL662</w:t>
            </w:r>
          </w:p>
        </w:tc>
        <w:tc>
          <w:tcPr>
            <w:tcW w:w="1929" w:type="dxa"/>
          </w:tcPr>
          <w:p w:rsidR="008E5CBE" w:rsidRPr="006578BD" w:rsidP="008F7EFB" w14:paraId="3FDE9683" w14:textId="77777777">
            <w:pPr>
              <w:widowControl/>
              <w:rPr>
                <w:bCs/>
                <w:snapToGrid/>
                <w:kern w:val="0"/>
                <w:szCs w:val="22"/>
              </w:rPr>
            </w:pPr>
          </w:p>
        </w:tc>
      </w:tr>
      <w:tr w14:paraId="555EE23C" w14:textId="77777777" w:rsidTr="008E5CBE">
        <w:tblPrEx>
          <w:tblW w:w="0" w:type="auto"/>
          <w:jc w:val="center"/>
          <w:tblLook w:val="01E0"/>
        </w:tblPrEx>
        <w:trPr>
          <w:jc w:val="center"/>
        </w:trPr>
        <w:tc>
          <w:tcPr>
            <w:tcW w:w="2557" w:type="dxa"/>
            <w:shd w:val="clear" w:color="auto" w:fill="auto"/>
          </w:tcPr>
          <w:p w:rsidR="008E5CBE" w:rsidRPr="006578BD" w:rsidP="008F7EFB" w14:paraId="2AAE19A8" w14:textId="77777777">
            <w:pPr>
              <w:widowControl/>
              <w:rPr>
                <w:bCs/>
                <w:snapToGrid/>
                <w:kern w:val="0"/>
                <w:szCs w:val="22"/>
              </w:rPr>
            </w:pPr>
            <w:r w:rsidRPr="006578BD">
              <w:rPr>
                <w:rFonts w:eastAsiaTheme="minorHAnsi"/>
                <w:bCs/>
                <w:snapToGrid/>
                <w:kern w:val="0"/>
                <w:szCs w:val="22"/>
              </w:rPr>
              <w:t>WQLT327</w:t>
            </w:r>
          </w:p>
        </w:tc>
        <w:tc>
          <w:tcPr>
            <w:tcW w:w="2557" w:type="dxa"/>
            <w:shd w:val="clear" w:color="auto" w:fill="auto"/>
          </w:tcPr>
          <w:p w:rsidR="008E5CBE" w:rsidRPr="006578BD" w:rsidP="008F7EFB" w14:paraId="741AF9B3" w14:textId="77777777">
            <w:pPr>
              <w:widowControl/>
              <w:rPr>
                <w:szCs w:val="22"/>
              </w:rPr>
            </w:pPr>
            <w:r w:rsidRPr="006578BD">
              <w:rPr>
                <w:rFonts w:eastAsiaTheme="minorHAnsi"/>
                <w:bCs/>
                <w:snapToGrid/>
                <w:kern w:val="0"/>
                <w:szCs w:val="22"/>
              </w:rPr>
              <w:t>WQUX676</w:t>
            </w:r>
          </w:p>
        </w:tc>
        <w:tc>
          <w:tcPr>
            <w:tcW w:w="1929" w:type="dxa"/>
          </w:tcPr>
          <w:p w:rsidR="008E5CBE" w:rsidRPr="006578BD" w:rsidP="008F7EFB" w14:paraId="49EA46A8" w14:textId="77777777">
            <w:pPr>
              <w:widowControl/>
              <w:rPr>
                <w:bCs/>
                <w:snapToGrid/>
                <w:kern w:val="0"/>
                <w:szCs w:val="22"/>
              </w:rPr>
            </w:pPr>
            <w:r w:rsidRPr="006578BD">
              <w:rPr>
                <w:rFonts w:eastAsiaTheme="minorHAnsi"/>
                <w:bCs/>
                <w:snapToGrid/>
                <w:kern w:val="0"/>
                <w:szCs w:val="22"/>
              </w:rPr>
              <w:t>WQUL240</w:t>
            </w:r>
          </w:p>
        </w:tc>
        <w:tc>
          <w:tcPr>
            <w:tcW w:w="1929" w:type="dxa"/>
          </w:tcPr>
          <w:p w:rsidR="008E5CBE" w:rsidRPr="006578BD" w:rsidP="008F7EFB" w14:paraId="3BA573F9" w14:textId="77777777">
            <w:pPr>
              <w:widowControl/>
              <w:rPr>
                <w:bCs/>
                <w:snapToGrid/>
                <w:kern w:val="0"/>
                <w:szCs w:val="22"/>
              </w:rPr>
            </w:pPr>
          </w:p>
        </w:tc>
      </w:tr>
      <w:tr w14:paraId="14D2A02C" w14:textId="77777777" w:rsidTr="008E5CBE">
        <w:tblPrEx>
          <w:tblW w:w="0" w:type="auto"/>
          <w:jc w:val="center"/>
          <w:tblLook w:val="01E0"/>
        </w:tblPrEx>
        <w:trPr>
          <w:jc w:val="center"/>
        </w:trPr>
        <w:tc>
          <w:tcPr>
            <w:tcW w:w="2557" w:type="dxa"/>
            <w:shd w:val="clear" w:color="auto" w:fill="auto"/>
          </w:tcPr>
          <w:p w:rsidR="008E5CBE" w:rsidRPr="006578BD" w:rsidP="008F7EFB" w14:paraId="3419FC47" w14:textId="77777777">
            <w:pPr>
              <w:widowControl/>
              <w:rPr>
                <w:bCs/>
                <w:snapToGrid/>
                <w:kern w:val="0"/>
                <w:szCs w:val="22"/>
              </w:rPr>
            </w:pPr>
            <w:r w:rsidRPr="006578BD">
              <w:rPr>
                <w:rFonts w:eastAsiaTheme="minorHAnsi"/>
                <w:bCs/>
                <w:snapToGrid/>
                <w:kern w:val="0"/>
                <w:szCs w:val="22"/>
              </w:rPr>
              <w:t>WQUY910</w:t>
            </w:r>
          </w:p>
        </w:tc>
        <w:tc>
          <w:tcPr>
            <w:tcW w:w="2557" w:type="dxa"/>
            <w:shd w:val="clear" w:color="auto" w:fill="auto"/>
          </w:tcPr>
          <w:p w:rsidR="008E5CBE" w:rsidRPr="006578BD" w:rsidP="008F7EFB" w14:paraId="63EFF985" w14:textId="77777777">
            <w:pPr>
              <w:widowControl/>
              <w:rPr>
                <w:szCs w:val="22"/>
              </w:rPr>
            </w:pPr>
            <w:r w:rsidRPr="006578BD">
              <w:rPr>
                <w:rFonts w:eastAsiaTheme="minorHAnsi"/>
                <w:bCs/>
                <w:snapToGrid/>
                <w:kern w:val="0"/>
                <w:szCs w:val="22"/>
              </w:rPr>
              <w:t>WQVG945</w:t>
            </w:r>
          </w:p>
        </w:tc>
        <w:tc>
          <w:tcPr>
            <w:tcW w:w="1929" w:type="dxa"/>
          </w:tcPr>
          <w:p w:rsidR="008E5CBE" w:rsidRPr="006578BD" w:rsidP="008F7EFB" w14:paraId="08445955" w14:textId="77777777">
            <w:pPr>
              <w:widowControl/>
              <w:rPr>
                <w:bCs/>
                <w:snapToGrid/>
                <w:kern w:val="0"/>
                <w:szCs w:val="22"/>
              </w:rPr>
            </w:pPr>
            <w:r w:rsidRPr="006578BD">
              <w:rPr>
                <w:rFonts w:eastAsiaTheme="minorHAnsi"/>
                <w:bCs/>
                <w:snapToGrid/>
                <w:kern w:val="0"/>
                <w:szCs w:val="22"/>
              </w:rPr>
              <w:t>WQUW994</w:t>
            </w:r>
          </w:p>
        </w:tc>
        <w:tc>
          <w:tcPr>
            <w:tcW w:w="1929" w:type="dxa"/>
          </w:tcPr>
          <w:p w:rsidR="008E5CBE" w:rsidRPr="006578BD" w:rsidP="008F7EFB" w14:paraId="4123C894" w14:textId="77777777">
            <w:pPr>
              <w:widowControl/>
              <w:rPr>
                <w:bCs/>
                <w:snapToGrid/>
                <w:kern w:val="0"/>
                <w:szCs w:val="22"/>
              </w:rPr>
            </w:pPr>
          </w:p>
        </w:tc>
      </w:tr>
      <w:tr w14:paraId="3FB4EEAA" w14:textId="77777777" w:rsidTr="008E5CBE">
        <w:tblPrEx>
          <w:tblW w:w="0" w:type="auto"/>
          <w:jc w:val="center"/>
          <w:tblLook w:val="01E0"/>
        </w:tblPrEx>
        <w:trPr>
          <w:jc w:val="center"/>
        </w:trPr>
        <w:tc>
          <w:tcPr>
            <w:tcW w:w="2557" w:type="dxa"/>
            <w:shd w:val="clear" w:color="auto" w:fill="auto"/>
          </w:tcPr>
          <w:p w:rsidR="008E5CBE" w:rsidRPr="006578BD" w:rsidP="008F7EFB" w14:paraId="6F57799E" w14:textId="77777777">
            <w:pPr>
              <w:widowControl/>
              <w:rPr>
                <w:bCs/>
                <w:snapToGrid/>
                <w:kern w:val="0"/>
                <w:szCs w:val="22"/>
              </w:rPr>
            </w:pPr>
            <w:r w:rsidRPr="006578BD">
              <w:rPr>
                <w:rFonts w:eastAsiaTheme="minorHAnsi"/>
                <w:bCs/>
                <w:snapToGrid/>
                <w:kern w:val="0"/>
                <w:szCs w:val="22"/>
              </w:rPr>
              <w:t>WQVR897</w:t>
            </w:r>
          </w:p>
        </w:tc>
        <w:tc>
          <w:tcPr>
            <w:tcW w:w="2557" w:type="dxa"/>
            <w:shd w:val="clear" w:color="auto" w:fill="auto"/>
          </w:tcPr>
          <w:p w:rsidR="008E5CBE" w:rsidRPr="006578BD" w:rsidP="008F7EFB" w14:paraId="09E1A71A" w14:textId="77777777">
            <w:pPr>
              <w:widowControl/>
              <w:rPr>
                <w:szCs w:val="22"/>
              </w:rPr>
            </w:pPr>
            <w:r w:rsidRPr="006578BD">
              <w:rPr>
                <w:rFonts w:eastAsiaTheme="minorHAnsi"/>
                <w:bCs/>
                <w:snapToGrid/>
                <w:kern w:val="0"/>
                <w:szCs w:val="22"/>
              </w:rPr>
              <w:t>WQVQ416</w:t>
            </w:r>
          </w:p>
        </w:tc>
        <w:tc>
          <w:tcPr>
            <w:tcW w:w="1929" w:type="dxa"/>
          </w:tcPr>
          <w:p w:rsidR="008E5CBE" w:rsidRPr="006578BD" w:rsidP="008F7EFB" w14:paraId="30D437EF" w14:textId="77777777">
            <w:pPr>
              <w:widowControl/>
              <w:rPr>
                <w:bCs/>
                <w:snapToGrid/>
                <w:kern w:val="0"/>
                <w:szCs w:val="22"/>
              </w:rPr>
            </w:pPr>
            <w:r w:rsidRPr="006578BD">
              <w:rPr>
                <w:rFonts w:eastAsiaTheme="minorHAnsi"/>
                <w:bCs/>
                <w:snapToGrid/>
                <w:kern w:val="0"/>
                <w:szCs w:val="22"/>
              </w:rPr>
              <w:t>WQUZ230</w:t>
            </w:r>
          </w:p>
        </w:tc>
        <w:tc>
          <w:tcPr>
            <w:tcW w:w="1929" w:type="dxa"/>
          </w:tcPr>
          <w:p w:rsidR="008E5CBE" w:rsidRPr="006578BD" w:rsidP="008F7EFB" w14:paraId="58729B19" w14:textId="77777777">
            <w:pPr>
              <w:widowControl/>
              <w:rPr>
                <w:bCs/>
                <w:snapToGrid/>
                <w:kern w:val="0"/>
                <w:szCs w:val="22"/>
              </w:rPr>
            </w:pPr>
          </w:p>
        </w:tc>
      </w:tr>
      <w:tr w14:paraId="34838012" w14:textId="77777777" w:rsidTr="008E5CBE">
        <w:tblPrEx>
          <w:tblW w:w="0" w:type="auto"/>
          <w:jc w:val="center"/>
          <w:tblLook w:val="01E0"/>
        </w:tblPrEx>
        <w:trPr>
          <w:jc w:val="center"/>
        </w:trPr>
        <w:tc>
          <w:tcPr>
            <w:tcW w:w="2557" w:type="dxa"/>
            <w:shd w:val="clear" w:color="auto" w:fill="auto"/>
          </w:tcPr>
          <w:p w:rsidR="008E5CBE" w:rsidRPr="006578BD" w:rsidP="008F7EFB" w14:paraId="1B34CEC5" w14:textId="77777777">
            <w:pPr>
              <w:widowControl/>
              <w:rPr>
                <w:bCs/>
                <w:snapToGrid/>
                <w:kern w:val="0"/>
                <w:szCs w:val="22"/>
              </w:rPr>
            </w:pPr>
            <w:r w:rsidRPr="006578BD">
              <w:rPr>
                <w:rFonts w:eastAsiaTheme="minorHAnsi"/>
                <w:bCs/>
                <w:snapToGrid/>
                <w:kern w:val="0"/>
                <w:szCs w:val="22"/>
              </w:rPr>
              <w:t>WQVT983</w:t>
            </w:r>
          </w:p>
        </w:tc>
        <w:tc>
          <w:tcPr>
            <w:tcW w:w="2557" w:type="dxa"/>
            <w:shd w:val="clear" w:color="auto" w:fill="auto"/>
          </w:tcPr>
          <w:p w:rsidR="008E5CBE" w:rsidRPr="006578BD" w:rsidP="008F7EFB" w14:paraId="53ED1B54" w14:textId="77777777">
            <w:pPr>
              <w:widowControl/>
              <w:rPr>
                <w:szCs w:val="22"/>
              </w:rPr>
            </w:pPr>
            <w:r w:rsidRPr="006578BD">
              <w:rPr>
                <w:rFonts w:eastAsiaTheme="minorHAnsi"/>
                <w:bCs/>
                <w:snapToGrid/>
                <w:kern w:val="0"/>
                <w:szCs w:val="22"/>
              </w:rPr>
              <w:t>WRCM947</w:t>
            </w:r>
          </w:p>
        </w:tc>
        <w:tc>
          <w:tcPr>
            <w:tcW w:w="1929" w:type="dxa"/>
          </w:tcPr>
          <w:p w:rsidR="008E5CBE" w:rsidRPr="006578BD" w:rsidP="008F7EFB" w14:paraId="4A3E5575" w14:textId="77777777">
            <w:pPr>
              <w:widowControl/>
              <w:rPr>
                <w:bCs/>
                <w:snapToGrid/>
                <w:kern w:val="0"/>
                <w:szCs w:val="22"/>
              </w:rPr>
            </w:pPr>
            <w:r w:rsidRPr="006578BD">
              <w:rPr>
                <w:rFonts w:eastAsiaTheme="minorHAnsi"/>
                <w:bCs/>
                <w:snapToGrid/>
                <w:kern w:val="0"/>
                <w:szCs w:val="22"/>
              </w:rPr>
              <w:t>WQUX675</w:t>
            </w:r>
          </w:p>
        </w:tc>
        <w:tc>
          <w:tcPr>
            <w:tcW w:w="1929" w:type="dxa"/>
          </w:tcPr>
          <w:p w:rsidR="008E5CBE" w:rsidRPr="006578BD" w:rsidP="008F7EFB" w14:paraId="54615194" w14:textId="77777777">
            <w:pPr>
              <w:widowControl/>
              <w:rPr>
                <w:bCs/>
                <w:snapToGrid/>
                <w:kern w:val="0"/>
                <w:szCs w:val="22"/>
              </w:rPr>
            </w:pPr>
          </w:p>
        </w:tc>
      </w:tr>
      <w:tr w14:paraId="6628B92F" w14:textId="77777777" w:rsidTr="008E5CBE">
        <w:tblPrEx>
          <w:tblW w:w="0" w:type="auto"/>
          <w:jc w:val="center"/>
          <w:tblLook w:val="01E0"/>
        </w:tblPrEx>
        <w:trPr>
          <w:jc w:val="center"/>
        </w:trPr>
        <w:tc>
          <w:tcPr>
            <w:tcW w:w="2557" w:type="dxa"/>
            <w:shd w:val="clear" w:color="auto" w:fill="auto"/>
          </w:tcPr>
          <w:p w:rsidR="008E5CBE" w:rsidRPr="006578BD" w:rsidP="008F7EFB" w14:paraId="33D4FC32" w14:textId="77777777">
            <w:pPr>
              <w:widowControl/>
              <w:rPr>
                <w:bCs/>
                <w:snapToGrid/>
                <w:kern w:val="0"/>
                <w:szCs w:val="22"/>
              </w:rPr>
            </w:pPr>
            <w:r w:rsidRPr="006578BD">
              <w:rPr>
                <w:rFonts w:eastAsiaTheme="minorHAnsi"/>
                <w:bCs/>
                <w:snapToGrid/>
                <w:kern w:val="0"/>
                <w:szCs w:val="22"/>
              </w:rPr>
              <w:t>WQUE287</w:t>
            </w:r>
          </w:p>
        </w:tc>
        <w:tc>
          <w:tcPr>
            <w:tcW w:w="2557" w:type="dxa"/>
            <w:shd w:val="clear" w:color="auto" w:fill="auto"/>
          </w:tcPr>
          <w:p w:rsidR="008E5CBE" w:rsidRPr="006578BD" w:rsidP="008F7EFB" w14:paraId="0CDBD2D9" w14:textId="77777777">
            <w:pPr>
              <w:widowControl/>
              <w:rPr>
                <w:szCs w:val="22"/>
              </w:rPr>
            </w:pPr>
            <w:r w:rsidRPr="006578BD">
              <w:rPr>
                <w:rFonts w:eastAsiaTheme="minorHAnsi"/>
                <w:bCs/>
                <w:snapToGrid/>
                <w:kern w:val="0"/>
                <w:szCs w:val="22"/>
              </w:rPr>
              <w:t>WQVR394</w:t>
            </w:r>
          </w:p>
        </w:tc>
        <w:tc>
          <w:tcPr>
            <w:tcW w:w="1929" w:type="dxa"/>
          </w:tcPr>
          <w:p w:rsidR="008E5CBE" w:rsidRPr="006578BD" w:rsidP="008F7EFB" w14:paraId="683489A6" w14:textId="77777777">
            <w:pPr>
              <w:widowControl/>
              <w:rPr>
                <w:bCs/>
                <w:snapToGrid/>
                <w:kern w:val="0"/>
                <w:szCs w:val="22"/>
              </w:rPr>
            </w:pPr>
            <w:r w:rsidRPr="006578BD">
              <w:rPr>
                <w:rFonts w:eastAsiaTheme="minorHAnsi"/>
                <w:bCs/>
                <w:snapToGrid/>
                <w:kern w:val="0"/>
                <w:szCs w:val="22"/>
              </w:rPr>
              <w:t>WQUE286</w:t>
            </w:r>
          </w:p>
        </w:tc>
        <w:tc>
          <w:tcPr>
            <w:tcW w:w="1929" w:type="dxa"/>
          </w:tcPr>
          <w:p w:rsidR="008E5CBE" w:rsidRPr="006578BD" w:rsidP="008F7EFB" w14:paraId="429195B3" w14:textId="77777777">
            <w:pPr>
              <w:widowControl/>
              <w:rPr>
                <w:bCs/>
                <w:snapToGrid/>
                <w:kern w:val="0"/>
                <w:szCs w:val="22"/>
              </w:rPr>
            </w:pPr>
          </w:p>
        </w:tc>
      </w:tr>
      <w:tr w14:paraId="24F5715A" w14:textId="77777777" w:rsidTr="008E5CBE">
        <w:tblPrEx>
          <w:tblW w:w="0" w:type="auto"/>
          <w:jc w:val="center"/>
          <w:tblLook w:val="01E0"/>
        </w:tblPrEx>
        <w:trPr>
          <w:jc w:val="center"/>
        </w:trPr>
        <w:tc>
          <w:tcPr>
            <w:tcW w:w="2557" w:type="dxa"/>
            <w:shd w:val="clear" w:color="auto" w:fill="auto"/>
          </w:tcPr>
          <w:p w:rsidR="008E5CBE" w:rsidRPr="006578BD" w:rsidP="008F7EFB" w14:paraId="43553304" w14:textId="77777777">
            <w:pPr>
              <w:widowControl/>
              <w:rPr>
                <w:bCs/>
                <w:snapToGrid/>
                <w:kern w:val="0"/>
                <w:szCs w:val="22"/>
              </w:rPr>
            </w:pPr>
            <w:r w:rsidRPr="006578BD">
              <w:rPr>
                <w:rFonts w:eastAsiaTheme="minorHAnsi"/>
                <w:bCs/>
                <w:snapToGrid/>
                <w:kern w:val="0"/>
                <w:szCs w:val="22"/>
              </w:rPr>
              <w:t>WQUX222</w:t>
            </w:r>
          </w:p>
        </w:tc>
        <w:tc>
          <w:tcPr>
            <w:tcW w:w="2557" w:type="dxa"/>
            <w:shd w:val="clear" w:color="auto" w:fill="auto"/>
          </w:tcPr>
          <w:p w:rsidR="008E5CBE" w:rsidRPr="006578BD" w:rsidP="008F7EFB" w14:paraId="3692EC5B" w14:textId="77777777">
            <w:pPr>
              <w:widowControl/>
              <w:rPr>
                <w:szCs w:val="22"/>
              </w:rPr>
            </w:pPr>
            <w:r w:rsidRPr="006578BD">
              <w:rPr>
                <w:rFonts w:eastAsiaTheme="minorHAnsi"/>
                <w:bCs/>
                <w:snapToGrid/>
                <w:kern w:val="0"/>
                <w:szCs w:val="22"/>
              </w:rPr>
              <w:t>WQUU666</w:t>
            </w:r>
          </w:p>
        </w:tc>
        <w:tc>
          <w:tcPr>
            <w:tcW w:w="1929" w:type="dxa"/>
          </w:tcPr>
          <w:p w:rsidR="008E5CBE" w:rsidRPr="006578BD" w:rsidP="008F7EFB" w14:paraId="3D8238F9" w14:textId="77777777">
            <w:pPr>
              <w:widowControl/>
              <w:rPr>
                <w:bCs/>
                <w:snapToGrid/>
                <w:kern w:val="0"/>
                <w:szCs w:val="22"/>
              </w:rPr>
            </w:pPr>
            <w:r w:rsidRPr="006578BD">
              <w:rPr>
                <w:rFonts w:eastAsiaTheme="minorHAnsi"/>
                <w:bCs/>
                <w:snapToGrid/>
                <w:kern w:val="0"/>
                <w:szCs w:val="22"/>
              </w:rPr>
              <w:t>WQUG547</w:t>
            </w:r>
          </w:p>
        </w:tc>
        <w:tc>
          <w:tcPr>
            <w:tcW w:w="1929" w:type="dxa"/>
          </w:tcPr>
          <w:p w:rsidR="008E5CBE" w:rsidRPr="006578BD" w:rsidP="008F7EFB" w14:paraId="47D08119" w14:textId="77777777">
            <w:pPr>
              <w:widowControl/>
              <w:rPr>
                <w:bCs/>
                <w:snapToGrid/>
                <w:kern w:val="0"/>
                <w:szCs w:val="22"/>
              </w:rPr>
            </w:pPr>
          </w:p>
        </w:tc>
      </w:tr>
    </w:tbl>
    <w:p w:rsidR="002478B7" w:rsidRPr="00A45FF2" w:rsidP="008F7EFB" w14:paraId="47665D77" w14:textId="77777777">
      <w:pPr>
        <w:widowControl/>
        <w:rPr>
          <w:szCs w:val="22"/>
        </w:rPr>
      </w:pPr>
    </w:p>
    <w:p w:rsidR="002478B7" w:rsidRPr="00A45FF2" w:rsidP="008F7EFB" w14:paraId="3D1C88C7" w14:textId="4F1C02B9">
      <w:pPr>
        <w:widowControl/>
        <w:rPr>
          <w:szCs w:val="22"/>
        </w:rPr>
      </w:pPr>
      <w:r w:rsidRPr="00A45FF2">
        <w:rPr>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14:paraId="089D7203" w14:textId="77777777" w:rsidTr="00216C0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8856" w:type="dxa"/>
            <w:gridSpan w:val="2"/>
          </w:tcPr>
          <w:bookmarkEnd w:id="2"/>
          <w:p w:rsidR="00A60EC7" w:rsidRPr="00461C05" w:rsidP="008F7EFB" w14:paraId="72B0EDBD" w14:textId="4EDB28A2">
            <w:pPr>
              <w:widowControl/>
              <w:jc w:val="center"/>
              <w:rPr>
                <w:szCs w:val="22"/>
              </w:rPr>
            </w:pPr>
            <w:r>
              <w:rPr>
                <w:szCs w:val="22"/>
              </w:rPr>
              <w:t>FirstEnergy Corp.</w:t>
            </w:r>
            <w:r>
              <w:rPr>
                <w:rStyle w:val="FootnoteReference"/>
                <w:szCs w:val="22"/>
              </w:rPr>
              <w:footnoteReference w:id="12"/>
            </w:r>
          </w:p>
        </w:tc>
      </w:tr>
      <w:tr w14:paraId="6F84314C" w14:textId="77777777" w:rsidTr="00216C0F">
        <w:tblPrEx>
          <w:tblW w:w="0" w:type="auto"/>
          <w:jc w:val="center"/>
          <w:tblLook w:val="01E0"/>
        </w:tblPrEx>
        <w:trPr>
          <w:jc w:val="center"/>
        </w:trPr>
        <w:tc>
          <w:tcPr>
            <w:tcW w:w="4428" w:type="dxa"/>
          </w:tcPr>
          <w:p w:rsidR="00A60EC7" w:rsidRPr="00461C05" w:rsidP="008F7EFB" w14:paraId="2A480DB6" w14:textId="2C93E4BE">
            <w:pPr>
              <w:widowControl/>
              <w:rPr>
                <w:snapToGrid/>
                <w:kern w:val="0"/>
                <w:szCs w:val="22"/>
              </w:rPr>
            </w:pPr>
            <w:r w:rsidRPr="00461C05">
              <w:rPr>
                <w:snapToGrid/>
                <w:kern w:val="0"/>
                <w:szCs w:val="22"/>
              </w:rPr>
              <w:t>WRBY876</w:t>
            </w:r>
          </w:p>
        </w:tc>
        <w:tc>
          <w:tcPr>
            <w:tcW w:w="4428" w:type="dxa"/>
            <w:shd w:val="clear" w:color="auto" w:fill="auto"/>
          </w:tcPr>
          <w:p w:rsidR="00A60EC7" w:rsidRPr="00461C05" w:rsidP="008F7EFB" w14:paraId="1B2B846E" w14:textId="26DBA56F">
            <w:pPr>
              <w:widowControl/>
              <w:rPr>
                <w:szCs w:val="22"/>
              </w:rPr>
            </w:pPr>
            <w:r w:rsidRPr="00461C05">
              <w:rPr>
                <w:snapToGrid/>
                <w:kern w:val="0"/>
                <w:szCs w:val="22"/>
              </w:rPr>
              <w:t>*WPVF297</w:t>
            </w:r>
          </w:p>
        </w:tc>
      </w:tr>
      <w:tr w14:paraId="443095A9" w14:textId="77777777" w:rsidTr="00216C0F">
        <w:tblPrEx>
          <w:tblW w:w="0" w:type="auto"/>
          <w:jc w:val="center"/>
          <w:tblLook w:val="01E0"/>
        </w:tblPrEx>
        <w:trPr>
          <w:jc w:val="center"/>
        </w:trPr>
        <w:tc>
          <w:tcPr>
            <w:tcW w:w="4428" w:type="dxa"/>
          </w:tcPr>
          <w:p w:rsidR="00A60EC7" w:rsidRPr="00461C05" w:rsidP="008F7EFB" w14:paraId="00A48D8E" w14:textId="40BB0765">
            <w:pPr>
              <w:widowControl/>
              <w:rPr>
                <w:snapToGrid/>
                <w:kern w:val="0"/>
                <w:szCs w:val="22"/>
              </w:rPr>
            </w:pPr>
            <w:r w:rsidRPr="00461C05">
              <w:rPr>
                <w:snapToGrid/>
                <w:kern w:val="0"/>
                <w:szCs w:val="22"/>
              </w:rPr>
              <w:t>WRBN333</w:t>
            </w:r>
          </w:p>
        </w:tc>
        <w:tc>
          <w:tcPr>
            <w:tcW w:w="4428" w:type="dxa"/>
            <w:shd w:val="clear" w:color="auto" w:fill="auto"/>
          </w:tcPr>
          <w:p w:rsidR="00A60EC7" w:rsidRPr="00461C05" w:rsidP="008F7EFB" w14:paraId="3D64196F" w14:textId="5366558F">
            <w:pPr>
              <w:widowControl/>
              <w:rPr>
                <w:szCs w:val="22"/>
              </w:rPr>
            </w:pPr>
            <w:r w:rsidRPr="00461C05">
              <w:rPr>
                <w:snapToGrid/>
                <w:kern w:val="0"/>
                <w:szCs w:val="22"/>
              </w:rPr>
              <w:t>*WPVF301</w:t>
            </w:r>
          </w:p>
        </w:tc>
      </w:tr>
      <w:tr w14:paraId="33F95A4B" w14:textId="77777777" w:rsidTr="00216C0F">
        <w:tblPrEx>
          <w:tblW w:w="0" w:type="auto"/>
          <w:jc w:val="center"/>
          <w:tblLook w:val="01E0"/>
        </w:tblPrEx>
        <w:trPr>
          <w:jc w:val="center"/>
        </w:trPr>
        <w:tc>
          <w:tcPr>
            <w:tcW w:w="4428" w:type="dxa"/>
          </w:tcPr>
          <w:p w:rsidR="00A60EC7" w:rsidRPr="00461C05" w:rsidP="008F7EFB" w14:paraId="33792A07" w14:textId="62177446">
            <w:pPr>
              <w:widowControl/>
              <w:rPr>
                <w:snapToGrid/>
                <w:kern w:val="0"/>
                <w:szCs w:val="22"/>
              </w:rPr>
            </w:pPr>
            <w:r w:rsidRPr="00461C05">
              <w:rPr>
                <w:snapToGrid/>
                <w:kern w:val="0"/>
                <w:szCs w:val="22"/>
              </w:rPr>
              <w:t>WRCB536</w:t>
            </w:r>
          </w:p>
        </w:tc>
        <w:tc>
          <w:tcPr>
            <w:tcW w:w="4428" w:type="dxa"/>
            <w:shd w:val="clear" w:color="auto" w:fill="auto"/>
          </w:tcPr>
          <w:p w:rsidR="00A60EC7" w:rsidRPr="00461C05" w:rsidP="008F7EFB" w14:paraId="16EA422C" w14:textId="17ED3EAC">
            <w:pPr>
              <w:widowControl/>
              <w:rPr>
                <w:szCs w:val="22"/>
              </w:rPr>
            </w:pPr>
            <w:r w:rsidRPr="00461C05">
              <w:rPr>
                <w:snapToGrid/>
                <w:kern w:val="0"/>
                <w:szCs w:val="22"/>
              </w:rPr>
              <w:t>*WPVF303</w:t>
            </w:r>
          </w:p>
        </w:tc>
      </w:tr>
      <w:tr w14:paraId="0E553221" w14:textId="77777777" w:rsidTr="00216C0F">
        <w:tblPrEx>
          <w:tblW w:w="0" w:type="auto"/>
          <w:jc w:val="center"/>
          <w:tblLook w:val="01E0"/>
        </w:tblPrEx>
        <w:trPr>
          <w:jc w:val="center"/>
        </w:trPr>
        <w:tc>
          <w:tcPr>
            <w:tcW w:w="4428" w:type="dxa"/>
          </w:tcPr>
          <w:p w:rsidR="00A60EC7" w:rsidRPr="00461C05" w:rsidP="008F7EFB" w14:paraId="3233D780" w14:textId="38D47F51">
            <w:pPr>
              <w:widowControl/>
              <w:rPr>
                <w:snapToGrid/>
                <w:kern w:val="0"/>
                <w:szCs w:val="22"/>
              </w:rPr>
            </w:pPr>
            <w:r w:rsidRPr="00461C05">
              <w:rPr>
                <w:snapToGrid/>
                <w:kern w:val="0"/>
                <w:szCs w:val="22"/>
              </w:rPr>
              <w:t>WRBT765</w:t>
            </w:r>
          </w:p>
        </w:tc>
        <w:tc>
          <w:tcPr>
            <w:tcW w:w="4428" w:type="dxa"/>
            <w:shd w:val="clear" w:color="auto" w:fill="auto"/>
          </w:tcPr>
          <w:p w:rsidR="00A60EC7" w:rsidRPr="00461C05" w:rsidP="008F7EFB" w14:paraId="0009AD97" w14:textId="0389F94C">
            <w:pPr>
              <w:widowControl/>
              <w:rPr>
                <w:szCs w:val="22"/>
              </w:rPr>
            </w:pPr>
            <w:r w:rsidRPr="00461C05">
              <w:rPr>
                <w:snapToGrid/>
                <w:kern w:val="0"/>
                <w:szCs w:val="22"/>
              </w:rPr>
              <w:t>*WPVF313</w:t>
            </w:r>
          </w:p>
        </w:tc>
      </w:tr>
      <w:tr w14:paraId="06326C46" w14:textId="77777777" w:rsidTr="00216C0F">
        <w:tblPrEx>
          <w:tblW w:w="0" w:type="auto"/>
          <w:jc w:val="center"/>
          <w:tblLook w:val="01E0"/>
        </w:tblPrEx>
        <w:trPr>
          <w:jc w:val="center"/>
        </w:trPr>
        <w:tc>
          <w:tcPr>
            <w:tcW w:w="4428" w:type="dxa"/>
          </w:tcPr>
          <w:p w:rsidR="00A60EC7" w:rsidRPr="00461C05" w:rsidP="008F7EFB" w14:paraId="4F3C1F36" w14:textId="4B2510C1">
            <w:pPr>
              <w:widowControl/>
              <w:rPr>
                <w:rStyle w:val="FootnoteReference"/>
                <w:szCs w:val="22"/>
              </w:rPr>
            </w:pPr>
            <w:r w:rsidRPr="00461C05">
              <w:rPr>
                <w:snapToGrid/>
                <w:kern w:val="0"/>
                <w:szCs w:val="22"/>
              </w:rPr>
              <w:t>WRBP862</w:t>
            </w:r>
          </w:p>
        </w:tc>
        <w:tc>
          <w:tcPr>
            <w:tcW w:w="4428" w:type="dxa"/>
            <w:shd w:val="clear" w:color="auto" w:fill="auto"/>
          </w:tcPr>
          <w:p w:rsidR="00A60EC7" w:rsidRPr="00461C05" w:rsidP="008F7EFB" w14:paraId="7570DF46" w14:textId="5F2D7D8C">
            <w:pPr>
              <w:widowControl/>
              <w:rPr>
                <w:szCs w:val="22"/>
              </w:rPr>
            </w:pPr>
            <w:r w:rsidRPr="00461C05">
              <w:rPr>
                <w:snapToGrid/>
                <w:kern w:val="0"/>
                <w:szCs w:val="22"/>
              </w:rPr>
              <w:t>*WPZG551</w:t>
            </w:r>
          </w:p>
        </w:tc>
      </w:tr>
      <w:tr w14:paraId="1017460F" w14:textId="77777777" w:rsidTr="00216C0F">
        <w:tblPrEx>
          <w:tblW w:w="0" w:type="auto"/>
          <w:jc w:val="center"/>
          <w:tblLook w:val="01E0"/>
        </w:tblPrEx>
        <w:trPr>
          <w:jc w:val="center"/>
        </w:trPr>
        <w:tc>
          <w:tcPr>
            <w:tcW w:w="4428" w:type="dxa"/>
          </w:tcPr>
          <w:p w:rsidR="00A60EC7" w:rsidRPr="00461C05" w:rsidP="008F7EFB" w14:paraId="460A9006" w14:textId="2619123F">
            <w:pPr>
              <w:widowControl/>
              <w:rPr>
                <w:snapToGrid/>
                <w:kern w:val="0"/>
                <w:szCs w:val="22"/>
              </w:rPr>
            </w:pPr>
            <w:r>
              <w:t>*</w:t>
            </w:r>
            <w:r w:rsidRPr="00461C05">
              <w:rPr>
                <w:szCs w:val="22"/>
              </w:rPr>
              <w:t>WPVF282</w:t>
            </w:r>
          </w:p>
        </w:tc>
        <w:tc>
          <w:tcPr>
            <w:tcW w:w="4428" w:type="dxa"/>
            <w:shd w:val="clear" w:color="auto" w:fill="auto"/>
          </w:tcPr>
          <w:p w:rsidR="00A60EC7" w:rsidRPr="00461C05" w:rsidP="008F7EFB" w14:paraId="577073CC" w14:textId="6F3652C0">
            <w:pPr>
              <w:widowControl/>
              <w:rPr>
                <w:szCs w:val="22"/>
              </w:rPr>
            </w:pPr>
            <w:r w:rsidRPr="00461C05">
              <w:rPr>
                <w:snapToGrid/>
                <w:kern w:val="0"/>
                <w:szCs w:val="22"/>
              </w:rPr>
              <w:t>*WPVF349</w:t>
            </w:r>
          </w:p>
        </w:tc>
      </w:tr>
      <w:tr w14:paraId="33196EC9" w14:textId="77777777" w:rsidTr="00216C0F">
        <w:tblPrEx>
          <w:tblW w:w="0" w:type="auto"/>
          <w:jc w:val="center"/>
          <w:tblLook w:val="01E0"/>
        </w:tblPrEx>
        <w:trPr>
          <w:jc w:val="center"/>
        </w:trPr>
        <w:tc>
          <w:tcPr>
            <w:tcW w:w="4428" w:type="dxa"/>
          </w:tcPr>
          <w:p w:rsidR="00A60EC7" w:rsidRPr="00461C05" w:rsidP="008F7EFB" w14:paraId="33136DE8" w14:textId="6C7322F4">
            <w:pPr>
              <w:widowControl/>
              <w:rPr>
                <w:snapToGrid/>
                <w:kern w:val="0"/>
                <w:szCs w:val="22"/>
              </w:rPr>
            </w:pPr>
            <w:r w:rsidRPr="00461C05">
              <w:rPr>
                <w:snapToGrid/>
                <w:kern w:val="0"/>
                <w:szCs w:val="22"/>
              </w:rPr>
              <w:t>*WPVF288</w:t>
            </w:r>
          </w:p>
        </w:tc>
        <w:tc>
          <w:tcPr>
            <w:tcW w:w="4428" w:type="dxa"/>
            <w:shd w:val="clear" w:color="auto" w:fill="auto"/>
          </w:tcPr>
          <w:p w:rsidR="00A60EC7" w:rsidRPr="00461C05" w:rsidP="008F7EFB" w14:paraId="67E764F8" w14:textId="1211895D">
            <w:pPr>
              <w:widowControl/>
              <w:rPr>
                <w:szCs w:val="22"/>
              </w:rPr>
            </w:pPr>
            <w:r w:rsidRPr="00461C05">
              <w:rPr>
                <w:snapToGrid/>
                <w:kern w:val="0"/>
                <w:szCs w:val="22"/>
              </w:rPr>
              <w:t>*WPVH206</w:t>
            </w:r>
          </w:p>
        </w:tc>
      </w:tr>
      <w:tr w14:paraId="52DB332D" w14:textId="77777777" w:rsidTr="00216C0F">
        <w:tblPrEx>
          <w:tblW w:w="0" w:type="auto"/>
          <w:jc w:val="center"/>
          <w:tblLook w:val="01E0"/>
        </w:tblPrEx>
        <w:trPr>
          <w:jc w:val="center"/>
        </w:trPr>
        <w:tc>
          <w:tcPr>
            <w:tcW w:w="4428" w:type="dxa"/>
          </w:tcPr>
          <w:p w:rsidR="00A60EC7" w:rsidRPr="00461C05" w:rsidP="008F7EFB" w14:paraId="4D86603B" w14:textId="1810DCE9">
            <w:pPr>
              <w:widowControl/>
              <w:rPr>
                <w:snapToGrid/>
                <w:kern w:val="0"/>
                <w:szCs w:val="22"/>
              </w:rPr>
            </w:pPr>
            <w:r w:rsidRPr="00461C05">
              <w:rPr>
                <w:snapToGrid/>
                <w:kern w:val="0"/>
                <w:szCs w:val="22"/>
              </w:rPr>
              <w:t>*WPVF296</w:t>
            </w:r>
          </w:p>
        </w:tc>
        <w:tc>
          <w:tcPr>
            <w:tcW w:w="4428" w:type="dxa"/>
            <w:shd w:val="clear" w:color="auto" w:fill="auto"/>
          </w:tcPr>
          <w:p w:rsidR="00A60EC7" w:rsidRPr="00461C05" w:rsidP="008F7EFB" w14:paraId="71BBF60D" w14:textId="45CF60C5">
            <w:pPr>
              <w:widowControl/>
              <w:rPr>
                <w:szCs w:val="22"/>
              </w:rPr>
            </w:pPr>
            <w:r w:rsidRPr="00461C05">
              <w:rPr>
                <w:snapToGrid/>
                <w:kern w:val="0"/>
                <w:szCs w:val="22"/>
              </w:rPr>
              <w:t>*WPVF365</w:t>
            </w:r>
          </w:p>
        </w:tc>
      </w:tr>
      <w:tr w14:paraId="4D6C991A" w14:textId="77777777" w:rsidTr="00216C0F">
        <w:tblPrEx>
          <w:tblW w:w="0" w:type="auto"/>
          <w:jc w:val="center"/>
          <w:tblLook w:val="01E0"/>
        </w:tblPrEx>
        <w:trPr>
          <w:jc w:val="center"/>
        </w:trPr>
        <w:tc>
          <w:tcPr>
            <w:tcW w:w="4428" w:type="dxa"/>
          </w:tcPr>
          <w:p w:rsidR="00A60EC7" w:rsidRPr="00461C05" w:rsidP="008F7EFB" w14:paraId="602F5E9D" w14:textId="59F78A45">
            <w:pPr>
              <w:widowControl/>
              <w:rPr>
                <w:snapToGrid/>
                <w:kern w:val="0"/>
                <w:szCs w:val="22"/>
              </w:rPr>
            </w:pPr>
            <w:r w:rsidRPr="00461C05">
              <w:rPr>
                <w:snapToGrid/>
                <w:kern w:val="0"/>
                <w:szCs w:val="22"/>
              </w:rPr>
              <w:t>*WPVF289</w:t>
            </w:r>
          </w:p>
        </w:tc>
        <w:tc>
          <w:tcPr>
            <w:tcW w:w="4428" w:type="dxa"/>
            <w:shd w:val="clear" w:color="auto" w:fill="auto"/>
          </w:tcPr>
          <w:p w:rsidR="00A60EC7" w:rsidRPr="00461C05" w:rsidP="008F7EFB" w14:paraId="3E473943" w14:textId="3FC030F2">
            <w:pPr>
              <w:widowControl/>
              <w:rPr>
                <w:szCs w:val="22"/>
              </w:rPr>
            </w:pPr>
            <w:r w:rsidRPr="00461C05">
              <w:rPr>
                <w:snapToGrid/>
                <w:kern w:val="0"/>
                <w:szCs w:val="22"/>
              </w:rPr>
              <w:t>*WPVF387</w:t>
            </w:r>
          </w:p>
        </w:tc>
      </w:tr>
      <w:tr w14:paraId="0E3B5E1B" w14:textId="77777777" w:rsidTr="00216C0F">
        <w:tblPrEx>
          <w:tblW w:w="0" w:type="auto"/>
          <w:jc w:val="center"/>
          <w:tblLook w:val="01E0"/>
        </w:tblPrEx>
        <w:trPr>
          <w:jc w:val="center"/>
        </w:trPr>
        <w:tc>
          <w:tcPr>
            <w:tcW w:w="4428" w:type="dxa"/>
          </w:tcPr>
          <w:p w:rsidR="00216C0F" w:rsidRPr="00461C05" w:rsidP="008F7EFB" w14:paraId="00163034" w14:textId="12DC28DD">
            <w:pPr>
              <w:widowControl/>
              <w:rPr>
                <w:snapToGrid/>
                <w:kern w:val="0"/>
                <w:szCs w:val="22"/>
              </w:rPr>
            </w:pPr>
            <w:r w:rsidRPr="00461C05">
              <w:rPr>
                <w:snapToGrid/>
                <w:kern w:val="0"/>
                <w:szCs w:val="22"/>
              </w:rPr>
              <w:t>*WPVF397</w:t>
            </w:r>
          </w:p>
        </w:tc>
        <w:tc>
          <w:tcPr>
            <w:tcW w:w="4428" w:type="dxa"/>
            <w:shd w:val="clear" w:color="auto" w:fill="auto"/>
          </w:tcPr>
          <w:p w:rsidR="00216C0F" w:rsidRPr="00461C05" w:rsidP="008F7EFB" w14:paraId="5A3A6B83" w14:textId="75A9D5C0">
            <w:pPr>
              <w:widowControl/>
              <w:rPr>
                <w:szCs w:val="22"/>
              </w:rPr>
            </w:pPr>
          </w:p>
        </w:tc>
      </w:tr>
    </w:tbl>
    <w:p w:rsidR="006F3B59" w:rsidP="008F7EFB" w14:paraId="53BEA1E9" w14:textId="28AFDD56">
      <w:pPr>
        <w:widowControl/>
        <w:rPr>
          <w:szCs w:val="22"/>
        </w:rPr>
      </w:pPr>
    </w:p>
    <w:p w:rsidR="00E1661B" w:rsidP="008F7EFB" w14:paraId="7DCAF8E4" w14:textId="6EBB3C0F">
      <w:pPr>
        <w:widowControl/>
        <w:rPr>
          <w:szCs w:val="22"/>
        </w:rPr>
      </w:pPr>
    </w:p>
    <w:p w:rsidR="00E1661B" w:rsidP="008F7EFB" w14:paraId="1FFC07C2" w14:textId="22C25E24">
      <w:pPr>
        <w:widowControl/>
        <w:rPr>
          <w:szCs w:val="22"/>
        </w:rPr>
      </w:pPr>
    </w:p>
    <w:p w:rsidR="00E1661B" w:rsidRPr="00A45FF2" w:rsidP="008F7EFB" w14:paraId="15A25B8E" w14:textId="77777777">
      <w:pPr>
        <w:widowControl/>
        <w:rPr>
          <w:szCs w:val="22"/>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7C61" w:rsidP="0055614C" w14:paraId="2F3A9BA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D7C61" w14:paraId="7671D8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7C61" w:rsidP="00910F12" w14:paraId="6B901D9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7C61" w14:paraId="7EFD360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54D0" w14:paraId="78E5D7C6" w14:textId="77777777">
      <w:r>
        <w:separator/>
      </w:r>
    </w:p>
  </w:footnote>
  <w:footnote w:type="continuationSeparator" w:id="1">
    <w:p w:rsidR="001F54D0" w14:paraId="55BE0457" w14:textId="77777777">
      <w:pPr>
        <w:rPr>
          <w:sz w:val="20"/>
        </w:rPr>
      </w:pPr>
      <w:r>
        <w:rPr>
          <w:sz w:val="20"/>
        </w:rPr>
        <w:t xml:space="preserve">(Continued from previous page)  </w:t>
      </w:r>
      <w:r>
        <w:rPr>
          <w:sz w:val="20"/>
        </w:rPr>
        <w:separator/>
      </w:r>
    </w:p>
  </w:footnote>
  <w:footnote w:type="continuationNotice" w:id="2">
    <w:p w:rsidR="001F54D0" w:rsidRPr="008F7EFB" w:rsidP="008F7EFB" w14:paraId="631D196B" w14:textId="77777777">
      <w:pPr>
        <w:pStyle w:val="Footer"/>
      </w:pPr>
    </w:p>
  </w:footnote>
  <w:footnote w:id="3">
    <w:p w:rsidR="00F42AE7" w14:paraId="1829DE5D" w14:textId="684CA384">
      <w:pPr>
        <w:pStyle w:val="FootnoteText"/>
      </w:pPr>
      <w:r>
        <w:rPr>
          <w:rStyle w:val="FootnoteReference"/>
        </w:rPr>
        <w:footnoteRef/>
      </w:r>
      <w:r>
        <w:t xml:space="preserve"> </w:t>
      </w:r>
      <w:r w:rsidRPr="00F42AE7">
        <w:t>In 1999, the Wireless Telecommunications Bureau</w:t>
      </w:r>
      <w:r>
        <w:t xml:space="preserve"> </w:t>
      </w:r>
      <w:r w:rsidRPr="00F42AE7">
        <w:t xml:space="preserve">granted </w:t>
      </w:r>
      <w:r>
        <w:t xml:space="preserve">Petitioners </w:t>
      </w:r>
      <w:r w:rsidRPr="00F42AE7">
        <w:t xml:space="preserve">a waiver “to construct and operate a shared network on Public Safety and I/LT [Industrial/Land Transportation Category] frequencies (including </w:t>
      </w:r>
      <w:r w:rsidRPr="00F42AE7">
        <w:rPr>
          <w:i/>
        </w:rPr>
        <w:t>any</w:t>
      </w:r>
      <w:r w:rsidRPr="00F42AE7">
        <w:t xml:space="preserve"> </w:t>
      </w:r>
      <w:r w:rsidRPr="00F42AE7">
        <w:rPr>
          <w:i/>
        </w:rPr>
        <w:t>stations they subsequently add to the system</w:t>
      </w:r>
      <w:r w:rsidRPr="00F42AE7">
        <w:t>)</w:t>
      </w:r>
      <w:r w:rsidR="00F45F87">
        <w:t xml:space="preserve"> </w:t>
      </w:r>
      <w:r w:rsidR="00F46901">
        <w:t>.</w:t>
      </w:r>
      <w:r w:rsidR="00F45F87">
        <w:t xml:space="preserve"> . . .</w:t>
      </w:r>
      <w:r w:rsidRPr="00F42AE7">
        <w:t>”</w:t>
      </w:r>
      <w:r w:rsidR="00042C39">
        <w:t xml:space="preserve"> </w:t>
      </w:r>
      <w:r w:rsidR="00BE488A">
        <w:t xml:space="preserve"> </w:t>
      </w:r>
      <w:r w:rsidRPr="002A36BB" w:rsidR="00F45F87">
        <w:rPr>
          <w:i/>
        </w:rPr>
        <w:t>Commonwealth of Pennsylvania and GPU Energy Request for Waiver of Section 90.179 of the Commission’s Rules</w:t>
      </w:r>
      <w:r w:rsidR="00F45F87">
        <w:t>, Order, 14 FCC Rcd 14029, 14036, para. 15 (WTB 1999) (emphasis added)</w:t>
      </w:r>
      <w:r w:rsidR="00BE488A">
        <w:t xml:space="preserve"> </w:t>
      </w:r>
      <w:r w:rsidR="00F45F87">
        <w:t xml:space="preserve">(1999 Waiver).  </w:t>
      </w:r>
    </w:p>
  </w:footnote>
  <w:footnote w:id="4">
    <w:p w:rsidR="00DD7C61" w:rsidRPr="001D1E20" w:rsidP="001E6B4D" w14:paraId="081A1798" w14:textId="571CA1B9">
      <w:pPr>
        <w:pStyle w:val="FootnoteText"/>
      </w:pPr>
      <w:r w:rsidRPr="001D1E20">
        <w:rPr>
          <w:rStyle w:val="FootnoteReference"/>
          <w:sz w:val="20"/>
        </w:rPr>
        <w:footnoteRef/>
      </w:r>
      <w:r w:rsidRPr="001D1E20">
        <w:t xml:space="preserve"> </w:t>
      </w:r>
      <w:r w:rsidR="00056FFC">
        <w:t>Petitioners</w:t>
      </w:r>
      <w:r w:rsidRPr="001D1E20">
        <w:t xml:space="preserve"> submitted their </w:t>
      </w:r>
      <w:r w:rsidR="00C801D8">
        <w:t>P</w:t>
      </w:r>
      <w:r w:rsidRPr="001D1E20">
        <w:t xml:space="preserve">etition and supplement </w:t>
      </w:r>
      <w:r w:rsidR="00C801D8">
        <w:t xml:space="preserve">by </w:t>
      </w:r>
      <w:r w:rsidRPr="001D1E20">
        <w:t xml:space="preserve">letters to the Public Safety </w:t>
      </w:r>
      <w:r w:rsidR="00056FFC">
        <w:t xml:space="preserve">and Homeland Security </w:t>
      </w:r>
      <w:r w:rsidRPr="001D1E20">
        <w:t xml:space="preserve">and Wireless Telecommunication Bureaus. </w:t>
      </w:r>
      <w:r w:rsidR="00BE488A">
        <w:t xml:space="preserve"> </w:t>
      </w:r>
      <w:r w:rsidRPr="0033560A" w:rsidR="0033560A">
        <w:rPr>
          <w:i/>
        </w:rPr>
        <w:t>See</w:t>
      </w:r>
      <w:r w:rsidRPr="0033560A" w:rsidR="0033560A">
        <w:t xml:space="preserve"> Letter from Gregory E. Kunkle, Keller and Heckman LLP, to Donald Stockdale, Chief, Wireless Telecommunications Bureau, and Lisa M. Fowlkes, Chief, Public Safety and Homeland Security Bureau at 2 (Mar. 12, 2019) (Letter); Supplement to Commonwealth of Pennsylvania and FirstEnergy Corp. Request for Clarification or Amendment of Waiver, at 1, 2 (Aug. 19, 2019) (Supplement).</w:t>
      </w:r>
      <w:r w:rsidRPr="001D1E20">
        <w:t xml:space="preserve"> </w:t>
      </w:r>
      <w:r w:rsidR="00BE488A">
        <w:t xml:space="preserve"> </w:t>
      </w:r>
      <w:r w:rsidR="00C801D8">
        <w:t xml:space="preserve">Petitioners’ letter and supplement </w:t>
      </w:r>
      <w:r w:rsidR="0033560A">
        <w:t xml:space="preserve">may be accessed using the Electronic Comment Filing System, </w:t>
      </w:r>
      <w:hyperlink r:id="rId1" w:history="1">
        <w:r w:rsidRPr="00737169" w:rsidR="008B6E07">
          <w:rPr>
            <w:rStyle w:val="Hyperlink"/>
          </w:rPr>
          <w:t>https://www.fcc.gov/ecfs/</w:t>
        </w:r>
      </w:hyperlink>
      <w:r w:rsidR="008B6E07">
        <w:t xml:space="preserve">, </w:t>
      </w:r>
      <w:r w:rsidR="0033560A">
        <w:t xml:space="preserve">under Docket No. </w:t>
      </w:r>
      <w:r w:rsidR="00AD4745">
        <w:t>19-255</w:t>
      </w:r>
      <w:r w:rsidR="00517FE5">
        <w:t xml:space="preserve">.  The Commission’s rules make no provision for amending </w:t>
      </w:r>
      <w:r w:rsidR="003E74A5">
        <w:t xml:space="preserve">previously granted </w:t>
      </w:r>
      <w:r w:rsidR="00517FE5">
        <w:t xml:space="preserve">waivers.  For administrative convenience we treat Petitioners’ request as </w:t>
      </w:r>
      <w:r w:rsidR="003E74A5">
        <w:t xml:space="preserve">seeking </w:t>
      </w:r>
      <w:r w:rsidR="00517FE5">
        <w:t xml:space="preserve">a replacement </w:t>
      </w:r>
      <w:r w:rsidR="003E74A5">
        <w:t xml:space="preserve">waiver </w:t>
      </w:r>
      <w:r w:rsidR="00517FE5">
        <w:t xml:space="preserve">rather than </w:t>
      </w:r>
      <w:r w:rsidR="003E74A5">
        <w:t xml:space="preserve">an </w:t>
      </w:r>
      <w:r w:rsidR="00517FE5">
        <w:t>amended waiver.</w:t>
      </w:r>
      <w:r w:rsidR="0033560A">
        <w:t xml:space="preserve"> </w:t>
      </w:r>
    </w:p>
  </w:footnote>
  <w:footnote w:id="5">
    <w:p w:rsidR="00DD7C61" w:rsidRPr="001D1E20" w:rsidP="008701A8" w14:paraId="57A82622" w14:textId="5F7F1D61">
      <w:pPr>
        <w:pStyle w:val="FootnoteText"/>
      </w:pPr>
      <w:r w:rsidRPr="001D1E20">
        <w:rPr>
          <w:rStyle w:val="FootnoteReference"/>
          <w:sz w:val="20"/>
        </w:rPr>
        <w:footnoteRef/>
      </w:r>
      <w:r w:rsidRPr="001D1E20">
        <w:t xml:space="preserve"> </w:t>
      </w:r>
      <w:r w:rsidRPr="001D1E20" w:rsidR="001D1E20">
        <w:t>Supplement</w:t>
      </w:r>
      <w:r w:rsidRPr="001D1E20">
        <w:t xml:space="preserve"> at 2</w:t>
      </w:r>
      <w:r w:rsidRPr="001D1E20" w:rsidR="001D1E20">
        <w:t>.</w:t>
      </w:r>
    </w:p>
  </w:footnote>
  <w:footnote w:id="6">
    <w:p w:rsidR="00AB798E" w14:paraId="6FAE4DE1" w14:textId="4FDE1058">
      <w:pPr>
        <w:pStyle w:val="FootnoteText"/>
      </w:pPr>
      <w:r>
        <w:rPr>
          <w:rStyle w:val="FootnoteReference"/>
        </w:rPr>
        <w:footnoteRef/>
      </w:r>
      <w:r>
        <w:t xml:space="preserve"> 47 CFR §§ 1.3</w:t>
      </w:r>
      <w:r w:rsidR="00A467A9">
        <w:t xml:space="preserve">, </w:t>
      </w:r>
      <w:r>
        <w:t>1.925.</w:t>
      </w:r>
    </w:p>
  </w:footnote>
  <w:footnote w:id="7">
    <w:p w:rsidR="00DD7C61" w:rsidRPr="00641C3F" w:rsidP="001D1E20" w14:paraId="174CC710" w14:textId="70892FB8">
      <w:pPr>
        <w:pStyle w:val="FootnoteText"/>
      </w:pPr>
      <w:r w:rsidRPr="00641C3F">
        <w:rPr>
          <w:rStyle w:val="FootnoteReference"/>
          <w:sz w:val="20"/>
        </w:rPr>
        <w:footnoteRef/>
      </w:r>
      <w:r w:rsidRPr="00641C3F">
        <w:t xml:space="preserve"> </w:t>
      </w:r>
      <w:r w:rsidRPr="00641C3F" w:rsidR="00EA2FC2">
        <w:t xml:space="preserve">Petitioners suggest </w:t>
      </w:r>
      <w:r w:rsidR="009B5692">
        <w:t>it is unnecessary for the Commission to seek comment on their proposal because s</w:t>
      </w:r>
      <w:r w:rsidRPr="00641C3F" w:rsidR="00EA2FC2">
        <w:t>ection 90.179(h)</w:t>
      </w:r>
      <w:r w:rsidR="00FC2DF8">
        <w:t xml:space="preserve"> of the Commission’s rules</w:t>
      </w:r>
      <w:r w:rsidR="00641C3F">
        <w:t xml:space="preserve">, </w:t>
      </w:r>
      <w:r w:rsidRPr="00641C3F" w:rsidR="00641C3F">
        <w:t>47 CFR § 90.179</w:t>
      </w:r>
      <w:r w:rsidR="00641C3F">
        <w:t>(h),</w:t>
      </w:r>
      <w:r w:rsidRPr="00641C3F" w:rsidR="00EA2FC2">
        <w:t xml:space="preserve"> authorizes FirstEnergy to share Part 90 Industrial/Business Pool VHF frequencies and Part 22 VHF frequencies with the Commonwealth.  </w:t>
      </w:r>
      <w:r w:rsidRPr="003A6B3C" w:rsidR="00EA2FC2">
        <w:t xml:space="preserve">Letter at 2. </w:t>
      </w:r>
      <w:r w:rsidRPr="003A6B3C" w:rsidR="00775E61">
        <w:t xml:space="preserve"> </w:t>
      </w:r>
      <w:r w:rsidR="009B5692">
        <w:t xml:space="preserve">We nonetheless exercise our discretion to issue this Public Notice in the interest, </w:t>
      </w:r>
      <w:r w:rsidRPr="009B5692" w:rsidR="009B5692">
        <w:rPr>
          <w:i/>
        </w:rPr>
        <w:t>inter alia</w:t>
      </w:r>
      <w:r w:rsidR="009B5692">
        <w:t xml:space="preserve">, of allowing potentially affected VHF licensees to </w:t>
      </w:r>
      <w:r w:rsidR="00C801D8">
        <w:t xml:space="preserve">comment </w:t>
      </w:r>
      <w:r w:rsidR="009B5692">
        <w:t>on any effect grant of the waiver would have on their operations</w:t>
      </w:r>
      <w:r w:rsidR="008F7EFB">
        <w:t>.</w:t>
      </w:r>
      <w:r w:rsidR="009B5692">
        <w:t xml:space="preserve"> </w:t>
      </w:r>
    </w:p>
  </w:footnote>
  <w:footnote w:id="8">
    <w:p w:rsidR="00C52A01" w14:paraId="35B07AAB" w14:textId="22FA1F22">
      <w:pPr>
        <w:pStyle w:val="FootnoteText"/>
      </w:pPr>
      <w:r>
        <w:rPr>
          <w:rStyle w:val="FootnoteReference"/>
        </w:rPr>
        <w:footnoteRef/>
      </w:r>
      <w:r>
        <w:t xml:space="preserve"> For example, co-channel non-exclusive VHF licensees may wish to address whether </w:t>
      </w:r>
      <w:r w:rsidR="008F7EFB">
        <w:t xml:space="preserve">any </w:t>
      </w:r>
      <w:r>
        <w:t xml:space="preserve">increased loading </w:t>
      </w:r>
      <w:r w:rsidR="008F7EFB">
        <w:t xml:space="preserve">by Petitioners </w:t>
      </w:r>
      <w:r w:rsidR="00C801D8">
        <w:t>because of</w:t>
      </w:r>
      <w:r>
        <w:t xml:space="preserve"> grant of the requested waiver would impair </w:t>
      </w:r>
      <w:r w:rsidR="008F7EFB">
        <w:t>non-exclusive VHF licensees’</w:t>
      </w:r>
      <w:r>
        <w:t xml:space="preserve"> access to the affected channel</w:t>
      </w:r>
      <w:r w:rsidR="00C801D8">
        <w:t xml:space="preserve"> or channels</w:t>
      </w:r>
      <w:r>
        <w:t>.</w:t>
      </w:r>
    </w:p>
  </w:footnote>
  <w:footnote w:id="9">
    <w:p w:rsidR="00DD7C61" w:rsidRPr="001D1E20" w:rsidP="001D1E20" w14:paraId="4FACAF27" w14:textId="77777777">
      <w:pPr>
        <w:pStyle w:val="FootnoteText"/>
        <w:rPr>
          <w:color w:val="242021"/>
        </w:rPr>
      </w:pPr>
      <w:r w:rsidRPr="001D1E20">
        <w:rPr>
          <w:rStyle w:val="FootnoteReference"/>
          <w:sz w:val="20"/>
        </w:rPr>
        <w:footnoteRef/>
      </w:r>
      <w:r w:rsidRPr="001D1E20">
        <w:t xml:space="preserve"> </w:t>
      </w:r>
      <w:r w:rsidRPr="001D1E20">
        <w:rPr>
          <w:i/>
          <w:iCs/>
          <w:color w:val="242021"/>
          <w:spacing w:val="1"/>
        </w:rPr>
        <w:t>Se</w:t>
      </w:r>
      <w:r w:rsidRPr="001D1E20">
        <w:rPr>
          <w:i/>
          <w:iCs/>
          <w:color w:val="242021"/>
        </w:rPr>
        <w:t>e</w:t>
      </w:r>
      <w:r w:rsidRPr="001D1E20">
        <w:rPr>
          <w:i/>
          <w:iCs/>
          <w:color w:val="242021"/>
          <w:spacing w:val="-2"/>
        </w:rPr>
        <w:t xml:space="preserve"> </w:t>
      </w:r>
      <w:r w:rsidRPr="001D1E20">
        <w:rPr>
          <w:iCs/>
          <w:color w:val="242021"/>
          <w:spacing w:val="-2"/>
        </w:rPr>
        <w:t>47</w:t>
      </w:r>
      <w:r w:rsidRPr="001D1E20">
        <w:rPr>
          <w:i/>
          <w:iCs/>
          <w:color w:val="242021"/>
          <w:spacing w:val="-2"/>
        </w:rPr>
        <w:t xml:space="preserve"> </w:t>
      </w:r>
      <w:r w:rsidRPr="001D1E20">
        <w:rPr>
          <w:iCs/>
          <w:color w:val="242021"/>
          <w:spacing w:val="-2"/>
        </w:rPr>
        <w:t>CFR</w:t>
      </w:r>
      <w:r w:rsidRPr="001D1E20">
        <w:rPr>
          <w:i/>
          <w:iCs/>
          <w:color w:val="242021"/>
          <w:spacing w:val="-2"/>
        </w:rPr>
        <w:t xml:space="preserve"> </w:t>
      </w:r>
      <w:r w:rsidRPr="001D1E20">
        <w:rPr>
          <w:color w:val="242021"/>
          <w:spacing w:val="1"/>
        </w:rPr>
        <w:t>§</w:t>
      </w:r>
      <w:r w:rsidRPr="001D1E20">
        <w:rPr>
          <w:color w:val="242021"/>
        </w:rPr>
        <w:t>§</w:t>
      </w:r>
      <w:r w:rsidRPr="001D1E20">
        <w:rPr>
          <w:color w:val="242021"/>
          <w:spacing w:val="-2"/>
        </w:rPr>
        <w:t xml:space="preserve"> </w:t>
      </w:r>
      <w:r w:rsidRPr="001D1E20">
        <w:rPr>
          <w:color w:val="242021"/>
          <w:spacing w:val="1"/>
        </w:rPr>
        <w:t>1.120</w:t>
      </w:r>
      <w:r w:rsidRPr="001D1E20">
        <w:rPr>
          <w:color w:val="242021"/>
        </w:rPr>
        <w:t>0</w:t>
      </w:r>
      <w:r w:rsidRPr="001D1E20">
        <w:rPr>
          <w:color w:val="242021"/>
          <w:spacing w:val="-4"/>
        </w:rPr>
        <w:t xml:space="preserve"> </w:t>
      </w:r>
      <w:r w:rsidRPr="001D1E20">
        <w:rPr>
          <w:i/>
          <w:iCs/>
          <w:color w:val="242021"/>
          <w:spacing w:val="-1"/>
        </w:rPr>
        <w:t>e</w:t>
      </w:r>
      <w:r w:rsidRPr="001D1E20">
        <w:rPr>
          <w:i/>
          <w:iCs/>
          <w:color w:val="242021"/>
        </w:rPr>
        <w:t>t</w:t>
      </w:r>
      <w:r w:rsidRPr="001D1E20">
        <w:rPr>
          <w:i/>
          <w:iCs/>
          <w:color w:val="242021"/>
          <w:spacing w:val="-1"/>
        </w:rPr>
        <w:t xml:space="preserve"> se</w:t>
      </w:r>
      <w:r w:rsidRPr="001D1E20">
        <w:rPr>
          <w:i/>
          <w:iCs/>
          <w:color w:val="242021"/>
          <w:spacing w:val="1"/>
        </w:rPr>
        <w:t>q</w:t>
      </w:r>
      <w:r w:rsidRPr="001D1E20">
        <w:rPr>
          <w:color w:val="242021"/>
        </w:rPr>
        <w:t>.</w:t>
      </w:r>
    </w:p>
  </w:footnote>
  <w:footnote w:id="10">
    <w:p w:rsidR="00DD7C61" w:rsidRPr="001D1E20" w:rsidP="006F3B59" w14:paraId="2EC8405D" w14:textId="77777777">
      <w:pPr>
        <w:pStyle w:val="FootnoteText"/>
      </w:pPr>
      <w:r w:rsidRPr="001D1E20">
        <w:rPr>
          <w:rStyle w:val="FootnoteReference"/>
          <w:sz w:val="20"/>
        </w:rPr>
        <w:footnoteRef/>
      </w:r>
      <w:r w:rsidRPr="001D1E20">
        <w:t xml:space="preserve"> </w:t>
      </w:r>
      <w:r w:rsidRPr="001D1E20">
        <w:rPr>
          <w:i/>
        </w:rPr>
        <w:t xml:space="preserve">Id. </w:t>
      </w:r>
      <w:r w:rsidRPr="001D1E20">
        <w:t>§ 1.1206(b).</w:t>
      </w:r>
    </w:p>
  </w:footnote>
  <w:footnote w:id="11">
    <w:p w:rsidR="00DD7C61" w:rsidRPr="001D1E20" w:rsidP="006F3B59" w14:paraId="5359F76A" w14:textId="77777777">
      <w:pPr>
        <w:pStyle w:val="FootnoteText"/>
      </w:pPr>
      <w:r w:rsidRPr="001D1E20">
        <w:rPr>
          <w:rStyle w:val="FootnoteReference"/>
          <w:sz w:val="20"/>
        </w:rPr>
        <w:footnoteRef/>
      </w:r>
      <w:r w:rsidRPr="001D1E20">
        <w:t xml:space="preserve"> </w:t>
      </w:r>
      <w:r w:rsidRPr="001D1E20">
        <w:rPr>
          <w:i/>
        </w:rPr>
        <w:t>Id.</w:t>
      </w:r>
      <w:r w:rsidRPr="001D1E20">
        <w:t xml:space="preserve"> § 1.49(f).</w:t>
      </w:r>
    </w:p>
  </w:footnote>
  <w:footnote w:id="12">
    <w:p w:rsidR="006F61E6" w:rsidP="006F61E6" w14:paraId="17F7FA9F" w14:textId="6D5CB562">
      <w:pPr>
        <w:pStyle w:val="FootnoteText"/>
      </w:pPr>
      <w:r>
        <w:rPr>
          <w:rStyle w:val="FootnoteReference"/>
        </w:rPr>
        <w:footnoteRef/>
      </w:r>
      <w:r>
        <w:t xml:space="preserve"> Asterisks in Appendix A</w:t>
      </w:r>
      <w:r w:rsidR="002E7FE5">
        <w:t xml:space="preserve">, above, </w:t>
      </w:r>
      <w:r>
        <w:t xml:space="preserve">indicate part 22 </w:t>
      </w:r>
      <w:r w:rsidR="008F7EFB">
        <w:t xml:space="preserve">frequencies that First Energy currently is in negotiation to purchase and which will be acquired by transfer if Petitioners’ </w:t>
      </w:r>
      <w:r w:rsidR="002E7FE5">
        <w:t>pending request is granted by the Commission.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7C61" w:rsidRPr="009838BC" w:rsidP="009838BC" w14:paraId="5E5891FA" w14:textId="0388ED99">
    <w:pPr>
      <w:tabs>
        <w:tab w:val="center" w:pos="4680"/>
        <w:tab w:val="right" w:pos="9360"/>
      </w:tabs>
    </w:pPr>
    <w:r w:rsidRPr="009838BC">
      <w:rPr>
        <w:b/>
      </w:rPr>
      <w:tab/>
      <w:t>Federal Communications Commission</w:t>
    </w:r>
    <w:r w:rsidRPr="009838BC">
      <w:rPr>
        <w:b/>
      </w:rPr>
      <w:tab/>
    </w:r>
    <w:r w:rsidR="00E1661B">
      <w:rPr>
        <w:b/>
      </w:rPr>
      <w:t>DA 19-</w:t>
    </w:r>
    <w:r w:rsidR="00B56F07">
      <w:rPr>
        <w:b/>
      </w:rPr>
      <w:t>1131</w:t>
    </w:r>
  </w:p>
  <w:p w:rsidR="00DD7C61" w:rsidRPr="009838BC" w:rsidP="009838BC" w14:paraId="06E51C9C" w14:textId="4F0D226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D7C61" w:rsidRPr="009838BC" w:rsidP="009838BC" w14:paraId="1E8738A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7C61" w:rsidRPr="00A866AC" w:rsidP="009838BC" w14:paraId="5CFB0840" w14:textId="3A430696">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D7C61" w:rsidP="009838BC" w14:textId="77777777">
                          <w:pPr>
                            <w:rPr>
                              <w:rFonts w:ascii="Arial" w:hAnsi="Arial"/>
                              <w:b/>
                            </w:rPr>
                          </w:pPr>
                          <w:r>
                            <w:rPr>
                              <w:rFonts w:ascii="Arial" w:hAnsi="Arial"/>
                              <w:b/>
                            </w:rPr>
                            <w:t>Federal Communications Commission</w:t>
                          </w:r>
                        </w:p>
                        <w:p w:rsidR="00DD7C61"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D7C61"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DD7C61" w:rsidP="009838BC" w14:paraId="5108598C" w14:textId="77777777">
                    <w:pPr>
                      <w:rPr>
                        <w:rFonts w:ascii="Arial" w:hAnsi="Arial"/>
                        <w:b/>
                      </w:rPr>
                    </w:pPr>
                    <w:r>
                      <w:rPr>
                        <w:rFonts w:ascii="Arial" w:hAnsi="Arial"/>
                        <w:b/>
                      </w:rPr>
                      <w:t>Federal Communications Commission</w:t>
                    </w:r>
                  </w:p>
                  <w:p w:rsidR="00DD7C61" w:rsidP="009838BC" w14:paraId="486026A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D7C61" w:rsidP="009838BC" w14:paraId="2BB6AF01"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5704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DD7C61" w:rsidRPr="00357D50" w:rsidP="009838BC" w14:paraId="2578787C" w14:textId="68C5B968">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D7C61" w:rsidP="009838BC" w14:textId="77777777">
                          <w:pPr>
                            <w:spacing w:before="40"/>
                            <w:jc w:val="right"/>
                            <w:rPr>
                              <w:rFonts w:ascii="Arial" w:hAnsi="Arial"/>
                              <w:b/>
                              <w:sz w:val="16"/>
                            </w:rPr>
                          </w:pPr>
                          <w:r>
                            <w:rPr>
                              <w:rFonts w:ascii="Arial" w:hAnsi="Arial"/>
                              <w:b/>
                              <w:sz w:val="16"/>
                            </w:rPr>
                            <w:t>News Media Information 202 / 418-0500</w:t>
                          </w:r>
                        </w:p>
                        <w:p w:rsidR="00DD7C61" w:rsidP="009838BC"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DD7C61"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DD7C61" w:rsidP="009838BC" w14:paraId="1BF20BC9" w14:textId="77777777">
                    <w:pPr>
                      <w:spacing w:before="40"/>
                      <w:jc w:val="right"/>
                      <w:rPr>
                        <w:rFonts w:ascii="Arial" w:hAnsi="Arial"/>
                        <w:b/>
                        <w:sz w:val="16"/>
                      </w:rPr>
                    </w:pPr>
                    <w:r>
                      <w:rPr>
                        <w:rFonts w:ascii="Arial" w:hAnsi="Arial"/>
                        <w:b/>
                        <w:sz w:val="16"/>
                      </w:rPr>
                      <w:t>News Media Information 202 / 418-0500</w:t>
                    </w:r>
                  </w:p>
                  <w:p w:rsidR="00DD7C61" w:rsidP="009838BC" w14:paraId="2FBAE0B5"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DD7C61" w:rsidP="009838BC" w14:paraId="2F4B4C8F" w14:textId="77777777">
                    <w:pPr>
                      <w:jc w:val="right"/>
                    </w:pPr>
                    <w:r>
                      <w:rPr>
                        <w:rFonts w:ascii="Arial" w:hAnsi="Arial"/>
                        <w:b/>
                        <w:sz w:val="16"/>
                      </w:rPr>
                      <w:t>TTY: 1-888-835-5322</w:t>
                    </w:r>
                  </w:p>
                </w:txbxContent>
              </v:textbox>
            </v:shape>
          </w:pict>
        </mc:Fallback>
      </mc:AlternateContent>
    </w:r>
  </w:p>
  <w:p w:rsidR="00DD7C61" w:rsidRPr="009838BC" w:rsidP="009838BC" w14:paraId="19B302D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C0"/>
    <w:rsid w:val="000072CE"/>
    <w:rsid w:val="00013A8B"/>
    <w:rsid w:val="00021445"/>
    <w:rsid w:val="000350FB"/>
    <w:rsid w:val="00036039"/>
    <w:rsid w:val="00037F90"/>
    <w:rsid w:val="00042C39"/>
    <w:rsid w:val="00056FFC"/>
    <w:rsid w:val="00065AA3"/>
    <w:rsid w:val="00070564"/>
    <w:rsid w:val="000875BF"/>
    <w:rsid w:val="00096D8C"/>
    <w:rsid w:val="000C0B65"/>
    <w:rsid w:val="000C33C1"/>
    <w:rsid w:val="000E3D42"/>
    <w:rsid w:val="000E5884"/>
    <w:rsid w:val="000F0834"/>
    <w:rsid w:val="000F55D7"/>
    <w:rsid w:val="00122BD5"/>
    <w:rsid w:val="001438B0"/>
    <w:rsid w:val="00144A7C"/>
    <w:rsid w:val="00172693"/>
    <w:rsid w:val="00182E41"/>
    <w:rsid w:val="0019674D"/>
    <w:rsid w:val="001979D9"/>
    <w:rsid w:val="001A364B"/>
    <w:rsid w:val="001A45ED"/>
    <w:rsid w:val="001D1E20"/>
    <w:rsid w:val="001D6BCF"/>
    <w:rsid w:val="001E01CA"/>
    <w:rsid w:val="001E6B4D"/>
    <w:rsid w:val="001F54D0"/>
    <w:rsid w:val="002060D9"/>
    <w:rsid w:val="00216C0F"/>
    <w:rsid w:val="00226822"/>
    <w:rsid w:val="00245B1D"/>
    <w:rsid w:val="002478B7"/>
    <w:rsid w:val="00260594"/>
    <w:rsid w:val="00285017"/>
    <w:rsid w:val="002A2D2E"/>
    <w:rsid w:val="002A36BB"/>
    <w:rsid w:val="002E7FE5"/>
    <w:rsid w:val="0033560A"/>
    <w:rsid w:val="00341811"/>
    <w:rsid w:val="00343749"/>
    <w:rsid w:val="0035113F"/>
    <w:rsid w:val="00357D50"/>
    <w:rsid w:val="0037485A"/>
    <w:rsid w:val="00385A90"/>
    <w:rsid w:val="003863B1"/>
    <w:rsid w:val="003925DC"/>
    <w:rsid w:val="003A3065"/>
    <w:rsid w:val="003A6B3C"/>
    <w:rsid w:val="003B0550"/>
    <w:rsid w:val="003B694F"/>
    <w:rsid w:val="003B792C"/>
    <w:rsid w:val="003E74A5"/>
    <w:rsid w:val="003F171C"/>
    <w:rsid w:val="003F1C79"/>
    <w:rsid w:val="00412FC5"/>
    <w:rsid w:val="00422276"/>
    <w:rsid w:val="004242F1"/>
    <w:rsid w:val="00445A00"/>
    <w:rsid w:val="00451B0F"/>
    <w:rsid w:val="0046125F"/>
    <w:rsid w:val="00461C05"/>
    <w:rsid w:val="0047233C"/>
    <w:rsid w:val="00475594"/>
    <w:rsid w:val="00487524"/>
    <w:rsid w:val="00496106"/>
    <w:rsid w:val="004C12D0"/>
    <w:rsid w:val="004C2EE3"/>
    <w:rsid w:val="004E09AA"/>
    <w:rsid w:val="004E4A22"/>
    <w:rsid w:val="00511968"/>
    <w:rsid w:val="00517FE5"/>
    <w:rsid w:val="00535014"/>
    <w:rsid w:val="005371EE"/>
    <w:rsid w:val="0055614C"/>
    <w:rsid w:val="005821AE"/>
    <w:rsid w:val="005A7315"/>
    <w:rsid w:val="005B63CB"/>
    <w:rsid w:val="005F025D"/>
    <w:rsid w:val="00607BA5"/>
    <w:rsid w:val="006115BE"/>
    <w:rsid w:val="00625AF3"/>
    <w:rsid w:val="00626EB6"/>
    <w:rsid w:val="006353A3"/>
    <w:rsid w:val="00641C3F"/>
    <w:rsid w:val="006439B2"/>
    <w:rsid w:val="00643F04"/>
    <w:rsid w:val="00650D01"/>
    <w:rsid w:val="006556FC"/>
    <w:rsid w:val="00655D03"/>
    <w:rsid w:val="006578BD"/>
    <w:rsid w:val="00660201"/>
    <w:rsid w:val="00683F03"/>
    <w:rsid w:val="00683F84"/>
    <w:rsid w:val="006A0D5D"/>
    <w:rsid w:val="006A6A81"/>
    <w:rsid w:val="006A6C57"/>
    <w:rsid w:val="006E26AF"/>
    <w:rsid w:val="006F3B59"/>
    <w:rsid w:val="006F61E6"/>
    <w:rsid w:val="006F7393"/>
    <w:rsid w:val="00701D4E"/>
    <w:rsid w:val="0070224F"/>
    <w:rsid w:val="007115F7"/>
    <w:rsid w:val="00737169"/>
    <w:rsid w:val="00766C11"/>
    <w:rsid w:val="00775E61"/>
    <w:rsid w:val="00785689"/>
    <w:rsid w:val="0079754B"/>
    <w:rsid w:val="007A1E6D"/>
    <w:rsid w:val="007A3B4D"/>
    <w:rsid w:val="007A699C"/>
    <w:rsid w:val="007B6E62"/>
    <w:rsid w:val="007E5CB5"/>
    <w:rsid w:val="007F0642"/>
    <w:rsid w:val="00822CE0"/>
    <w:rsid w:val="00837C62"/>
    <w:rsid w:val="00841AB1"/>
    <w:rsid w:val="0085535D"/>
    <w:rsid w:val="008701A8"/>
    <w:rsid w:val="0087725A"/>
    <w:rsid w:val="008A52DC"/>
    <w:rsid w:val="008B6E07"/>
    <w:rsid w:val="008C22FD"/>
    <w:rsid w:val="008E5CBE"/>
    <w:rsid w:val="008F7EFB"/>
    <w:rsid w:val="00910F12"/>
    <w:rsid w:val="00926503"/>
    <w:rsid w:val="00926BA9"/>
    <w:rsid w:val="009275FA"/>
    <w:rsid w:val="00930ECF"/>
    <w:rsid w:val="00930F7B"/>
    <w:rsid w:val="00972185"/>
    <w:rsid w:val="00983271"/>
    <w:rsid w:val="009838BC"/>
    <w:rsid w:val="00987437"/>
    <w:rsid w:val="00993D4B"/>
    <w:rsid w:val="009B5692"/>
    <w:rsid w:val="009D6431"/>
    <w:rsid w:val="00A07294"/>
    <w:rsid w:val="00A310A5"/>
    <w:rsid w:val="00A40B78"/>
    <w:rsid w:val="00A45F4F"/>
    <w:rsid w:val="00A45FF2"/>
    <w:rsid w:val="00A467A9"/>
    <w:rsid w:val="00A600A9"/>
    <w:rsid w:val="00A60EC7"/>
    <w:rsid w:val="00A852B4"/>
    <w:rsid w:val="00A866AC"/>
    <w:rsid w:val="00AA55B7"/>
    <w:rsid w:val="00AA5B9E"/>
    <w:rsid w:val="00AB2407"/>
    <w:rsid w:val="00AB2C08"/>
    <w:rsid w:val="00AB53DF"/>
    <w:rsid w:val="00AB744B"/>
    <w:rsid w:val="00AB798E"/>
    <w:rsid w:val="00AD4745"/>
    <w:rsid w:val="00AF0BD5"/>
    <w:rsid w:val="00AF0E3F"/>
    <w:rsid w:val="00B07E5C"/>
    <w:rsid w:val="00B326E3"/>
    <w:rsid w:val="00B56F07"/>
    <w:rsid w:val="00B811F7"/>
    <w:rsid w:val="00BA5DC6"/>
    <w:rsid w:val="00BA6196"/>
    <w:rsid w:val="00BB66FA"/>
    <w:rsid w:val="00BB78BA"/>
    <w:rsid w:val="00BC6D8C"/>
    <w:rsid w:val="00BD013C"/>
    <w:rsid w:val="00BE488A"/>
    <w:rsid w:val="00C16AF2"/>
    <w:rsid w:val="00C272B8"/>
    <w:rsid w:val="00C34006"/>
    <w:rsid w:val="00C426B1"/>
    <w:rsid w:val="00C52A01"/>
    <w:rsid w:val="00C76214"/>
    <w:rsid w:val="00C801D8"/>
    <w:rsid w:val="00C82B6B"/>
    <w:rsid w:val="00C90D6A"/>
    <w:rsid w:val="00C93575"/>
    <w:rsid w:val="00CA67B0"/>
    <w:rsid w:val="00CC416A"/>
    <w:rsid w:val="00CC72B6"/>
    <w:rsid w:val="00D02021"/>
    <w:rsid w:val="00D0218D"/>
    <w:rsid w:val="00D12ADF"/>
    <w:rsid w:val="00D216CD"/>
    <w:rsid w:val="00D3357E"/>
    <w:rsid w:val="00D456DE"/>
    <w:rsid w:val="00DA2529"/>
    <w:rsid w:val="00DB130A"/>
    <w:rsid w:val="00DC10A1"/>
    <w:rsid w:val="00DC655F"/>
    <w:rsid w:val="00DD7C61"/>
    <w:rsid w:val="00DD7EBD"/>
    <w:rsid w:val="00DE74BB"/>
    <w:rsid w:val="00DF0ED1"/>
    <w:rsid w:val="00DF62B6"/>
    <w:rsid w:val="00E07225"/>
    <w:rsid w:val="00E155B7"/>
    <w:rsid w:val="00E1661B"/>
    <w:rsid w:val="00E5409F"/>
    <w:rsid w:val="00E579F4"/>
    <w:rsid w:val="00E673D6"/>
    <w:rsid w:val="00E85EDE"/>
    <w:rsid w:val="00EA2FC2"/>
    <w:rsid w:val="00EB1A11"/>
    <w:rsid w:val="00EC0185"/>
    <w:rsid w:val="00EF44A3"/>
    <w:rsid w:val="00F021FA"/>
    <w:rsid w:val="00F42AE7"/>
    <w:rsid w:val="00F45F87"/>
    <w:rsid w:val="00F46901"/>
    <w:rsid w:val="00F54991"/>
    <w:rsid w:val="00F57ACA"/>
    <w:rsid w:val="00F62E97"/>
    <w:rsid w:val="00F64209"/>
    <w:rsid w:val="00F71642"/>
    <w:rsid w:val="00F8142A"/>
    <w:rsid w:val="00F93BF5"/>
    <w:rsid w:val="00F96F63"/>
    <w:rsid w:val="00FC1923"/>
    <w:rsid w:val="00FC2DF8"/>
    <w:rsid w:val="00FE2F87"/>
    <w:rsid w:val="00FF03C0"/>
    <w:rsid w:val="00FF0A8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B5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 Char,fn Char Char,fn Char1"/>
    <w:link w:val="FootnoteText"/>
    <w:rsid w:val="00FF03C0"/>
  </w:style>
  <w:style w:type="character" w:styleId="CommentReference">
    <w:name w:val="annotation reference"/>
    <w:uiPriority w:val="99"/>
    <w:semiHidden/>
    <w:unhideWhenUsed/>
    <w:rsid w:val="00FF03C0"/>
    <w:rPr>
      <w:sz w:val="16"/>
      <w:szCs w:val="16"/>
    </w:rPr>
  </w:style>
  <w:style w:type="paragraph" w:styleId="CommentText">
    <w:name w:val="annotation text"/>
    <w:basedOn w:val="Normal"/>
    <w:link w:val="CommentTextChar"/>
    <w:uiPriority w:val="99"/>
    <w:semiHidden/>
    <w:unhideWhenUsed/>
    <w:rsid w:val="00FF03C0"/>
    <w:rPr>
      <w:sz w:val="20"/>
    </w:rPr>
  </w:style>
  <w:style w:type="character" w:customStyle="1" w:styleId="CommentTextChar">
    <w:name w:val="Comment Text Char"/>
    <w:link w:val="CommentText"/>
    <w:uiPriority w:val="99"/>
    <w:semiHidden/>
    <w:rsid w:val="00FF03C0"/>
    <w:rPr>
      <w:snapToGrid w:val="0"/>
      <w:kern w:val="28"/>
    </w:rPr>
  </w:style>
  <w:style w:type="paragraph" w:styleId="BalloonText">
    <w:name w:val="Balloon Text"/>
    <w:basedOn w:val="Normal"/>
    <w:link w:val="BalloonTextChar"/>
    <w:uiPriority w:val="99"/>
    <w:semiHidden/>
    <w:unhideWhenUsed/>
    <w:rsid w:val="00FF03C0"/>
    <w:rPr>
      <w:rFonts w:ascii="Segoe UI" w:hAnsi="Segoe UI" w:cs="Segoe UI"/>
      <w:sz w:val="18"/>
      <w:szCs w:val="18"/>
    </w:rPr>
  </w:style>
  <w:style w:type="character" w:customStyle="1" w:styleId="BalloonTextChar">
    <w:name w:val="Balloon Text Char"/>
    <w:link w:val="BalloonText"/>
    <w:uiPriority w:val="99"/>
    <w:semiHidden/>
    <w:rsid w:val="00FF03C0"/>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6F3B59"/>
    <w:rPr>
      <w:b/>
      <w:bCs/>
    </w:rPr>
  </w:style>
  <w:style w:type="character" w:customStyle="1" w:styleId="CommentSubjectChar">
    <w:name w:val="Comment Subject Char"/>
    <w:link w:val="CommentSubject"/>
    <w:uiPriority w:val="99"/>
    <w:semiHidden/>
    <w:rsid w:val="006F3B59"/>
    <w:rPr>
      <w:b/>
      <w:bCs/>
      <w:snapToGrid w:val="0"/>
      <w:kern w:val="28"/>
    </w:rPr>
  </w:style>
  <w:style w:type="character" w:customStyle="1" w:styleId="UnresolvedMention">
    <w:name w:val="Unresolved Mention"/>
    <w:basedOn w:val="DefaultParagraphFont"/>
    <w:uiPriority w:val="99"/>
    <w:semiHidden/>
    <w:unhideWhenUsed/>
    <w:rsid w:val="00987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