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66856" w:rsidRPr="00AE244E">
      <w:pPr>
        <w:jc w:val="right"/>
        <w:rPr>
          <w:b/>
          <w:szCs w:val="22"/>
        </w:rPr>
      </w:pPr>
      <w:r w:rsidRPr="00AE244E">
        <w:rPr>
          <w:b/>
          <w:szCs w:val="22"/>
        </w:rPr>
        <w:t>DA 1</w:t>
      </w:r>
      <w:r w:rsidRPr="00AE244E" w:rsidR="004B6ED4">
        <w:rPr>
          <w:b/>
          <w:szCs w:val="22"/>
        </w:rPr>
        <w:t>9</w:t>
      </w:r>
      <w:r w:rsidRPr="00AE244E">
        <w:rPr>
          <w:b/>
          <w:szCs w:val="22"/>
        </w:rPr>
        <w:t>-</w:t>
      </w:r>
      <w:r w:rsidR="00CF1F99">
        <w:rPr>
          <w:b/>
          <w:szCs w:val="22"/>
        </w:rPr>
        <w:t>1132</w:t>
      </w:r>
    </w:p>
    <w:p w:rsidR="00C66856" w:rsidRPr="00AE244E">
      <w:pPr>
        <w:jc w:val="right"/>
        <w:rPr>
          <w:b/>
          <w:szCs w:val="22"/>
        </w:rPr>
      </w:pPr>
      <w:r w:rsidRPr="00AE244E">
        <w:rPr>
          <w:b/>
          <w:szCs w:val="22"/>
        </w:rPr>
        <w:t>Released</w:t>
      </w:r>
      <w:r w:rsidRPr="00AE244E" w:rsidR="00561AA8">
        <w:rPr>
          <w:b/>
          <w:szCs w:val="22"/>
        </w:rPr>
        <w:t xml:space="preserve">: </w:t>
      </w:r>
      <w:r w:rsidRPr="00AE244E">
        <w:rPr>
          <w:b/>
          <w:szCs w:val="22"/>
        </w:rPr>
        <w:t xml:space="preserve"> </w:t>
      </w:r>
      <w:r w:rsidR="005D6D51">
        <w:rPr>
          <w:b/>
          <w:szCs w:val="22"/>
        </w:rPr>
        <w:t>November 1</w:t>
      </w:r>
      <w:r w:rsidRPr="00AE244E">
        <w:rPr>
          <w:b/>
          <w:szCs w:val="22"/>
        </w:rPr>
        <w:t>, 201</w:t>
      </w:r>
      <w:r w:rsidRPr="00AE244E" w:rsidR="0008173F">
        <w:rPr>
          <w:b/>
          <w:szCs w:val="22"/>
        </w:rPr>
        <w:t>9</w:t>
      </w:r>
    </w:p>
    <w:p w:rsidR="00C66856" w:rsidRPr="00AE244E">
      <w:pPr>
        <w:jc w:val="center"/>
        <w:rPr>
          <w:b/>
          <w:szCs w:val="22"/>
        </w:rPr>
      </w:pPr>
    </w:p>
    <w:p w:rsidR="00844086" w:rsidRPr="00AE244E" w:rsidP="0029344C">
      <w:pPr>
        <w:jc w:val="center"/>
        <w:rPr>
          <w:b/>
          <w:szCs w:val="22"/>
        </w:rPr>
      </w:pPr>
      <w:bookmarkStart w:id="0" w:name="OLE_LINK1"/>
      <w:bookmarkStart w:id="1" w:name="OLE_LINK2"/>
      <w:r w:rsidRPr="00AE244E">
        <w:rPr>
          <w:b/>
          <w:szCs w:val="22"/>
        </w:rPr>
        <w:t xml:space="preserve">PUBLIC SAFETY &amp; HOMELAND SECURITY BUREAU </w:t>
      </w:r>
      <w:bookmarkEnd w:id="0"/>
      <w:bookmarkEnd w:id="1"/>
      <w:r w:rsidRPr="00AE244E">
        <w:rPr>
          <w:b/>
          <w:szCs w:val="22"/>
        </w:rPr>
        <w:t xml:space="preserve">ANNOUNCES DEACTIVATION OF THE DISASTER INFORMATION REPORTING SYSTEM </w:t>
      </w:r>
    </w:p>
    <w:p w:rsidR="00C66856" w:rsidRPr="00AE244E" w:rsidP="00844086">
      <w:pPr>
        <w:tabs>
          <w:tab w:val="center" w:pos="5184"/>
        </w:tabs>
        <w:jc w:val="center"/>
        <w:rPr>
          <w:b/>
          <w:szCs w:val="22"/>
        </w:rPr>
      </w:pPr>
      <w:r>
        <w:rPr>
          <w:b/>
          <w:szCs w:val="22"/>
        </w:rPr>
        <w:t>REGARDING</w:t>
      </w:r>
      <w:r w:rsidRPr="00AE244E" w:rsidR="0097507D">
        <w:rPr>
          <w:b/>
          <w:szCs w:val="22"/>
        </w:rPr>
        <w:t xml:space="preserve"> </w:t>
      </w:r>
      <w:r w:rsidRPr="005D6D51" w:rsidR="005D6D51">
        <w:rPr>
          <w:b/>
          <w:szCs w:val="22"/>
        </w:rPr>
        <w:t>CALIFORNIA PUBLIC SAFETY POWER SHUTOFFS</w:t>
      </w:r>
    </w:p>
    <w:p w:rsidR="00C66856" w:rsidRPr="00AE244E" w:rsidP="0029344C">
      <w:pPr>
        <w:spacing w:after="120"/>
        <w:jc w:val="center"/>
        <w:rPr>
          <w:szCs w:val="22"/>
        </w:rPr>
      </w:pPr>
    </w:p>
    <w:p w:rsidR="00844086" w:rsidRPr="0029671B" w:rsidP="00AE244E">
      <w:pPr>
        <w:pStyle w:val="ParaNum0"/>
        <w:numPr>
          <w:ilvl w:val="0"/>
          <w:numId w:val="0"/>
        </w:numPr>
        <w:ind w:firstLine="720"/>
        <w:rPr>
          <w:color w:val="000000"/>
        </w:rPr>
      </w:pPr>
      <w:r w:rsidRPr="00AF7033">
        <w:t xml:space="preserve">At the request of the </w:t>
      </w:r>
      <w:r>
        <w:t xml:space="preserve">Department of Homeland </w:t>
      </w:r>
      <w:r>
        <w:t>Security, National Coordinating Center for Communications</w:t>
      </w:r>
      <w:r w:rsidR="00B85ADD">
        <w:t>,</w:t>
      </w:r>
      <w:r>
        <w:t xml:space="preserve"> and the </w:t>
      </w:r>
      <w:r w:rsidR="005E4388">
        <w:t>California Governor’s Office of Emergency Services</w:t>
      </w:r>
      <w:r>
        <w:t xml:space="preserve">, </w:t>
      </w:r>
      <w:r w:rsidRPr="00AF7033">
        <w:t>the Federal Communications Commission (FCC) has deactivated its Disaster Information Reporting System (DIRS)</w:t>
      </w:r>
      <w:r w:rsidR="00F31CFB">
        <w:t>.</w:t>
      </w:r>
      <w:r>
        <w:rPr>
          <w:rStyle w:val="FootnoteReference"/>
          <w:bCs/>
          <w:color w:val="000000"/>
          <w:sz w:val="24"/>
          <w:szCs w:val="24"/>
        </w:rPr>
        <w:footnoteReference w:id="2"/>
      </w:r>
      <w:r w:rsidR="000E21D2">
        <w:rPr>
          <w:bCs/>
          <w:color w:val="000000"/>
        </w:rPr>
        <w:t xml:space="preserve">  </w:t>
      </w:r>
      <w:r w:rsidRPr="000E21D2">
        <w:t xml:space="preserve">Communications providers </w:t>
      </w:r>
      <w:r w:rsidRPr="000E21D2">
        <w:t xml:space="preserve">do not need to provide any additional reporting in DIRS with respect to </w:t>
      </w:r>
      <w:r w:rsidR="005D6D51">
        <w:t>the California Public Safety Power Shutoffs</w:t>
      </w:r>
      <w:r w:rsidRPr="000E21D2">
        <w:t>.</w:t>
      </w:r>
      <w:r w:rsidRPr="0029671B">
        <w:t xml:space="preserve">  </w:t>
      </w:r>
      <w:r w:rsidRPr="000E21D2">
        <w:t>The</w:t>
      </w:r>
      <w:r w:rsidRPr="0029671B">
        <w:rPr>
          <w:rFonts w:cs="Calibri"/>
        </w:rPr>
        <w:t xml:space="preserve"> FCC will, however, continue to monitor the status of communications services and work with providers and government partners in these areas as needed to support remaining restoration efforts.</w:t>
      </w:r>
    </w:p>
    <w:p w:rsidR="00844086" w:rsidRPr="0029671B" w:rsidP="00AE244E">
      <w:pPr>
        <w:pStyle w:val="ParaNum0"/>
        <w:numPr>
          <w:ilvl w:val="0"/>
          <w:numId w:val="0"/>
        </w:numPr>
        <w:ind w:firstLine="720"/>
      </w:pPr>
      <w:r w:rsidRPr="0029671B">
        <w:t>The FCC appreciates the cooperation of all the communications p</w:t>
      </w:r>
      <w:r w:rsidRPr="0029671B">
        <w:t>roviders that have voluntarily submitted data to DIRS in</w:t>
      </w:r>
      <w:r>
        <w:t xml:space="preserve"> </w:t>
      </w:r>
      <w:r w:rsidR="005D6D51">
        <w:t xml:space="preserve">response </w:t>
      </w:r>
      <w:r w:rsidRPr="005D6D51" w:rsidR="005D6D51">
        <w:t>to th</w:t>
      </w:r>
      <w:bookmarkStart w:id="2" w:name="_GoBack"/>
      <w:bookmarkEnd w:id="2"/>
      <w:r w:rsidRPr="005D6D51" w:rsidR="005D6D51">
        <w:t>e California Public Safety Power Shutoffs.</w:t>
      </w:r>
      <w:r w:rsidR="005D6D51">
        <w:t xml:space="preserve">  </w:t>
      </w:r>
      <w:r w:rsidRPr="0029671B">
        <w:t xml:space="preserve">In </w:t>
      </w:r>
      <w:r w:rsidR="005D6D51">
        <w:t>these</w:t>
      </w:r>
      <w:r w:rsidRPr="0029671B">
        <w:t xml:space="preserve"> situations, information on the operational status of communications services provides critical situational awareness and supports ef</w:t>
      </w:r>
      <w:r w:rsidRPr="0029671B">
        <w:t xml:space="preserve">fective emergency response and restoration efforts.  </w:t>
      </w:r>
    </w:p>
    <w:p w:rsidR="00844086" w:rsidP="00AE244E">
      <w:pPr>
        <w:pStyle w:val="ParaNum0"/>
        <w:numPr>
          <w:ilvl w:val="0"/>
          <w:numId w:val="0"/>
        </w:numPr>
        <w:ind w:firstLine="720"/>
      </w:pPr>
      <w:r w:rsidRPr="0029671B">
        <w:t xml:space="preserve">All FCC releases in connection with </w:t>
      </w:r>
      <w:r w:rsidRPr="005D6D51" w:rsidR="005D6D51">
        <w:t>the California Public Safety Power Shutoffs</w:t>
      </w:r>
      <w:r w:rsidR="005D6D51">
        <w:t xml:space="preserve"> </w:t>
      </w:r>
      <w:r w:rsidRPr="0029671B">
        <w:t>may be found</w:t>
      </w:r>
      <w:r>
        <w:t xml:space="preserve"> at </w:t>
      </w:r>
      <w:hyperlink r:id="rId5" w:history="1">
        <w:r w:rsidRPr="005F2061" w:rsidR="00091517">
          <w:rPr>
            <w:rStyle w:val="Hyperlink"/>
          </w:rPr>
          <w:t>https://www.fcc.gov/powershutoff</w:t>
        </w:r>
      </w:hyperlink>
      <w:r w:rsidRPr="00F31CFB" w:rsidR="000E21D2">
        <w:rPr>
          <w:rStyle w:val="Hyperlink"/>
          <w:u w:val="none"/>
        </w:rPr>
        <w:t>.</w:t>
      </w:r>
      <w:r w:rsidRPr="00F31CFB" w:rsidR="00091517">
        <w:rPr>
          <w:rStyle w:val="Hyperlink"/>
          <w:u w:val="none"/>
        </w:rPr>
        <w:t xml:space="preserve">  </w:t>
      </w:r>
      <w:r w:rsidRPr="000E21D2" w:rsidR="000E21D2">
        <w:t xml:space="preserve">The FCC published its final daily communications status report for </w:t>
      </w:r>
      <w:r w:rsidRPr="005D6D51">
        <w:t>California Public Safety Power Shutoffs</w:t>
      </w:r>
      <w:r w:rsidRPr="000E21D2">
        <w:t xml:space="preserve"> </w:t>
      </w:r>
      <w:r w:rsidRPr="000E21D2" w:rsidR="000E21D2">
        <w:t xml:space="preserve">today, </w:t>
      </w:r>
      <w:r w:rsidR="005D6D51">
        <w:t>November 1, 2019</w:t>
      </w:r>
      <w:r w:rsidRPr="000E21D2" w:rsidR="000E21D2">
        <w:t>.</w:t>
      </w:r>
    </w:p>
    <w:p w:rsidR="00844086" w:rsidP="00AE244E">
      <w:pPr>
        <w:pStyle w:val="ParaNum0"/>
        <w:numPr>
          <w:ilvl w:val="0"/>
          <w:numId w:val="0"/>
        </w:numPr>
        <w:ind w:firstLine="720"/>
      </w:pPr>
      <w:r w:rsidRPr="0029671B">
        <w:t>For further information, please contact John Healy of the Public Safety and Homeland Security Bureau’s Cybersecurity and Communications Reliability Division at (215) 847</w:t>
      </w:r>
      <w:r w:rsidRPr="0029671B">
        <w:t xml:space="preserve">-8094 or </w:t>
      </w:r>
      <w:hyperlink r:id="rId6" w:history="1">
        <w:r w:rsidRPr="0029671B">
          <w:rPr>
            <w:rStyle w:val="Hyperlink"/>
            <w:sz w:val="24"/>
            <w:szCs w:val="24"/>
          </w:rPr>
          <w:t>John.Healy@fcc.gov</w:t>
        </w:r>
      </w:hyperlink>
      <w:r w:rsidRPr="0029671B">
        <w:t xml:space="preserve">.  </w:t>
      </w:r>
    </w:p>
    <w:p w:rsidR="00C66856" w:rsidRPr="00AE244E">
      <w:pPr>
        <w:rPr>
          <w:szCs w:val="22"/>
        </w:rPr>
      </w:pPr>
    </w:p>
    <w:p w:rsidR="00C66856" w:rsidRPr="00AE244E">
      <w:pPr>
        <w:jc w:val="center"/>
        <w:rPr>
          <w:szCs w:val="22"/>
        </w:rPr>
      </w:pPr>
      <w:r w:rsidRPr="00AE244E">
        <w:rPr>
          <w:szCs w:val="22"/>
        </w:rPr>
        <w:t xml:space="preserve">- </w:t>
      </w:r>
      <w:r w:rsidRPr="00AE244E">
        <w:rPr>
          <w:b/>
          <w:szCs w:val="22"/>
        </w:rPr>
        <w:t>FCC</w:t>
      </w:r>
      <w:r w:rsidRPr="00AE244E">
        <w:rPr>
          <w:szCs w:val="22"/>
        </w:rPr>
        <w:t xml:space="preserve"> -</w:t>
      </w:r>
    </w:p>
    <w:sectPr w:rsidSect="00AE244E">
      <w:footerReference w:type="default" r:id="rId7"/>
      <w:headerReference w:type="first" r:id="rId8"/>
      <w:footerReference w:type="first" r:id="rId9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143">
      <w:rPr>
        <w:noProof/>
      </w:rPr>
      <w:t>2</w:t>
    </w:r>
    <w:r>
      <w:fldChar w:fldCharType="end"/>
    </w:r>
  </w:p>
  <w:p w:rsidR="00C6685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44C" w:rsidP="0029344C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109D8">
      <w:r>
        <w:separator/>
      </w:r>
    </w:p>
  </w:footnote>
  <w:footnote w:type="continuationSeparator" w:id="1">
    <w:p w:rsidR="00A109D8">
      <w:r>
        <w:continuationSeparator/>
      </w:r>
    </w:p>
  </w:footnote>
  <w:footnote w:id="2">
    <w:p w:rsidR="00844086" w:rsidP="00844086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DIRS is a voluntary, web-based system that communications providers, including wireless, wireline, broadcast, cable and Voice over Internet Protocol providers, can use to report communicat</w:t>
      </w:r>
      <w:r>
        <w:rPr>
          <w:sz w:val="18"/>
          <w:szCs w:val="18"/>
        </w:rPr>
        <w:t>ions infrastructure status and situational awareness information during times of crisis.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6D51" w:rsidP="005D6D51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-83820</wp:posOffset>
          </wp:positionH>
          <wp:positionV relativeFrom="paragraph">
            <wp:posOffset>66040</wp:posOffset>
          </wp:positionV>
          <wp:extent cx="664845" cy="664845"/>
          <wp:effectExtent l="0" t="0" r="0" b="0"/>
          <wp:wrapTopAndBottom/>
          <wp:docPr id="10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184719" name="Picture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6856" w:rsidP="005D6D51">
    <w:pPr>
      <w:pStyle w:val="Header"/>
    </w:pPr>
    <w:r>
      <w:t>PUBLIC NOTICE</w:t>
    </w:r>
  </w:p>
  <w:p w:rsidR="00AE244E" w:rsidP="005D6D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-57150</wp:posOffset>
              </wp:positionH>
              <wp:positionV relativeFrom="paragraph">
                <wp:posOffset>70485</wp:posOffset>
              </wp:positionV>
              <wp:extent cx="3108960" cy="590550"/>
              <wp:effectExtent l="0" t="381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856">
                          <w:pPr>
                            <w:jc w:val="both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6685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C66856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PersonName">
                                <w:smartTag w:uri="urn:schemas-microsoft-com:office:smarttags" w:element="State"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D.C.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20554</w:t>
                                </w:r>
                              </w:smartTag>
                            </w:smartTag>
                          </w:smartTag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244.8pt;height:46.5pt;margin-top:5.55pt;margin-left:-4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C66856">
                    <w:pPr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66856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C66856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b/>
                            </w:rPr>
                            <w:t>Washington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, </w:t>
                        </w:r>
                        <w:smartTag w:uri="urn:schemas-microsoft-com:office:smarttags" w:element="PersonName">
                          <w:smartTag w:uri="urn:schemas-microsoft-com:office:smarttags" w:element="State">
                            <w:r>
                              <w:rPr>
                                <w:rFonts w:ascii="Arial" w:hAnsi="Arial"/>
                                <w:b/>
                              </w:rPr>
                              <w:t>D.C.</w:t>
                            </w:r>
                          </w:smartTag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b/>
                            </w:rPr>
                            <w:t>20554</w:t>
                          </w:r>
                        </w:smartTag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165735</wp:posOffset>
              </wp:positionV>
              <wp:extent cx="2640965" cy="495300"/>
              <wp:effectExtent l="0" t="3810" r="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856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News Media Information 202 /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418-0500</w:t>
                          </w:r>
                        </w:p>
                        <w:p w:rsidR="00C66856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3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66856" w:rsidRPr="00AE244E" w:rsidP="00AE244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0" type="#_x0000_t202" style="width:207.95pt;height:39pt;margin-top:13.05pt;margin-left:27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C66856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News Media Information 202 /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418-0500</w:t>
                    </w:r>
                  </w:p>
                  <w:p w:rsidR="00C66856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3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66856" w:rsidRPr="00AE244E" w:rsidP="00AE244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C66856" w:rsidP="005D6D51">
    <w:pPr>
      <w:pStyle w:val="Header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47625</wp:posOffset>
              </wp:positionH>
              <wp:positionV relativeFrom="paragraph">
                <wp:posOffset>5715</wp:posOffset>
              </wp:positionV>
              <wp:extent cx="5943600" cy="0"/>
              <wp:effectExtent l="9525" t="5715" r="9525" b="13335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5pt,0.45pt" to="471.75pt,0.45pt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458D3"/>
    <w:multiLevelType w:val="hybridMultilevel"/>
    <w:tmpl w:val="D9B2F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6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7">
    <w:nsid w:val="473C09E7"/>
    <w:multiLevelType w:val="hybridMultilevel"/>
    <w:tmpl w:val="99D2B054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E34F9"/>
    <w:multiLevelType w:val="hybridMultilevel"/>
    <w:tmpl w:val="D432F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1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2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3">
    <w:nsid w:val="5A27534E"/>
    <w:multiLevelType w:val="hybridMultilevel"/>
    <w:tmpl w:val="43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5">
    <w:nsid w:val="5D6C487E"/>
    <w:multiLevelType w:val="hybridMultilevel"/>
    <w:tmpl w:val="89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62790EE5"/>
    <w:multiLevelType w:val="hybridMultilevel"/>
    <w:tmpl w:val="15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D460F"/>
    <w:multiLevelType w:val="hybridMultilevel"/>
    <w:tmpl w:val="A5CAE042"/>
    <w:lvl w:ilvl="0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7"/>
  </w:num>
  <w:num w:numId="15">
    <w:abstractNumId w:val="0"/>
  </w:num>
  <w:num w:numId="16">
    <w:abstractNumId w:val="7"/>
  </w:num>
  <w:num w:numId="17">
    <w:abstractNumId w:val="8"/>
  </w:num>
  <w:num w:numId="18">
    <w:abstractNumId w:val="18"/>
  </w:num>
  <w:num w:numId="19">
    <w:abstractNumId w:val="13"/>
  </w:num>
  <w:num w:numId="20">
    <w:abstractNumId w:val="2"/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1B"/>
    <w:rsid w:val="000370A7"/>
    <w:rsid w:val="00042368"/>
    <w:rsid w:val="00076F11"/>
    <w:rsid w:val="0008173F"/>
    <w:rsid w:val="00084A19"/>
    <w:rsid w:val="00091517"/>
    <w:rsid w:val="000E21D2"/>
    <w:rsid w:val="00157E7D"/>
    <w:rsid w:val="00160CCC"/>
    <w:rsid w:val="001869BD"/>
    <w:rsid w:val="0019425B"/>
    <w:rsid w:val="001A4D9E"/>
    <w:rsid w:val="001B264B"/>
    <w:rsid w:val="002526CE"/>
    <w:rsid w:val="0029344C"/>
    <w:rsid w:val="0029671B"/>
    <w:rsid w:val="002E7143"/>
    <w:rsid w:val="00383306"/>
    <w:rsid w:val="003C26B3"/>
    <w:rsid w:val="00422BF8"/>
    <w:rsid w:val="004A523D"/>
    <w:rsid w:val="004B6ED4"/>
    <w:rsid w:val="00504CE4"/>
    <w:rsid w:val="0054638A"/>
    <w:rsid w:val="00561AA8"/>
    <w:rsid w:val="005A6E08"/>
    <w:rsid w:val="005D6D51"/>
    <w:rsid w:val="005E4388"/>
    <w:rsid w:val="005F2061"/>
    <w:rsid w:val="00621197"/>
    <w:rsid w:val="00630B6D"/>
    <w:rsid w:val="00682FD7"/>
    <w:rsid w:val="0068755E"/>
    <w:rsid w:val="006C1BD9"/>
    <w:rsid w:val="00704E50"/>
    <w:rsid w:val="007067F9"/>
    <w:rsid w:val="0073083E"/>
    <w:rsid w:val="00761840"/>
    <w:rsid w:val="007C331F"/>
    <w:rsid w:val="007E0FB0"/>
    <w:rsid w:val="007F2DB8"/>
    <w:rsid w:val="00812B05"/>
    <w:rsid w:val="00844086"/>
    <w:rsid w:val="008B3972"/>
    <w:rsid w:val="008E4556"/>
    <w:rsid w:val="00942574"/>
    <w:rsid w:val="0097507D"/>
    <w:rsid w:val="0098702E"/>
    <w:rsid w:val="009B0810"/>
    <w:rsid w:val="009D09AC"/>
    <w:rsid w:val="009F6F62"/>
    <w:rsid w:val="00A109D8"/>
    <w:rsid w:val="00A23C96"/>
    <w:rsid w:val="00A351F6"/>
    <w:rsid w:val="00A84845"/>
    <w:rsid w:val="00A90239"/>
    <w:rsid w:val="00AD71A1"/>
    <w:rsid w:val="00AE244E"/>
    <w:rsid w:val="00AE3881"/>
    <w:rsid w:val="00AF7033"/>
    <w:rsid w:val="00B13C36"/>
    <w:rsid w:val="00B262AF"/>
    <w:rsid w:val="00B85ADD"/>
    <w:rsid w:val="00BD2D0F"/>
    <w:rsid w:val="00C37299"/>
    <w:rsid w:val="00C66856"/>
    <w:rsid w:val="00C72073"/>
    <w:rsid w:val="00CA1E1B"/>
    <w:rsid w:val="00CF1F99"/>
    <w:rsid w:val="00D06356"/>
    <w:rsid w:val="00E279E5"/>
    <w:rsid w:val="00E41B65"/>
    <w:rsid w:val="00E51222"/>
    <w:rsid w:val="00E76079"/>
    <w:rsid w:val="00ED2EA3"/>
    <w:rsid w:val="00ED7E35"/>
    <w:rsid w:val="00EE0FFD"/>
    <w:rsid w:val="00F21F7B"/>
    <w:rsid w:val="00F31CFB"/>
    <w:rsid w:val="00F56D40"/>
    <w:rsid w:val="00FE1EEF"/>
    <w:rsid w:val="00FE7E8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7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942574"/>
    <w:pPr>
      <w:keepNext/>
      <w:numPr>
        <w:numId w:val="2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942574"/>
    <w:pPr>
      <w:keepNext/>
      <w:numPr>
        <w:ilvl w:val="1"/>
        <w:numId w:val="2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942574"/>
    <w:pPr>
      <w:keepNext/>
      <w:numPr>
        <w:ilvl w:val="2"/>
        <w:numId w:val="2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942574"/>
    <w:pPr>
      <w:keepNext/>
      <w:numPr>
        <w:ilvl w:val="3"/>
        <w:numId w:val="2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942574"/>
    <w:pPr>
      <w:keepNext/>
      <w:numPr>
        <w:ilvl w:val="4"/>
        <w:numId w:val="2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942574"/>
    <w:pPr>
      <w:numPr>
        <w:ilvl w:val="5"/>
        <w:numId w:val="2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942574"/>
    <w:pPr>
      <w:numPr>
        <w:ilvl w:val="6"/>
        <w:numId w:val="2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942574"/>
    <w:pPr>
      <w:numPr>
        <w:ilvl w:val="7"/>
        <w:numId w:val="2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942574"/>
    <w:pPr>
      <w:numPr>
        <w:ilvl w:val="8"/>
        <w:numId w:val="2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9425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2574"/>
  </w:style>
  <w:style w:type="paragraph" w:styleId="Header">
    <w:name w:val="header"/>
    <w:basedOn w:val="Normal"/>
    <w:autoRedefine/>
    <w:rsid w:val="00942574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942574"/>
    <w:pPr>
      <w:tabs>
        <w:tab w:val="center" w:pos="4320"/>
        <w:tab w:val="right" w:pos="8640"/>
      </w:tabs>
    </w:pPr>
  </w:style>
  <w:style w:type="character" w:styleId="Hyperlink">
    <w:name w:val="Hyperlink"/>
    <w:rsid w:val="00942574"/>
    <w:rPr>
      <w:color w:val="0000FF"/>
      <w:u w:val="single"/>
    </w:rPr>
  </w:style>
  <w:style w:type="paragraph" w:styleId="BlockText">
    <w:name w:val="Block Text"/>
    <w:basedOn w:val="Normal"/>
    <w:rsid w:val="00942574"/>
    <w:pPr>
      <w:spacing w:after="240"/>
      <w:ind w:left="1440" w:right="1440"/>
    </w:pPr>
  </w:style>
  <w:style w:type="paragraph" w:customStyle="1" w:styleId="Bullet">
    <w:name w:val="Bullet"/>
    <w:basedOn w:val="Normal"/>
    <w:rsid w:val="00942574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sid w:val="00942574"/>
    <w:rPr>
      <w:rFonts w:ascii="Times New Roman" w:hAnsi="Times New Roman"/>
      <w:dstrike w:val="0"/>
      <w:color w:val="auto"/>
      <w:sz w:val="22"/>
      <w:vertAlign w:val="superscript"/>
    </w:rPr>
  </w:style>
  <w:style w:type="paragraph" w:styleId="FootnoteText">
    <w:name w:val="footnote text"/>
    <w:link w:val="FootnoteTextChar"/>
    <w:semiHidden/>
    <w:rsid w:val="00942574"/>
    <w:pPr>
      <w:spacing w:after="12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uiPriority w:val="39"/>
    <w:rsid w:val="0094257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locked/>
    <w:rsid w:val="00942574"/>
    <w:rPr>
      <w:snapToGrid w:val="0"/>
      <w:kern w:val="28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FootnoteTextChar">
    <w:name w:val="Footnote Text Char"/>
    <w:basedOn w:val="DefaultParagraphFont"/>
    <w:link w:val="FootnoteText"/>
    <w:semiHidden/>
    <w:rsid w:val="00844086"/>
  </w:style>
  <w:style w:type="paragraph" w:customStyle="1" w:styleId="ParaNum0">
    <w:name w:val="ParaNum"/>
    <w:basedOn w:val="Normal"/>
    <w:rsid w:val="00942574"/>
    <w:pPr>
      <w:numPr>
        <w:numId w:val="21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rsid w:val="00942574"/>
    <w:rPr>
      <w:sz w:val="20"/>
    </w:rPr>
  </w:style>
  <w:style w:type="character" w:customStyle="1" w:styleId="EndnoteTextChar">
    <w:name w:val="Endnote Text Char"/>
    <w:link w:val="EndnoteText"/>
    <w:rsid w:val="00AE244E"/>
    <w:rPr>
      <w:snapToGrid w:val="0"/>
      <w:kern w:val="28"/>
    </w:rPr>
  </w:style>
  <w:style w:type="character" w:styleId="EndnoteReference">
    <w:name w:val="endnote reference"/>
    <w:rsid w:val="00942574"/>
    <w:rPr>
      <w:vertAlign w:val="superscript"/>
    </w:rPr>
  </w:style>
  <w:style w:type="paragraph" w:styleId="TOC2">
    <w:name w:val="toc 2"/>
    <w:basedOn w:val="Normal"/>
    <w:next w:val="Normal"/>
    <w:rsid w:val="0094257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rsid w:val="0094257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rsid w:val="0094257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rsid w:val="0094257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rsid w:val="0094257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rsid w:val="0094257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rsid w:val="0094257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rsid w:val="0094257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rsid w:val="0094257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42574"/>
  </w:style>
  <w:style w:type="character" w:styleId="PageNumber">
    <w:name w:val="page number"/>
    <w:basedOn w:val="DefaultParagraphFont"/>
    <w:rsid w:val="00942574"/>
  </w:style>
  <w:style w:type="paragraph" w:customStyle="1" w:styleId="Paratitle">
    <w:name w:val="Para title"/>
    <w:basedOn w:val="Normal"/>
    <w:rsid w:val="00942574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942574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4257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4257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UnresolvedMention1">
    <w:name w:val="Unresolved Mention1"/>
    <w:basedOn w:val="DefaultParagraphFont"/>
    <w:rsid w:val="0009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powershutoff" TargetMode="External" /><Relationship Id="rId6" Type="http://schemas.openxmlformats.org/officeDocument/2006/relationships/hyperlink" Target="mailto:John.Healy@fcc.gov" TargetMode="Externa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