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8F1448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DEC6EF" w14:textId="77777777">
      <w:pPr>
        <w:pStyle w:val="StyleBoldCentered"/>
      </w:pPr>
      <w:r>
        <w:t>F</w:t>
      </w:r>
      <w:r>
        <w:rPr>
          <w:caps w:val="0"/>
        </w:rPr>
        <w:t>ederal Communications Commission</w:t>
      </w:r>
    </w:p>
    <w:p w:rsidR="004C2EE3" w:rsidP="00096D8C" w14:paraId="2F829B36" w14:textId="77777777">
      <w:pPr>
        <w:pStyle w:val="StyleBoldCentered"/>
      </w:pPr>
      <w:r>
        <w:rPr>
          <w:caps w:val="0"/>
        </w:rPr>
        <w:t>Washington, D.C. 20554</w:t>
      </w:r>
    </w:p>
    <w:p w:rsidR="004C2EE3" w:rsidP="0070224F" w14:paraId="40893F08" w14:textId="77777777"/>
    <w:p w:rsidR="004C2EE3" w:rsidP="0070224F" w14:paraId="6C43FCA1" w14:textId="77777777"/>
    <w:tbl>
      <w:tblPr>
        <w:tblW w:w="0" w:type="auto"/>
        <w:tblLayout w:type="fixed"/>
        <w:tblLook w:val="0000"/>
      </w:tblPr>
      <w:tblGrid>
        <w:gridCol w:w="4698"/>
        <w:gridCol w:w="630"/>
        <w:gridCol w:w="4248"/>
      </w:tblGrid>
      <w:tr w14:paraId="7812FA3A" w14:textId="77777777">
        <w:tblPrEx>
          <w:tblW w:w="0" w:type="auto"/>
          <w:tblLayout w:type="fixed"/>
          <w:tblLook w:val="0000"/>
        </w:tblPrEx>
        <w:tc>
          <w:tcPr>
            <w:tcW w:w="4698" w:type="dxa"/>
          </w:tcPr>
          <w:p w:rsidR="004C2EE3" w14:paraId="073FADD1" w14:textId="77777777">
            <w:pPr>
              <w:tabs>
                <w:tab w:val="center" w:pos="4680"/>
              </w:tabs>
              <w:suppressAutoHyphens/>
              <w:rPr>
                <w:spacing w:val="-2"/>
              </w:rPr>
            </w:pPr>
            <w:r>
              <w:rPr>
                <w:spacing w:val="-2"/>
              </w:rPr>
              <w:t>In the Matter of</w:t>
            </w:r>
          </w:p>
          <w:p w:rsidR="004C2EE3" w14:paraId="30FBF22F" w14:textId="77777777">
            <w:pPr>
              <w:tabs>
                <w:tab w:val="center" w:pos="4680"/>
              </w:tabs>
              <w:suppressAutoHyphens/>
              <w:rPr>
                <w:spacing w:val="-2"/>
              </w:rPr>
            </w:pPr>
          </w:p>
          <w:p w:rsidR="004C2EE3" w:rsidP="007115F7" w14:paraId="4C86C4F3" w14:textId="77777777">
            <w:pPr>
              <w:tabs>
                <w:tab w:val="center" w:pos="4680"/>
              </w:tabs>
              <w:suppressAutoHyphens/>
              <w:rPr>
                <w:spacing w:val="-2"/>
              </w:rPr>
            </w:pPr>
            <w:r>
              <w:rPr>
                <w:spacing w:val="-2"/>
              </w:rPr>
              <w:t>Procedural Streamlining of Administrative</w:t>
            </w:r>
          </w:p>
          <w:p w:rsidR="00CC661A" w:rsidRPr="007115F7" w:rsidP="007115F7" w14:paraId="693E69E1" w14:textId="77777777">
            <w:pPr>
              <w:tabs>
                <w:tab w:val="center" w:pos="4680"/>
              </w:tabs>
              <w:suppressAutoHyphens/>
              <w:rPr>
                <w:spacing w:val="-2"/>
              </w:rPr>
            </w:pPr>
            <w:r>
              <w:rPr>
                <w:spacing w:val="-2"/>
              </w:rPr>
              <w:t>Hearings</w:t>
            </w:r>
          </w:p>
        </w:tc>
        <w:tc>
          <w:tcPr>
            <w:tcW w:w="630" w:type="dxa"/>
          </w:tcPr>
          <w:p w:rsidR="004C2EE3" w14:paraId="1A70C125" w14:textId="77777777">
            <w:pPr>
              <w:tabs>
                <w:tab w:val="center" w:pos="4680"/>
              </w:tabs>
              <w:suppressAutoHyphens/>
              <w:rPr>
                <w:b/>
                <w:spacing w:val="-2"/>
              </w:rPr>
            </w:pPr>
            <w:r>
              <w:rPr>
                <w:b/>
                <w:spacing w:val="-2"/>
              </w:rPr>
              <w:t>)</w:t>
            </w:r>
          </w:p>
          <w:p w:rsidR="004C2EE3" w14:paraId="72AE6B33" w14:textId="77777777">
            <w:pPr>
              <w:tabs>
                <w:tab w:val="center" w:pos="4680"/>
              </w:tabs>
              <w:suppressAutoHyphens/>
              <w:rPr>
                <w:b/>
                <w:spacing w:val="-2"/>
              </w:rPr>
            </w:pPr>
            <w:r>
              <w:rPr>
                <w:b/>
                <w:spacing w:val="-2"/>
              </w:rPr>
              <w:t>)</w:t>
            </w:r>
          </w:p>
          <w:p w:rsidR="004C2EE3" w14:paraId="28537DAA" w14:textId="77777777">
            <w:pPr>
              <w:tabs>
                <w:tab w:val="center" w:pos="4680"/>
              </w:tabs>
              <w:suppressAutoHyphens/>
              <w:rPr>
                <w:b/>
                <w:spacing w:val="-2"/>
              </w:rPr>
            </w:pPr>
            <w:r>
              <w:rPr>
                <w:b/>
                <w:spacing w:val="-2"/>
              </w:rPr>
              <w:t>)</w:t>
            </w:r>
          </w:p>
          <w:p w:rsidR="004C2EE3" w14:paraId="2608993C" w14:textId="77777777">
            <w:pPr>
              <w:tabs>
                <w:tab w:val="center" w:pos="4680"/>
              </w:tabs>
              <w:suppressAutoHyphens/>
              <w:rPr>
                <w:b/>
                <w:spacing w:val="-2"/>
              </w:rPr>
            </w:pPr>
            <w:r>
              <w:rPr>
                <w:b/>
                <w:spacing w:val="-2"/>
              </w:rPr>
              <w:t>)</w:t>
            </w:r>
          </w:p>
          <w:p w:rsidR="004C2EE3" w14:paraId="32EB484C" w14:textId="77777777">
            <w:pPr>
              <w:tabs>
                <w:tab w:val="center" w:pos="4680"/>
              </w:tabs>
              <w:suppressAutoHyphens/>
              <w:rPr>
                <w:b/>
                <w:spacing w:val="-2"/>
              </w:rPr>
            </w:pPr>
            <w:r>
              <w:rPr>
                <w:b/>
                <w:spacing w:val="-2"/>
              </w:rPr>
              <w:t>)</w:t>
            </w:r>
          </w:p>
          <w:p w:rsidR="004C2EE3" w14:paraId="0741599D" w14:textId="77777777">
            <w:pPr>
              <w:tabs>
                <w:tab w:val="center" w:pos="4680"/>
              </w:tabs>
              <w:suppressAutoHyphens/>
              <w:rPr>
                <w:b/>
                <w:spacing w:val="-2"/>
              </w:rPr>
            </w:pPr>
            <w:r>
              <w:rPr>
                <w:b/>
                <w:spacing w:val="-2"/>
              </w:rPr>
              <w:t>)</w:t>
            </w:r>
          </w:p>
          <w:p w:rsidR="004C2EE3" w14:paraId="711792E1" w14:textId="77777777">
            <w:pPr>
              <w:tabs>
                <w:tab w:val="center" w:pos="4680"/>
              </w:tabs>
              <w:suppressAutoHyphens/>
              <w:rPr>
                <w:b/>
                <w:spacing w:val="-2"/>
              </w:rPr>
            </w:pPr>
            <w:r>
              <w:rPr>
                <w:b/>
                <w:spacing w:val="-2"/>
              </w:rPr>
              <w:t>)</w:t>
            </w:r>
          </w:p>
          <w:p w:rsidR="004C2EE3" w14:paraId="306AC071" w14:textId="77777777">
            <w:pPr>
              <w:tabs>
                <w:tab w:val="center" w:pos="4680"/>
              </w:tabs>
              <w:suppressAutoHyphens/>
              <w:rPr>
                <w:b/>
                <w:spacing w:val="-2"/>
              </w:rPr>
            </w:pPr>
            <w:r>
              <w:rPr>
                <w:b/>
                <w:spacing w:val="-2"/>
              </w:rPr>
              <w:t>)</w:t>
            </w:r>
          </w:p>
          <w:p w:rsidR="004C2EE3" w14:paraId="0A658EE3" w14:textId="77777777">
            <w:pPr>
              <w:tabs>
                <w:tab w:val="center" w:pos="4680"/>
              </w:tabs>
              <w:suppressAutoHyphens/>
              <w:rPr>
                <w:spacing w:val="-2"/>
              </w:rPr>
            </w:pPr>
            <w:r>
              <w:rPr>
                <w:b/>
                <w:spacing w:val="-2"/>
              </w:rPr>
              <w:t>)</w:t>
            </w:r>
          </w:p>
        </w:tc>
        <w:tc>
          <w:tcPr>
            <w:tcW w:w="4248" w:type="dxa"/>
          </w:tcPr>
          <w:p w:rsidR="004C2EE3" w14:paraId="75275A27" w14:textId="77777777">
            <w:pPr>
              <w:tabs>
                <w:tab w:val="center" w:pos="4680"/>
              </w:tabs>
              <w:suppressAutoHyphens/>
              <w:rPr>
                <w:spacing w:val="-2"/>
              </w:rPr>
            </w:pPr>
          </w:p>
          <w:p w:rsidR="004C2EE3" w14:paraId="01BA7326" w14:textId="77777777">
            <w:pPr>
              <w:pStyle w:val="TOAHeading"/>
              <w:tabs>
                <w:tab w:val="center" w:pos="4680"/>
                <w:tab w:val="clear" w:pos="9360"/>
              </w:tabs>
              <w:rPr>
                <w:spacing w:val="-2"/>
              </w:rPr>
            </w:pPr>
          </w:p>
          <w:p w:rsidR="004C2EE3" w14:paraId="68E01859" w14:textId="77777777">
            <w:pPr>
              <w:tabs>
                <w:tab w:val="center" w:pos="4680"/>
              </w:tabs>
              <w:suppressAutoHyphens/>
              <w:rPr>
                <w:spacing w:val="-2"/>
              </w:rPr>
            </w:pPr>
            <w:r>
              <w:rPr>
                <w:spacing w:val="-2"/>
              </w:rPr>
              <w:t>EB Docket No. 19-214</w:t>
            </w:r>
          </w:p>
        </w:tc>
      </w:tr>
    </w:tbl>
    <w:p w:rsidR="004C2EE3" w:rsidP="0070224F" w14:paraId="0B16897F" w14:textId="77777777"/>
    <w:p w:rsidR="00841AB1" w:rsidP="00F021FA" w14:paraId="7AA57B84" w14:textId="77777777">
      <w:pPr>
        <w:pStyle w:val="StyleBoldCentered"/>
      </w:pPr>
      <w:r>
        <w:t>Order</w:t>
      </w:r>
    </w:p>
    <w:p w:rsidR="004C2EE3" w14:paraId="39806180" w14:textId="77777777">
      <w:pPr>
        <w:tabs>
          <w:tab w:val="left" w:pos="-720"/>
        </w:tabs>
        <w:suppressAutoHyphens/>
        <w:spacing w:line="227" w:lineRule="auto"/>
        <w:rPr>
          <w:spacing w:val="-2"/>
        </w:rPr>
      </w:pPr>
    </w:p>
    <w:p w:rsidR="004C2EE3" w:rsidP="00133F79" w14:paraId="0D2950BB" w14:textId="4BB5B1E8">
      <w:pPr>
        <w:tabs>
          <w:tab w:val="left" w:pos="720"/>
          <w:tab w:val="right" w:pos="9360"/>
        </w:tabs>
        <w:suppressAutoHyphens/>
        <w:spacing w:line="227" w:lineRule="auto"/>
        <w:rPr>
          <w:spacing w:val="-2"/>
        </w:rPr>
      </w:pPr>
      <w:r>
        <w:rPr>
          <w:b/>
          <w:spacing w:val="-2"/>
        </w:rPr>
        <w:t xml:space="preserve">Adopted:  </w:t>
      </w:r>
      <w:r w:rsidR="004E031B">
        <w:rPr>
          <w:b/>
          <w:spacing w:val="-2"/>
        </w:rPr>
        <w:t>November 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031B">
        <w:rPr>
          <w:b/>
          <w:spacing w:val="-2"/>
        </w:rPr>
        <w:t>November 4, 2019</w:t>
      </w:r>
    </w:p>
    <w:p w:rsidR="00822CE0" w14:paraId="050AD8A0" w14:textId="77777777"/>
    <w:p w:rsidR="00822CE0" w14:paraId="0C251891" w14:textId="77777777">
      <w:pPr>
        <w:rPr>
          <w:spacing w:val="-2"/>
        </w:rPr>
      </w:pPr>
      <w:r>
        <w:t xml:space="preserve">By </w:t>
      </w:r>
      <w:r w:rsidR="004E4A22">
        <w:t>the</w:t>
      </w:r>
      <w:r w:rsidR="00CC661A">
        <w:rPr>
          <w:spacing w:val="-2"/>
        </w:rPr>
        <w:t xml:space="preserve"> Chief, Enforcement  Bureau</w:t>
      </w:r>
      <w:r w:rsidR="00D926D7">
        <w:rPr>
          <w:spacing w:val="-2"/>
        </w:rPr>
        <w:t>:</w:t>
      </w:r>
    </w:p>
    <w:p w:rsidR="00412FC5" w:rsidP="00E9220D" w14:paraId="062C2D20" w14:textId="77777777">
      <w:pPr>
        <w:pStyle w:val="Heading1"/>
        <w:numPr>
          <w:ilvl w:val="0"/>
          <w:numId w:val="0"/>
        </w:numPr>
        <w:ind w:left="720" w:hanging="720"/>
      </w:pPr>
    </w:p>
    <w:p w:rsidR="00E9220D" w:rsidP="007633CF" w14:paraId="1056C454" w14:textId="511A134D">
      <w:pPr>
        <w:pStyle w:val="ParaNum"/>
      </w:pPr>
      <w:r w:rsidRPr="00C879D9">
        <w:t xml:space="preserve">By this </w:t>
      </w:r>
      <w:r>
        <w:t>Order</w:t>
      </w:r>
      <w:r w:rsidRPr="00C879D9">
        <w:t xml:space="preserve">, the Enforcement Bureau </w:t>
      </w:r>
      <w:r w:rsidR="00C879D9">
        <w:t xml:space="preserve">denies the request of New Civil Liberties Alliance (NCLA) to </w:t>
      </w:r>
      <w:r w:rsidRPr="00C879D9">
        <w:t>extend the comment</w:t>
      </w:r>
      <w:r w:rsidR="00C879D9">
        <w:t xml:space="preserve"> </w:t>
      </w:r>
      <w:r w:rsidR="00F85D79">
        <w:t>deadline</w:t>
      </w:r>
      <w:r w:rsidR="00C879D9">
        <w:t xml:space="preserve"> </w:t>
      </w:r>
      <w:r w:rsidRPr="00C879D9">
        <w:t>in the above-</w:t>
      </w:r>
      <w:r w:rsidR="00C879D9">
        <w:t>caption</w:t>
      </w:r>
      <w:r w:rsidRPr="00C879D9">
        <w:t>ed proceeding.</w:t>
      </w:r>
      <w:r>
        <w:rPr>
          <w:rStyle w:val="FootnoteReference"/>
        </w:rPr>
        <w:footnoteReference w:id="3"/>
      </w:r>
    </w:p>
    <w:p w:rsidR="00E9220D" w:rsidRPr="003A217B" w:rsidP="007633CF" w14:paraId="568762DA" w14:textId="2C4B1E76">
      <w:pPr>
        <w:pStyle w:val="ParaNum"/>
      </w:pPr>
      <w:r w:rsidRPr="00F539B1">
        <w:t>On September 6, 2019, the Commission released a Notice of Proposed Rulemaking (Notice)</w:t>
      </w:r>
      <w:r>
        <w:t xml:space="preserve"> </w:t>
      </w:r>
      <w:r w:rsidRPr="00F539B1">
        <w:t>seeking comment on procedural changes that would streamline many administrative hearings under the Communications Act of 1934, as amended.</w:t>
      </w:r>
      <w:r>
        <w:rPr>
          <w:rStyle w:val="FootnoteReference"/>
        </w:rPr>
        <w:footnoteReference w:id="4"/>
      </w:r>
      <w:r w:rsidRPr="00F539B1">
        <w:t>  The Notice set deadlines for filing comments and reply comments at 30 days and 45 days, respectively, after publication of the Notice in the Federal Register.</w:t>
      </w:r>
      <w:r>
        <w:rPr>
          <w:rStyle w:val="FootnoteReference"/>
        </w:rPr>
        <w:footnoteReference w:id="5"/>
      </w:r>
      <w:r w:rsidRPr="00F539B1">
        <w:t> </w:t>
      </w:r>
      <w:r w:rsidR="00A266D1">
        <w:t xml:space="preserve"> On October 7, 2019, a </w:t>
      </w:r>
      <w:r w:rsidRPr="00F539B1">
        <w:t xml:space="preserve">summary </w:t>
      </w:r>
      <w:r w:rsidR="00A266D1">
        <w:t xml:space="preserve">of the Notice </w:t>
      </w:r>
      <w:r w:rsidRPr="00F539B1">
        <w:t>was published in the Federal Register</w:t>
      </w:r>
      <w:r w:rsidR="00A266D1">
        <w:t xml:space="preserve"> establishing a comment deadline of November 6, 2019, and a reply comment d</w:t>
      </w:r>
      <w:r w:rsidR="003C293F">
        <w:t>eadline</w:t>
      </w:r>
      <w:r w:rsidR="00A266D1">
        <w:t xml:space="preserve"> of November 21, 2019.</w:t>
      </w:r>
      <w:r>
        <w:rPr>
          <w:rStyle w:val="FootnoteReference"/>
        </w:rPr>
        <w:footnoteReference w:id="6"/>
      </w:r>
    </w:p>
    <w:p w:rsidR="00E9220D" w:rsidRPr="003A217B" w:rsidP="007633CF" w14:paraId="41EF406B" w14:textId="58DC5587">
      <w:pPr>
        <w:pStyle w:val="ParaNum"/>
        <w:widowControl/>
      </w:pPr>
      <w:r w:rsidRPr="00C66EF8">
        <w:t xml:space="preserve">On October 30, 2019, NCLA </w:t>
      </w:r>
      <w:r w:rsidR="003C293F">
        <w:t xml:space="preserve">filed a motion to extend the comment deadline by </w:t>
      </w:r>
      <w:r w:rsidRPr="00C66EF8">
        <w:t>30 days.</w:t>
      </w:r>
      <w:bookmarkStart w:id="0" w:name="_Hlk23712929"/>
      <w:r>
        <w:rPr>
          <w:rStyle w:val="FootnoteReference"/>
        </w:rPr>
        <w:footnoteReference w:id="7"/>
      </w:r>
      <w:bookmarkEnd w:id="0"/>
      <w:r w:rsidRPr="00C66EF8">
        <w:t xml:space="preserve">  </w:t>
      </w:r>
      <w:r w:rsidR="003C293F">
        <w:t xml:space="preserve">In support of its extension request, </w:t>
      </w:r>
      <w:r w:rsidRPr="00C66EF8">
        <w:t xml:space="preserve">NCLA </w:t>
      </w:r>
      <w:r w:rsidR="003C293F">
        <w:t>states</w:t>
      </w:r>
      <w:r w:rsidRPr="00C66EF8">
        <w:t xml:space="preserve"> that the Notice raises “weighty issues for consideration[,]” including whether the expanded use of written testimony and documentary evidence and the use of Commission staff to serve as case manager in Commission hearings will “safeguard hearing fairness,” and how, if at all, the proposed rules relate to the Supreme Court’s decision in </w:t>
      </w:r>
      <w:r w:rsidRPr="00C66EF8">
        <w:rPr>
          <w:i/>
        </w:rPr>
        <w:t>Lucia v. SEC</w:t>
      </w:r>
      <w:r>
        <w:rPr>
          <w:rStyle w:val="FootnoteReference"/>
        </w:rPr>
        <w:footnoteReference w:id="8"/>
      </w:r>
      <w:r w:rsidRPr="00C66EF8">
        <w:t xml:space="preserve"> and the Appointments Clause</w:t>
      </w:r>
      <w:r w:rsidR="00424489">
        <w:t xml:space="preserve"> to the U.S. Constitution</w:t>
      </w:r>
      <w:r w:rsidR="00FA455B">
        <w:t>.</w:t>
      </w:r>
      <w:r>
        <w:rPr>
          <w:rStyle w:val="FootnoteReference"/>
        </w:rPr>
        <w:footnoteReference w:id="9"/>
      </w:r>
      <w:r w:rsidRPr="00C66EF8">
        <w:t xml:space="preserve">  Given the “gravity and complexity of the issues presented,” NCLA </w:t>
      </w:r>
      <w:r w:rsidR="00A65DE2">
        <w:t>states</w:t>
      </w:r>
      <w:r w:rsidRPr="00C66EF8">
        <w:t xml:space="preserve"> that the November 6</w:t>
      </w:r>
      <w:r w:rsidRPr="00C66EF8">
        <w:rPr>
          <w:vertAlign w:val="superscript"/>
        </w:rPr>
        <w:t>th</w:t>
      </w:r>
      <w:r w:rsidRPr="00C66EF8">
        <w:t xml:space="preserve"> deadline “does not afford [it] or the public at large </w:t>
      </w:r>
      <w:r w:rsidRPr="00C66EF8">
        <w:t>sufficient time to fully analyze the proposed rule’s details and implications” and that additional time is needed to provide meaningful responses.</w:t>
      </w:r>
      <w:r>
        <w:rPr>
          <w:rStyle w:val="FootnoteReference"/>
        </w:rPr>
        <w:footnoteReference w:id="10"/>
      </w:r>
      <w:r w:rsidRPr="00C66EF8">
        <w:t xml:space="preserve">  </w:t>
      </w:r>
    </w:p>
    <w:p w:rsidR="00E9220D" w:rsidRPr="003A217B" w:rsidP="007633CF" w14:paraId="664E2626" w14:textId="17CA12E2">
      <w:pPr>
        <w:pStyle w:val="ParaNum"/>
      </w:pPr>
      <w:r>
        <w:t>Pursuant to</w:t>
      </w:r>
      <w:r w:rsidRPr="00C66EF8">
        <w:t xml:space="preserve"> </w:t>
      </w:r>
      <w:r>
        <w:t>s</w:t>
      </w:r>
      <w:r w:rsidRPr="00C66EF8">
        <w:t>ection 1.46 of the Commission</w:t>
      </w:r>
      <w:r>
        <w:t>’</w:t>
      </w:r>
      <w:r w:rsidRPr="00C66EF8">
        <w:t>s Rules, the Commission</w:t>
      </w:r>
      <w:r>
        <w:t>’</w:t>
      </w:r>
      <w:r w:rsidRPr="00C66EF8">
        <w:t>s policy is that extensions of time for filing comments in rulemaking proceedings shall not be routinely granted.</w:t>
      </w:r>
      <w:r>
        <w:rPr>
          <w:rStyle w:val="FootnoteReference"/>
        </w:rPr>
        <w:footnoteReference w:id="11"/>
      </w:r>
      <w:r w:rsidRPr="00C66EF8">
        <w:t>  In this case</w:t>
      </w:r>
      <w:r w:rsidR="00801104">
        <w:t xml:space="preserve">, the circumstances identified by NCLA are not sufficiently unique or unusual to warrant deviation from the established filing deadline and NCLA has </w:t>
      </w:r>
      <w:r w:rsidR="00F85D79">
        <w:t xml:space="preserve">not </w:t>
      </w:r>
      <w:r w:rsidR="00C573F9">
        <w:t>o</w:t>
      </w:r>
      <w:r w:rsidR="00F85D79">
        <w:t>therwi</w:t>
      </w:r>
      <w:bookmarkStart w:id="1" w:name="_GoBack"/>
      <w:bookmarkEnd w:id="1"/>
      <w:r w:rsidR="00F85D79">
        <w:t xml:space="preserve">se </w:t>
      </w:r>
      <w:r w:rsidR="00801104">
        <w:t xml:space="preserve">provided </w:t>
      </w:r>
      <w:r w:rsidR="00F85D79">
        <w:t>a</w:t>
      </w:r>
      <w:r w:rsidR="00801104">
        <w:t xml:space="preserve"> persuasive </w:t>
      </w:r>
      <w:r w:rsidR="00C573F9">
        <w:t>justification</w:t>
      </w:r>
      <w:r w:rsidR="00801104">
        <w:t xml:space="preserve"> </w:t>
      </w:r>
      <w:r w:rsidR="00F85D79">
        <w:t xml:space="preserve">for </w:t>
      </w:r>
      <w:r w:rsidR="00801104">
        <w:t>an extension.</w:t>
      </w:r>
      <w:r w:rsidR="00F85D79">
        <w:t xml:space="preserve">  </w:t>
      </w:r>
    </w:p>
    <w:p w:rsidR="00E9220D" w:rsidRPr="004F2AE8" w:rsidP="007633CF" w14:paraId="5F1A65EE" w14:textId="77777777">
      <w:pPr>
        <w:pStyle w:val="ParaNum"/>
      </w:pPr>
      <w:r w:rsidRPr="004F2AE8">
        <w:t xml:space="preserve">Accordingly, </w:t>
      </w:r>
      <w:r w:rsidRPr="007633CF">
        <w:rPr>
          <w:b/>
        </w:rPr>
        <w:t>IT IS ORDERED</w:t>
      </w:r>
      <w:r w:rsidRPr="004F2AE8">
        <w:t xml:space="preserve">, pursuant to sections 1, 4(i), 4(j), and 303 of the Communications Act of 1934, as amended, 47 U.S.C. </w:t>
      </w:r>
      <w:bookmarkStart w:id="2" w:name="_Hlk23499637"/>
      <w:r w:rsidRPr="004F2AE8">
        <w:t>§§</w:t>
      </w:r>
      <w:bookmarkEnd w:id="2"/>
      <w:r w:rsidRPr="004F2AE8">
        <w:t xml:space="preserve"> 151, 154(i), 154(j), and 303, and sections 0.111, 0.311, and 1.46 of the Commission’s rules, 47 CFR §§ 0.111, 0.311, and 1.46, that NCLA</w:t>
      </w:r>
      <w:r w:rsidR="00F85D79">
        <w:t>’s motion</w:t>
      </w:r>
      <w:r w:rsidR="00D926D7">
        <w:t xml:space="preserve"> to extend the </w:t>
      </w:r>
      <w:r w:rsidRPr="004F2AE8">
        <w:t xml:space="preserve">comment </w:t>
      </w:r>
      <w:r w:rsidR="00D926D7">
        <w:t>deadline</w:t>
      </w:r>
      <w:r w:rsidRPr="004F2AE8">
        <w:t xml:space="preserve"> </w:t>
      </w:r>
      <w:r w:rsidRPr="007633CF" w:rsidR="00D926D7">
        <w:rPr>
          <w:b/>
        </w:rPr>
        <w:t>IS DENIED</w:t>
      </w:r>
      <w:r w:rsidR="00D926D7">
        <w:t>.</w:t>
      </w:r>
    </w:p>
    <w:p w:rsidR="00E9220D" w:rsidRPr="00214C3B" w:rsidP="00E9220D" w14:paraId="12C54B68" w14:textId="77777777">
      <w:r w:rsidRPr="00214C3B">
        <w:t> </w:t>
      </w:r>
    </w:p>
    <w:p w:rsidR="00E9220D" w:rsidP="007633CF" w14:paraId="35EA967F" w14:textId="77777777">
      <w:pPr>
        <w:ind w:left="4320"/>
      </w:pPr>
      <w:r w:rsidRPr="00214C3B">
        <w:t>FEDERAL COMMUNICATIONS COMMISSION</w:t>
      </w:r>
    </w:p>
    <w:p w:rsidR="00442D15" w:rsidP="007633CF" w14:paraId="039C4515" w14:textId="77777777">
      <w:pPr>
        <w:ind w:left="4320"/>
      </w:pPr>
    </w:p>
    <w:p w:rsidR="00442D15" w:rsidRPr="00214C3B" w:rsidP="007633CF" w14:paraId="1D12D9EC" w14:textId="77777777">
      <w:pPr>
        <w:ind w:left="4320"/>
      </w:pPr>
    </w:p>
    <w:p w:rsidR="00CC1893" w:rsidP="007633CF" w14:paraId="3F86A613" w14:textId="77777777">
      <w:pPr>
        <w:ind w:left="4320"/>
      </w:pPr>
    </w:p>
    <w:p w:rsidR="00E9220D" w:rsidRPr="00214C3B" w:rsidP="007633CF" w14:paraId="773EFB69" w14:textId="30FB9B6E">
      <w:pPr>
        <w:ind w:left="4320"/>
      </w:pPr>
      <w:r w:rsidRPr="00214C3B">
        <w:t> </w:t>
      </w:r>
    </w:p>
    <w:p w:rsidR="00E9220D" w:rsidRPr="00214C3B" w:rsidP="007633CF" w14:paraId="463FF2B1" w14:textId="77777777">
      <w:pPr>
        <w:ind w:left="4320"/>
      </w:pPr>
      <w:r>
        <w:t>Rosemary C. Harold</w:t>
      </w:r>
    </w:p>
    <w:p w:rsidR="00E9220D" w:rsidRPr="00214C3B" w:rsidP="007633CF" w14:paraId="1E4E3A68" w14:textId="77777777">
      <w:pPr>
        <w:ind w:left="4320"/>
      </w:pPr>
      <w:r w:rsidRPr="00214C3B">
        <w:t>Chief</w:t>
      </w:r>
    </w:p>
    <w:p w:rsidR="00E9220D" w:rsidP="007633CF" w14:paraId="3A2373E9" w14:textId="77777777">
      <w:pPr>
        <w:ind w:left="4320"/>
      </w:pPr>
      <w:r>
        <w:t>Enforcement</w:t>
      </w:r>
      <w:r w:rsidRPr="00214C3B">
        <w:t xml:space="preserve"> Bureau</w:t>
      </w:r>
    </w:p>
    <w:p w:rsidR="00E9220D" w:rsidP="00E9220D" w14:paraId="7D227A19" w14:textId="77777777"/>
    <w:p w:rsidR="00E9220D" w:rsidRPr="00E9220D" w:rsidP="00E9220D" w14:paraId="2EB303B9"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93F" w:rsidP="0055614C" w14:paraId="55DACC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C293F" w14:paraId="45E223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93F" w14:paraId="4081CE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C293F" w14:paraId="4ED70D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93F" w14:paraId="2B5AB0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0AD" w14:paraId="612D6358" w14:textId="77777777">
      <w:r>
        <w:separator/>
      </w:r>
    </w:p>
  </w:footnote>
  <w:footnote w:type="continuationSeparator" w:id="1">
    <w:p w:rsidR="007040AD" w:rsidP="00C721AC" w14:paraId="7D9F6C22" w14:textId="77777777">
      <w:pPr>
        <w:spacing w:before="120"/>
        <w:rPr>
          <w:sz w:val="20"/>
        </w:rPr>
      </w:pPr>
      <w:r>
        <w:continuationSeparator/>
      </w:r>
    </w:p>
  </w:footnote>
  <w:footnote w:type="continuationNotice" w:id="2">
    <w:p w:rsidR="007040AD" w:rsidP="00C721AC" w14:paraId="0996F87A" w14:textId="77777777">
      <w:pPr>
        <w:jc w:val="right"/>
        <w:rPr>
          <w:sz w:val="20"/>
        </w:rPr>
      </w:pPr>
    </w:p>
  </w:footnote>
  <w:footnote w:id="3">
    <w:p w:rsidR="003C293F" w:rsidRPr="0093043F" w:rsidP="00A266D1" w14:paraId="24A2A6C0" w14:textId="77777777">
      <w:pPr>
        <w:pStyle w:val="FootnoteText"/>
      </w:pPr>
      <w:r w:rsidRPr="0093043F">
        <w:rPr>
          <w:rStyle w:val="FootnoteReference"/>
        </w:rPr>
        <w:footnoteRef/>
      </w:r>
      <w:r w:rsidRPr="0093043F">
        <w:t xml:space="preserve"> </w:t>
      </w:r>
      <w:r w:rsidRPr="0093043F">
        <w:rPr>
          <w:i/>
        </w:rPr>
        <w:t>See</w:t>
      </w:r>
      <w:r w:rsidRPr="0093043F">
        <w:t xml:space="preserve"> New Civil Liberties Alliance</w:t>
      </w:r>
      <w:r>
        <w:t xml:space="preserve"> Motion for Extension of Time</w:t>
      </w:r>
      <w:r w:rsidRPr="0093043F">
        <w:t>, EB Docket No. 19-214 (filed October 30, 2019) (NCLA Motion).</w:t>
      </w:r>
    </w:p>
  </w:footnote>
  <w:footnote w:id="4">
    <w:p w:rsidR="003C293F" w:rsidRPr="00B359F8" w:rsidP="00E9220D" w14:paraId="0EE3E5BA" w14:textId="2E80B826">
      <w:pPr>
        <w:pStyle w:val="FootnoteText"/>
      </w:pPr>
      <w:r w:rsidRPr="00B359F8">
        <w:rPr>
          <w:rStyle w:val="FootnoteReference"/>
        </w:rPr>
        <w:footnoteRef/>
      </w:r>
      <w:r w:rsidRPr="00B359F8">
        <w:t xml:space="preserve"> </w:t>
      </w:r>
      <w:r w:rsidRPr="00B359F8">
        <w:rPr>
          <w:i/>
        </w:rPr>
        <w:t>In the Matter of Streamlining of Administrative Hearings</w:t>
      </w:r>
      <w:r w:rsidRPr="00B359F8">
        <w:t xml:space="preserve">, EB Docket No. 19-214, Notice of Proposed Rulemaking, FCC 19-86 (rel. Sept. </w:t>
      </w:r>
      <w:r w:rsidR="00D87FBA">
        <w:t>6</w:t>
      </w:r>
      <w:r w:rsidRPr="00B359F8">
        <w:t>, 2019).</w:t>
      </w:r>
    </w:p>
  </w:footnote>
  <w:footnote w:id="5">
    <w:p w:rsidR="003C293F" w:rsidRPr="00B359F8" w:rsidP="00E9220D" w14:paraId="57F0B91B" w14:textId="77777777">
      <w:pPr>
        <w:pStyle w:val="FootnoteText"/>
      </w:pPr>
      <w:r w:rsidRPr="00B359F8">
        <w:rPr>
          <w:rStyle w:val="FootnoteReference"/>
        </w:rPr>
        <w:footnoteRef/>
      </w:r>
      <w:r w:rsidRPr="00B359F8">
        <w:t xml:space="preserve"> </w:t>
      </w:r>
      <w:r w:rsidRPr="00B359F8">
        <w:rPr>
          <w:i/>
        </w:rPr>
        <w:t>Id.</w:t>
      </w:r>
      <w:r w:rsidRPr="00B359F8">
        <w:t xml:space="preserve"> at 1.</w:t>
      </w:r>
    </w:p>
  </w:footnote>
  <w:footnote w:id="6">
    <w:p w:rsidR="003C293F" w:rsidRPr="0093043F" w:rsidP="00E9220D" w14:paraId="48FA24EA" w14:textId="77777777">
      <w:pPr>
        <w:pStyle w:val="FootnoteText"/>
      </w:pPr>
      <w:r w:rsidRPr="00B359F8">
        <w:rPr>
          <w:rStyle w:val="FootnoteReference"/>
        </w:rPr>
        <w:footnoteRef/>
      </w:r>
      <w:r w:rsidRPr="00B359F8">
        <w:t xml:space="preserve"> 84 F</w:t>
      </w:r>
      <w:r>
        <w:t xml:space="preserve">ed. </w:t>
      </w:r>
      <w:r w:rsidRPr="00B359F8">
        <w:t>R</w:t>
      </w:r>
      <w:r>
        <w:t>eg</w:t>
      </w:r>
      <w:r w:rsidRPr="00B359F8">
        <w:t xml:space="preserve"> 53355</w:t>
      </w:r>
      <w:r w:rsidRPr="0093043F">
        <w:t xml:space="preserve"> (Oct. 7, 2019).</w:t>
      </w:r>
    </w:p>
  </w:footnote>
  <w:footnote w:id="7">
    <w:p w:rsidR="003C293F" w:rsidRPr="0093043F" w:rsidP="00E9220D" w14:paraId="3F66F242" w14:textId="77777777">
      <w:pPr>
        <w:pStyle w:val="FootnoteText"/>
      </w:pPr>
      <w:r w:rsidRPr="0093043F">
        <w:rPr>
          <w:rStyle w:val="FootnoteReference"/>
        </w:rPr>
        <w:footnoteRef/>
      </w:r>
      <w:r w:rsidRPr="0093043F">
        <w:t xml:space="preserve"> </w:t>
      </w:r>
      <w:r w:rsidRPr="0093043F">
        <w:rPr>
          <w:i/>
        </w:rPr>
        <w:t>See</w:t>
      </w:r>
      <w:r w:rsidRPr="0093043F">
        <w:t xml:space="preserve"> NCLA Motion</w:t>
      </w:r>
      <w:r>
        <w:t xml:space="preserve"> at 1</w:t>
      </w:r>
      <w:r w:rsidRPr="0093043F">
        <w:t>.</w:t>
      </w:r>
    </w:p>
  </w:footnote>
  <w:footnote w:id="8">
    <w:p w:rsidR="000C6C9B" w14:paraId="6B68B23A" w14:textId="77777777">
      <w:pPr>
        <w:pStyle w:val="FootnoteText"/>
      </w:pPr>
      <w:r>
        <w:rPr>
          <w:rStyle w:val="FootnoteReference"/>
        </w:rPr>
        <w:footnoteRef/>
      </w:r>
      <w:r>
        <w:t xml:space="preserve"> 138 S. Ct. 2044 (2018).</w:t>
      </w:r>
    </w:p>
  </w:footnote>
  <w:footnote w:id="9">
    <w:p w:rsidR="003C293F" w:rsidRPr="00780C0C" w:rsidP="00E9220D" w14:paraId="19101BDA" w14:textId="52DAD77C">
      <w:pPr>
        <w:pStyle w:val="FootnoteText"/>
      </w:pPr>
      <w:r w:rsidRPr="0093043F">
        <w:rPr>
          <w:rStyle w:val="FootnoteReference"/>
        </w:rPr>
        <w:footnoteRef/>
      </w:r>
      <w:r w:rsidRPr="0093043F">
        <w:t xml:space="preserve"> </w:t>
      </w:r>
      <w:r w:rsidR="00D926D7">
        <w:t>NCLA Motion at 1.</w:t>
      </w:r>
    </w:p>
  </w:footnote>
  <w:footnote w:id="10">
    <w:p w:rsidR="003C293F" w:rsidRPr="00780C0C" w:rsidP="00E9220D" w14:paraId="1A0936BD" w14:textId="77777777">
      <w:pPr>
        <w:pStyle w:val="FootnoteText"/>
        <w:rPr>
          <w:i/>
        </w:rPr>
      </w:pPr>
      <w:r w:rsidRPr="00780C0C">
        <w:rPr>
          <w:rStyle w:val="FootnoteReference"/>
        </w:rPr>
        <w:footnoteRef/>
      </w:r>
      <w:r w:rsidRPr="00780C0C">
        <w:t xml:space="preserve"> </w:t>
      </w:r>
      <w:r w:rsidRPr="00780C0C">
        <w:rPr>
          <w:i/>
        </w:rPr>
        <w:t>Id.</w:t>
      </w:r>
    </w:p>
  </w:footnote>
  <w:footnote w:id="11">
    <w:p w:rsidR="003C293F" w:rsidP="00E9220D" w14:paraId="6E85C181" w14:textId="77777777">
      <w:pPr>
        <w:pStyle w:val="FootnoteText"/>
      </w:pPr>
      <w:r w:rsidRPr="00B359F8">
        <w:rPr>
          <w:rStyle w:val="FootnoteReference"/>
        </w:rPr>
        <w:footnoteRef/>
      </w:r>
      <w:r w:rsidRPr="00B359F8">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93F" w:rsidP="00810B6F" w14:paraId="60BE5782" w14:textId="3E431EBA">
    <w:pPr>
      <w:pStyle w:val="Header"/>
      <w:rPr>
        <w:b w:val="0"/>
      </w:rPr>
    </w:pPr>
    <w:r>
      <w:tab/>
      <w:t>Federal Communications Commission</w:t>
    </w:r>
    <w:r>
      <w:tab/>
    </w:r>
    <w:r w:rsidR="004E031B">
      <w:t>DA 19-</w:t>
    </w:r>
    <w:r w:rsidR="008F0BFE">
      <w:t>1134</w:t>
    </w:r>
  </w:p>
  <w:p w:rsidR="003C293F" w14:paraId="013000B4" w14:textId="381BCCA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C293F" w14:paraId="2997B1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93F" w:rsidP="00810B6F" w14:paraId="20E50CC7" w14:textId="2FFE890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8F0BFE">
      <w:rPr>
        <w:spacing w:val="-2"/>
      </w:rPr>
      <w:t>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F263920"/>
    <w:multiLevelType w:val="hybridMultilevel"/>
    <w:tmpl w:val="CB8E7F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7F90"/>
    <w:rsid w:val="000575D1"/>
    <w:rsid w:val="000875BF"/>
    <w:rsid w:val="00096D8C"/>
    <w:rsid w:val="000C0B65"/>
    <w:rsid w:val="000C6C9B"/>
    <w:rsid w:val="000E05FE"/>
    <w:rsid w:val="000E3D42"/>
    <w:rsid w:val="00122BD5"/>
    <w:rsid w:val="00133F79"/>
    <w:rsid w:val="00194A66"/>
    <w:rsid w:val="001A545D"/>
    <w:rsid w:val="001C67E7"/>
    <w:rsid w:val="001D6BCF"/>
    <w:rsid w:val="001E01CA"/>
    <w:rsid w:val="00214C3B"/>
    <w:rsid w:val="00275CF5"/>
    <w:rsid w:val="0028301F"/>
    <w:rsid w:val="00285017"/>
    <w:rsid w:val="002A2D2E"/>
    <w:rsid w:val="002C00E8"/>
    <w:rsid w:val="00343749"/>
    <w:rsid w:val="003660ED"/>
    <w:rsid w:val="003A217B"/>
    <w:rsid w:val="003B0550"/>
    <w:rsid w:val="003B4673"/>
    <w:rsid w:val="003B694F"/>
    <w:rsid w:val="003C293F"/>
    <w:rsid w:val="003F171C"/>
    <w:rsid w:val="00412FC5"/>
    <w:rsid w:val="00422276"/>
    <w:rsid w:val="004242F1"/>
    <w:rsid w:val="00424489"/>
    <w:rsid w:val="00442D15"/>
    <w:rsid w:val="00445A00"/>
    <w:rsid w:val="00451B0F"/>
    <w:rsid w:val="00454780"/>
    <w:rsid w:val="00480B4C"/>
    <w:rsid w:val="004C2EE3"/>
    <w:rsid w:val="004E031B"/>
    <w:rsid w:val="004E4A22"/>
    <w:rsid w:val="004F2AE8"/>
    <w:rsid w:val="00511968"/>
    <w:rsid w:val="00533015"/>
    <w:rsid w:val="0055614C"/>
    <w:rsid w:val="00566D06"/>
    <w:rsid w:val="005A6DC3"/>
    <w:rsid w:val="005E14C2"/>
    <w:rsid w:val="00607BA5"/>
    <w:rsid w:val="0061180A"/>
    <w:rsid w:val="00626EB6"/>
    <w:rsid w:val="00655D03"/>
    <w:rsid w:val="00683388"/>
    <w:rsid w:val="00683F84"/>
    <w:rsid w:val="006A6A81"/>
    <w:rsid w:val="006F7393"/>
    <w:rsid w:val="0070224F"/>
    <w:rsid w:val="007040AD"/>
    <w:rsid w:val="007115F7"/>
    <w:rsid w:val="007633CF"/>
    <w:rsid w:val="00780C0C"/>
    <w:rsid w:val="00785689"/>
    <w:rsid w:val="0079754B"/>
    <w:rsid w:val="007A1E6D"/>
    <w:rsid w:val="007B0EB2"/>
    <w:rsid w:val="00801104"/>
    <w:rsid w:val="00810B6F"/>
    <w:rsid w:val="00822CE0"/>
    <w:rsid w:val="00841AB1"/>
    <w:rsid w:val="008C68F1"/>
    <w:rsid w:val="008F0BFE"/>
    <w:rsid w:val="00921803"/>
    <w:rsid w:val="00926503"/>
    <w:rsid w:val="0093043F"/>
    <w:rsid w:val="009726D8"/>
    <w:rsid w:val="009D7308"/>
    <w:rsid w:val="009F76DB"/>
    <w:rsid w:val="00A12711"/>
    <w:rsid w:val="00A266D1"/>
    <w:rsid w:val="00A32C3B"/>
    <w:rsid w:val="00A45F4F"/>
    <w:rsid w:val="00A600A9"/>
    <w:rsid w:val="00A65DE2"/>
    <w:rsid w:val="00AA55B7"/>
    <w:rsid w:val="00AA5B9E"/>
    <w:rsid w:val="00AB2407"/>
    <w:rsid w:val="00AB53DF"/>
    <w:rsid w:val="00B07E5C"/>
    <w:rsid w:val="00B359F8"/>
    <w:rsid w:val="00B811F7"/>
    <w:rsid w:val="00BA5DC6"/>
    <w:rsid w:val="00BA6196"/>
    <w:rsid w:val="00BC13FC"/>
    <w:rsid w:val="00BC6D8C"/>
    <w:rsid w:val="00C34006"/>
    <w:rsid w:val="00C36B4C"/>
    <w:rsid w:val="00C375A7"/>
    <w:rsid w:val="00C426B1"/>
    <w:rsid w:val="00C573F9"/>
    <w:rsid w:val="00C625CB"/>
    <w:rsid w:val="00C66160"/>
    <w:rsid w:val="00C66EF8"/>
    <w:rsid w:val="00C721AC"/>
    <w:rsid w:val="00C879D9"/>
    <w:rsid w:val="00C90D6A"/>
    <w:rsid w:val="00CA247E"/>
    <w:rsid w:val="00CA6D21"/>
    <w:rsid w:val="00CC1893"/>
    <w:rsid w:val="00CC661A"/>
    <w:rsid w:val="00CC72B6"/>
    <w:rsid w:val="00CE6D69"/>
    <w:rsid w:val="00D0218D"/>
    <w:rsid w:val="00D10271"/>
    <w:rsid w:val="00D25FB5"/>
    <w:rsid w:val="00D44223"/>
    <w:rsid w:val="00D87FBA"/>
    <w:rsid w:val="00D926D7"/>
    <w:rsid w:val="00DA2529"/>
    <w:rsid w:val="00DB130A"/>
    <w:rsid w:val="00DB2EBB"/>
    <w:rsid w:val="00DC10A1"/>
    <w:rsid w:val="00DC655F"/>
    <w:rsid w:val="00DD0B59"/>
    <w:rsid w:val="00DD7EBD"/>
    <w:rsid w:val="00DF62B6"/>
    <w:rsid w:val="00E07225"/>
    <w:rsid w:val="00E5409F"/>
    <w:rsid w:val="00E7254F"/>
    <w:rsid w:val="00E77906"/>
    <w:rsid w:val="00E9220D"/>
    <w:rsid w:val="00EE6488"/>
    <w:rsid w:val="00F021FA"/>
    <w:rsid w:val="00F539B1"/>
    <w:rsid w:val="00F62E97"/>
    <w:rsid w:val="00F64209"/>
    <w:rsid w:val="00F85D79"/>
    <w:rsid w:val="00F93BF5"/>
    <w:rsid w:val="00FA45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3C1CCC-C533-421F-B7F3-24493270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E9220D"/>
  </w:style>
  <w:style w:type="paragraph" w:styleId="ListParagraph">
    <w:name w:val="List Paragraph"/>
    <w:basedOn w:val="Normal"/>
    <w:uiPriority w:val="34"/>
    <w:qFormat/>
    <w:rsid w:val="00E9220D"/>
    <w:pPr>
      <w:widowControl/>
      <w:spacing w:after="160" w:line="259"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CC1893"/>
    <w:rPr>
      <w:rFonts w:ascii="Segoe UI" w:hAnsi="Segoe UI" w:cs="Segoe UI"/>
      <w:sz w:val="18"/>
      <w:szCs w:val="18"/>
    </w:rPr>
  </w:style>
  <w:style w:type="character" w:customStyle="1" w:styleId="BalloonTextChar">
    <w:name w:val="Balloon Text Char"/>
    <w:basedOn w:val="DefaultParagraphFont"/>
    <w:link w:val="BalloonText"/>
    <w:rsid w:val="00CC18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