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1776E" w:rsidP="00D1776E" w14:paraId="0806625C" w14:textId="77777777">
      <w:pPr>
        <w:widowControl/>
        <w:jc w:val="center"/>
        <w:rPr>
          <w:b/>
        </w:rPr>
      </w:pPr>
      <w:r>
        <w:rPr>
          <w:b/>
          <w:kern w:val="0"/>
        </w:rPr>
        <w:t>Before</w:t>
      </w:r>
      <w:r>
        <w:rPr>
          <w:b/>
        </w:rPr>
        <w:t xml:space="preserve"> the</w:t>
      </w:r>
    </w:p>
    <w:p w:rsidR="00D1776E" w:rsidP="00D1776E" w14:paraId="77F8140C" w14:textId="77777777">
      <w:pPr>
        <w:pStyle w:val="StyleBoldCentered"/>
        <w:widowControl/>
        <w:rPr>
          <w:rFonts w:ascii="Times New Roman" w:hAnsi="Times New Roman"/>
        </w:rPr>
      </w:pPr>
      <w:r>
        <w:rPr>
          <w:rFonts w:ascii="Times New Roman" w:hAnsi="Times New Roman"/>
        </w:rPr>
        <w:t>F</w:t>
      </w:r>
      <w:r>
        <w:rPr>
          <w:rFonts w:ascii="Times New Roman" w:hAnsi="Times New Roman"/>
          <w:caps w:val="0"/>
        </w:rPr>
        <w:t>ederal Communications Commission</w:t>
      </w:r>
    </w:p>
    <w:p w:rsidR="00D1776E" w:rsidP="00D1776E" w14:paraId="03260C25" w14:textId="77777777">
      <w:pPr>
        <w:pStyle w:val="StyleBoldCentered"/>
        <w:widowControl/>
        <w:rPr>
          <w:rFonts w:ascii="Times New Roman" w:hAnsi="Times New Roman"/>
        </w:rPr>
      </w:pPr>
      <w:r>
        <w:rPr>
          <w:rFonts w:ascii="Times New Roman" w:hAnsi="Times New Roman"/>
          <w:caps w:val="0"/>
        </w:rPr>
        <w:t>Washington</w:t>
      </w:r>
      <w:r>
        <w:rPr>
          <w:rFonts w:ascii="Times New Roman" w:hAnsi="Times New Roman"/>
        </w:rPr>
        <w:t>, D.C. 20554</w:t>
      </w:r>
    </w:p>
    <w:p w:rsidR="00D1776E" w:rsidP="00D1776E" w14:paraId="65AC9D9D" w14:textId="77777777">
      <w:pPr>
        <w:widowControl/>
      </w:pPr>
    </w:p>
    <w:p w:rsidR="00D1776E" w:rsidP="00D1776E" w14:paraId="2A277664" w14:textId="77777777">
      <w:pPr>
        <w:widowControl/>
      </w:pPr>
    </w:p>
    <w:tbl>
      <w:tblPr>
        <w:tblW w:w="0" w:type="auto"/>
        <w:tblLayout w:type="fixed"/>
        <w:tblLook w:val="0000"/>
      </w:tblPr>
      <w:tblGrid>
        <w:gridCol w:w="4698"/>
        <w:gridCol w:w="630"/>
        <w:gridCol w:w="4248"/>
      </w:tblGrid>
      <w:tr w14:paraId="65DCCCA9" w14:textId="77777777" w:rsidTr="00D1776E">
        <w:tblPrEx>
          <w:tblW w:w="0" w:type="auto"/>
          <w:tblLayout w:type="fixed"/>
          <w:tblLook w:val="0000"/>
        </w:tblPrEx>
        <w:tc>
          <w:tcPr>
            <w:tcW w:w="4698" w:type="dxa"/>
          </w:tcPr>
          <w:p w:rsidR="00D1776E" w:rsidP="00D1776E" w14:paraId="46F5A974" w14:textId="77777777">
            <w:pPr>
              <w:widowControl/>
              <w:tabs>
                <w:tab w:val="center" w:pos="4680"/>
              </w:tabs>
              <w:suppressAutoHyphens/>
              <w:rPr>
                <w:spacing w:val="-2"/>
              </w:rPr>
            </w:pPr>
            <w:r>
              <w:rPr>
                <w:spacing w:val="-2"/>
              </w:rPr>
              <w:t>In the Matter of</w:t>
            </w:r>
          </w:p>
          <w:p w:rsidR="00D1776E" w:rsidP="00D1776E" w14:paraId="597299C9" w14:textId="77777777">
            <w:pPr>
              <w:widowControl/>
              <w:tabs>
                <w:tab w:val="center" w:pos="4680"/>
              </w:tabs>
              <w:suppressAutoHyphens/>
              <w:rPr>
                <w:spacing w:val="-2"/>
              </w:rPr>
            </w:pPr>
          </w:p>
          <w:p w:rsidR="00D1776E" w:rsidP="00D1776E" w14:paraId="1C829B46" w14:textId="3775FD74">
            <w:pPr>
              <w:widowControl/>
            </w:pPr>
            <w:r w:rsidRPr="002422D0">
              <w:t>Etowah County Communications District E-911</w:t>
            </w:r>
          </w:p>
          <w:p w:rsidR="00D1776E" w:rsidP="00D1776E" w14:paraId="598B8B71" w14:textId="77777777">
            <w:pPr>
              <w:widowControl/>
            </w:pPr>
          </w:p>
          <w:p w:rsidR="00D1776E" w14:paraId="59716509" w14:textId="77777777">
            <w:pPr>
              <w:widowControl/>
              <w:tabs>
                <w:tab w:val="center" w:pos="4680"/>
              </w:tabs>
              <w:suppressAutoHyphens/>
              <w:rPr>
                <w:spacing w:val="-2"/>
              </w:rPr>
            </w:pPr>
            <w:r>
              <w:t xml:space="preserve">Request for Waiver of Section </w:t>
            </w:r>
            <w:r w:rsidR="00CB7BA8">
              <w:t>1.946</w:t>
            </w:r>
            <w:r>
              <w:t xml:space="preserve"> of the Commission’s Rules</w:t>
            </w:r>
          </w:p>
        </w:tc>
        <w:tc>
          <w:tcPr>
            <w:tcW w:w="630" w:type="dxa"/>
          </w:tcPr>
          <w:p w:rsidR="00D1776E" w:rsidP="00D1776E" w14:paraId="6E3DF531" w14:textId="77777777">
            <w:pPr>
              <w:widowControl/>
              <w:tabs>
                <w:tab w:val="center" w:pos="4680"/>
              </w:tabs>
              <w:suppressAutoHyphens/>
              <w:rPr>
                <w:b/>
                <w:spacing w:val="-2"/>
              </w:rPr>
            </w:pPr>
            <w:r>
              <w:rPr>
                <w:b/>
                <w:spacing w:val="-2"/>
              </w:rPr>
              <w:t>)</w:t>
            </w:r>
          </w:p>
          <w:p w:rsidR="00D1776E" w:rsidP="00D1776E" w14:paraId="59F43A5B" w14:textId="77777777">
            <w:pPr>
              <w:widowControl/>
              <w:tabs>
                <w:tab w:val="center" w:pos="4680"/>
              </w:tabs>
              <w:suppressAutoHyphens/>
              <w:rPr>
                <w:b/>
                <w:spacing w:val="-2"/>
              </w:rPr>
            </w:pPr>
            <w:r>
              <w:rPr>
                <w:b/>
                <w:spacing w:val="-2"/>
              </w:rPr>
              <w:t>)</w:t>
            </w:r>
          </w:p>
          <w:p w:rsidR="00D1776E" w:rsidP="00D1776E" w14:paraId="096FA215" w14:textId="77777777">
            <w:pPr>
              <w:widowControl/>
              <w:tabs>
                <w:tab w:val="center" w:pos="4680"/>
              </w:tabs>
              <w:suppressAutoHyphens/>
              <w:rPr>
                <w:b/>
                <w:spacing w:val="-2"/>
              </w:rPr>
            </w:pPr>
            <w:r>
              <w:rPr>
                <w:b/>
                <w:spacing w:val="-2"/>
              </w:rPr>
              <w:t>)</w:t>
            </w:r>
          </w:p>
          <w:p w:rsidR="00D1776E" w:rsidP="00D1776E" w14:paraId="1AA9BE1F" w14:textId="77777777">
            <w:pPr>
              <w:widowControl/>
              <w:tabs>
                <w:tab w:val="center" w:pos="4680"/>
              </w:tabs>
              <w:suppressAutoHyphens/>
              <w:rPr>
                <w:b/>
                <w:spacing w:val="-2"/>
              </w:rPr>
            </w:pPr>
            <w:r>
              <w:rPr>
                <w:b/>
                <w:spacing w:val="-2"/>
              </w:rPr>
              <w:t>)</w:t>
            </w:r>
          </w:p>
          <w:p w:rsidR="00D1776E" w:rsidP="00D1776E" w14:paraId="7CEF7177" w14:textId="77777777">
            <w:pPr>
              <w:widowControl/>
              <w:tabs>
                <w:tab w:val="center" w:pos="4680"/>
              </w:tabs>
              <w:suppressAutoHyphens/>
              <w:rPr>
                <w:b/>
                <w:spacing w:val="-2"/>
              </w:rPr>
            </w:pPr>
            <w:r>
              <w:rPr>
                <w:b/>
                <w:spacing w:val="-2"/>
              </w:rPr>
              <w:t>)</w:t>
            </w:r>
          </w:p>
          <w:p w:rsidR="00D1776E" w:rsidP="00D1776E" w14:paraId="08E0EA01" w14:textId="77777777">
            <w:pPr>
              <w:widowControl/>
              <w:tabs>
                <w:tab w:val="center" w:pos="4680"/>
              </w:tabs>
              <w:suppressAutoHyphens/>
              <w:rPr>
                <w:b/>
                <w:spacing w:val="-2"/>
              </w:rPr>
            </w:pPr>
            <w:r>
              <w:rPr>
                <w:b/>
                <w:spacing w:val="-2"/>
              </w:rPr>
              <w:t>)</w:t>
            </w:r>
          </w:p>
        </w:tc>
        <w:tc>
          <w:tcPr>
            <w:tcW w:w="4248" w:type="dxa"/>
          </w:tcPr>
          <w:p w:rsidR="00D1776E" w:rsidP="00D1776E" w14:paraId="377DE0EF" w14:textId="77777777">
            <w:pPr>
              <w:widowControl/>
              <w:tabs>
                <w:tab w:val="center" w:pos="4680"/>
              </w:tabs>
              <w:suppressAutoHyphens/>
              <w:rPr>
                <w:spacing w:val="-2"/>
              </w:rPr>
            </w:pPr>
          </w:p>
          <w:p w:rsidR="00D1776E" w:rsidP="00D1776E" w14:paraId="732B0FFB" w14:textId="77777777">
            <w:pPr>
              <w:pStyle w:val="TOAHeading"/>
              <w:widowControl/>
              <w:tabs>
                <w:tab w:val="center" w:pos="4680"/>
                <w:tab w:val="clear" w:pos="9360"/>
              </w:tabs>
              <w:rPr>
                <w:spacing w:val="-2"/>
              </w:rPr>
            </w:pPr>
          </w:p>
          <w:p w:rsidR="002422D0" w:rsidRPr="002422D0" w:rsidP="002422D0" w14:paraId="44891C10" w14:textId="03D7BD34">
            <w:r>
              <w:t xml:space="preserve">Call Sign </w:t>
            </w:r>
            <w:r w:rsidR="005949B1">
              <w:t>WQNG938</w:t>
            </w:r>
          </w:p>
          <w:p w:rsidR="00D1776E" w:rsidP="00E00C84" w14:paraId="5611043F" w14:textId="77777777">
            <w:pPr>
              <w:widowControl/>
              <w:tabs>
                <w:tab w:val="center" w:pos="4680"/>
              </w:tabs>
              <w:suppressAutoHyphens/>
              <w:rPr>
                <w:spacing w:val="-2"/>
              </w:rPr>
            </w:pPr>
          </w:p>
        </w:tc>
      </w:tr>
    </w:tbl>
    <w:p w:rsidR="00D1776E" w:rsidP="00D1776E" w14:paraId="62A45F30" w14:textId="77777777">
      <w:pPr>
        <w:widowControl/>
      </w:pPr>
    </w:p>
    <w:p w:rsidR="00D1776E" w:rsidP="00D1776E" w14:paraId="56E48E93" w14:textId="77777777">
      <w:pPr>
        <w:pStyle w:val="StyleBoldCentered"/>
        <w:widowControl/>
        <w:rPr>
          <w:rFonts w:ascii="Times New Roman" w:hAnsi="Times New Roman"/>
        </w:rPr>
      </w:pPr>
      <w:r>
        <w:rPr>
          <w:rFonts w:ascii="Times New Roman" w:hAnsi="Times New Roman"/>
        </w:rPr>
        <w:t>Order</w:t>
      </w:r>
    </w:p>
    <w:p w:rsidR="00D1776E" w:rsidP="00D1776E" w14:paraId="193E8AF3" w14:textId="77777777">
      <w:pPr>
        <w:widowControl/>
        <w:tabs>
          <w:tab w:val="left" w:pos="-720"/>
        </w:tabs>
        <w:suppressAutoHyphens/>
        <w:spacing w:line="227" w:lineRule="auto"/>
        <w:rPr>
          <w:spacing w:val="-2"/>
        </w:rPr>
      </w:pPr>
    </w:p>
    <w:p w:rsidR="00D1776E" w:rsidP="00D1776E" w14:paraId="0F655530" w14:textId="4B196F3B">
      <w:pPr>
        <w:widowControl/>
        <w:tabs>
          <w:tab w:val="left" w:pos="720"/>
          <w:tab w:val="left" w:pos="5760"/>
          <w:tab w:val="right" w:pos="9360"/>
        </w:tabs>
        <w:suppressAutoHyphens/>
        <w:spacing w:line="227" w:lineRule="auto"/>
        <w:rPr>
          <w:spacing w:val="-2"/>
          <w:szCs w:val="22"/>
        </w:rPr>
      </w:pPr>
      <w:r>
        <w:rPr>
          <w:b/>
          <w:spacing w:val="-2"/>
          <w:szCs w:val="22"/>
        </w:rPr>
        <w:t xml:space="preserve">Adopted:  </w:t>
      </w:r>
      <w:r w:rsidR="00D5529C">
        <w:rPr>
          <w:b/>
          <w:spacing w:val="-2"/>
          <w:szCs w:val="22"/>
        </w:rPr>
        <w:t>November 4</w:t>
      </w:r>
      <w:r>
        <w:rPr>
          <w:b/>
          <w:spacing w:val="-2"/>
          <w:szCs w:val="22"/>
        </w:rPr>
        <w:t>, 201</w:t>
      </w:r>
      <w:r w:rsidR="00E00C84">
        <w:rPr>
          <w:b/>
          <w:spacing w:val="-2"/>
          <w:szCs w:val="22"/>
        </w:rPr>
        <w:t>9</w:t>
      </w:r>
      <w:r>
        <w:rPr>
          <w:b/>
          <w:spacing w:val="-2"/>
          <w:szCs w:val="22"/>
        </w:rPr>
        <w:tab/>
      </w:r>
      <w:r>
        <w:rPr>
          <w:b/>
          <w:spacing w:val="-2"/>
          <w:szCs w:val="22"/>
        </w:rPr>
        <w:tab/>
        <w:t xml:space="preserve">Released:  </w:t>
      </w:r>
      <w:r w:rsidR="00D5529C">
        <w:rPr>
          <w:b/>
          <w:spacing w:val="-2"/>
          <w:szCs w:val="22"/>
        </w:rPr>
        <w:t>November 4</w:t>
      </w:r>
      <w:r>
        <w:rPr>
          <w:b/>
          <w:spacing w:val="-2"/>
          <w:szCs w:val="22"/>
        </w:rPr>
        <w:t>, 201</w:t>
      </w:r>
      <w:r w:rsidR="00E00C84">
        <w:rPr>
          <w:b/>
          <w:spacing w:val="-2"/>
          <w:szCs w:val="22"/>
        </w:rPr>
        <w:t>9</w:t>
      </w:r>
    </w:p>
    <w:p w:rsidR="00D1776E" w:rsidP="00D1776E" w14:paraId="3D81BBCC" w14:textId="77777777">
      <w:pPr>
        <w:widowControl/>
        <w:rPr>
          <w:szCs w:val="22"/>
        </w:rPr>
      </w:pPr>
    </w:p>
    <w:p w:rsidR="00D1776E" w:rsidP="00D1776E" w14:paraId="350E6524" w14:textId="77777777">
      <w:pPr>
        <w:widowControl/>
        <w:rPr>
          <w:spacing w:val="-2"/>
        </w:rPr>
      </w:pPr>
      <w:r>
        <w:rPr>
          <w:szCs w:val="22"/>
        </w:rPr>
        <w:t>By the</w:t>
      </w:r>
      <w:r>
        <w:rPr>
          <w:spacing w:val="-2"/>
          <w:szCs w:val="22"/>
        </w:rPr>
        <w:t xml:space="preserve"> Chief, Policy and Licensing Division, Public Safety and Homeland Security Bureau:</w:t>
      </w:r>
    </w:p>
    <w:p w:rsidR="00D1776E" w:rsidP="00D1776E" w14:paraId="044ADC5D" w14:textId="77777777">
      <w:pPr>
        <w:widowControl/>
      </w:pPr>
    </w:p>
    <w:p w:rsidR="00C47F97" w:rsidP="00D91FC9" w14:paraId="46F49DCC" w14:textId="4CA7A50C">
      <w:pPr>
        <w:pStyle w:val="ParaNum"/>
        <w:widowControl/>
        <w:tabs>
          <w:tab w:val="clear" w:pos="990"/>
          <w:tab w:val="num" w:pos="1440"/>
        </w:tabs>
        <w:ind w:left="0"/>
      </w:pPr>
      <w:r>
        <w:t xml:space="preserve">On </w:t>
      </w:r>
      <w:r w:rsidR="002422D0">
        <w:t>February</w:t>
      </w:r>
      <w:r>
        <w:t xml:space="preserve"> 2</w:t>
      </w:r>
      <w:r w:rsidR="002422D0">
        <w:t>0</w:t>
      </w:r>
      <w:r>
        <w:t>, 201</w:t>
      </w:r>
      <w:r w:rsidR="002422D0">
        <w:t>9</w:t>
      </w:r>
      <w:r w:rsidR="001468C8">
        <w:t>,</w:t>
      </w:r>
      <w:r>
        <w:t xml:space="preserve"> </w:t>
      </w:r>
      <w:r w:rsidRPr="002D3939">
        <w:t xml:space="preserve">the </w:t>
      </w:r>
      <w:r w:rsidR="00B6043B">
        <w:rPr>
          <w:spacing w:val="-2"/>
          <w:szCs w:val="22"/>
        </w:rPr>
        <w:t>Public Safety and Homeland Security Bureau</w:t>
      </w:r>
      <w:r w:rsidR="00B6043B">
        <w:t xml:space="preserve"> (Bureau) </w:t>
      </w:r>
      <w:r>
        <w:t xml:space="preserve">notified </w:t>
      </w:r>
      <w:r w:rsidRPr="002422D0" w:rsidR="002422D0">
        <w:t>Etowah County Communications District E-911</w:t>
      </w:r>
      <w:r w:rsidR="002422D0">
        <w:t xml:space="preserve"> </w:t>
      </w:r>
      <w:r>
        <w:t>(</w:t>
      </w:r>
      <w:r w:rsidR="002422D0">
        <w:t>Etowah</w:t>
      </w:r>
      <w:r>
        <w:t xml:space="preserve"> or </w:t>
      </w:r>
      <w:r w:rsidR="002422D0">
        <w:t>the County</w:t>
      </w:r>
      <w:r>
        <w:t>) that it had</w:t>
      </w:r>
      <w:r w:rsidRPr="002D3939">
        <w:t xml:space="preserve"> placed </w:t>
      </w:r>
      <w:r w:rsidR="00180B1F">
        <w:t xml:space="preserve">station </w:t>
      </w:r>
      <w:r w:rsidR="005949B1">
        <w:t>WQNG938</w:t>
      </w:r>
      <w:r>
        <w:t xml:space="preserve"> on Termination P</w:t>
      </w:r>
      <w:r w:rsidRPr="002D3939">
        <w:t xml:space="preserve">ending status </w:t>
      </w:r>
      <w:r w:rsidRPr="006A2C26">
        <w:t xml:space="preserve">because </w:t>
      </w:r>
      <w:r>
        <w:t xml:space="preserve">the </w:t>
      </w:r>
      <w:r w:rsidR="002422D0">
        <w:t>County</w:t>
      </w:r>
      <w:r w:rsidRPr="006A2C26">
        <w:t xml:space="preserve"> failed to meet </w:t>
      </w:r>
      <w:r>
        <w:t xml:space="preserve">the </w:t>
      </w:r>
      <w:r w:rsidRPr="006A2C26">
        <w:t>construction and construction notification requirements required by the Commission’s rules</w:t>
      </w:r>
      <w:r>
        <w:t>.</w:t>
      </w:r>
      <w:r>
        <w:rPr>
          <w:vertAlign w:val="superscript"/>
        </w:rPr>
        <w:footnoteReference w:id="3"/>
      </w:r>
      <w:r>
        <w:t xml:space="preserve">  </w:t>
      </w:r>
      <w:r w:rsidR="006A2C26">
        <w:t xml:space="preserve">On </w:t>
      </w:r>
      <w:bookmarkStart w:id="0" w:name="_Hlk2691948"/>
      <w:r w:rsidR="00C55158">
        <w:t>April 8</w:t>
      </w:r>
      <w:r w:rsidR="001468C8">
        <w:t>,</w:t>
      </w:r>
      <w:r w:rsidR="006A2C26">
        <w:t xml:space="preserve"> </w:t>
      </w:r>
      <w:r>
        <w:t>2019</w:t>
      </w:r>
      <w:bookmarkEnd w:id="0"/>
      <w:r w:rsidR="006A2C26">
        <w:t xml:space="preserve">, </w:t>
      </w:r>
      <w:r w:rsidR="00631322">
        <w:t xml:space="preserve">the </w:t>
      </w:r>
      <w:r w:rsidR="002422D0">
        <w:t>County</w:t>
      </w:r>
      <w:r w:rsidR="00631322">
        <w:t xml:space="preserve"> </w:t>
      </w:r>
      <w:r w:rsidRPr="000966B0" w:rsidR="006A2C26">
        <w:t xml:space="preserve">filed a Petition for Reconsideration of </w:t>
      </w:r>
      <w:r w:rsidR="001468C8">
        <w:t>the</w:t>
      </w:r>
      <w:r w:rsidRPr="000966B0" w:rsidR="006A2C26">
        <w:t xml:space="preserve"> notice of termination of its license</w:t>
      </w:r>
      <w:r w:rsidR="006A2C26">
        <w:t>.</w:t>
      </w:r>
      <w:r>
        <w:rPr>
          <w:rStyle w:val="FootnoteReference"/>
        </w:rPr>
        <w:footnoteReference w:id="4"/>
      </w:r>
      <w:r w:rsidR="006A2C26">
        <w:t xml:space="preserve">  </w:t>
      </w:r>
      <w:r w:rsidR="00E25A31">
        <w:t xml:space="preserve">We dismiss the Petition </w:t>
      </w:r>
      <w:r w:rsidR="00522C30">
        <w:t>as</w:t>
      </w:r>
      <w:r w:rsidR="00E25A31">
        <w:t xml:space="preserve"> untimely. </w:t>
      </w:r>
    </w:p>
    <w:p w:rsidR="00C47F97" w:rsidP="00D91FC9" w14:paraId="315675EC" w14:textId="7F53F3D7">
      <w:pPr>
        <w:pStyle w:val="ParaNum"/>
        <w:widowControl/>
        <w:tabs>
          <w:tab w:val="clear" w:pos="990"/>
          <w:tab w:val="num" w:pos="1440"/>
        </w:tabs>
        <w:ind w:left="0"/>
      </w:pPr>
      <w:r>
        <w:t xml:space="preserve">Section 1.106(f) of the Commission’s rules </w:t>
      </w:r>
      <w:r w:rsidR="001468C8">
        <w:t xml:space="preserve">requires </w:t>
      </w:r>
      <w:r>
        <w:t xml:space="preserve">that a petition for reconsideration </w:t>
      </w:r>
      <w:r w:rsidR="00631322">
        <w:t>“</w:t>
      </w:r>
      <w:r w:rsidRPr="00631322" w:rsidR="00631322">
        <w:t>shall be filed within 30 days from the date of public notice of the final Commission action</w:t>
      </w:r>
      <w:r w:rsidR="00631322">
        <w:t>…”</w:t>
      </w:r>
      <w:bookmarkStart w:id="1" w:name="co_tablefootnote_14_1"/>
      <w:bookmarkEnd w:id="1"/>
      <w:r>
        <w:rPr>
          <w:rStyle w:val="FootnoteReference"/>
        </w:rPr>
        <w:footnoteReference w:id="5"/>
      </w:r>
      <w:r w:rsidR="007C1329">
        <w:t xml:space="preserve">  </w:t>
      </w:r>
      <w:r w:rsidR="00631322">
        <w:t xml:space="preserve">Thus, </w:t>
      </w:r>
      <w:r w:rsidR="00C55158">
        <w:t>March</w:t>
      </w:r>
      <w:r w:rsidR="00631322">
        <w:t xml:space="preserve"> 2</w:t>
      </w:r>
      <w:r w:rsidR="00C55158">
        <w:t>2</w:t>
      </w:r>
      <w:r w:rsidR="00631322">
        <w:t xml:space="preserve">, 2019 was the filing deadline for </w:t>
      </w:r>
      <w:r w:rsidR="00E25A31">
        <w:t xml:space="preserve">the </w:t>
      </w:r>
      <w:r w:rsidR="002422D0">
        <w:t>County</w:t>
      </w:r>
      <w:r w:rsidR="00E25A31">
        <w:t xml:space="preserve"> to file a reconsideration p</w:t>
      </w:r>
      <w:r w:rsidR="003D5B02">
        <w:t>etition</w:t>
      </w:r>
      <w:r w:rsidR="00522C30">
        <w:t>, h</w:t>
      </w:r>
      <w:r w:rsidR="00E25A31">
        <w:t xml:space="preserve">owever, </w:t>
      </w:r>
      <w:r w:rsidR="00B6043B">
        <w:t xml:space="preserve">the </w:t>
      </w:r>
      <w:r w:rsidR="002422D0">
        <w:t>County</w:t>
      </w:r>
      <w:r w:rsidR="00B6043B">
        <w:t xml:space="preserve"> </w:t>
      </w:r>
      <w:r w:rsidR="00180B1F">
        <w:t xml:space="preserve">did not </w:t>
      </w:r>
      <w:r w:rsidR="00B6043B">
        <w:t>file</w:t>
      </w:r>
      <w:r w:rsidR="00180B1F">
        <w:t xml:space="preserve"> its</w:t>
      </w:r>
      <w:r w:rsidR="00B6043B">
        <w:t xml:space="preserve"> </w:t>
      </w:r>
      <w:r w:rsidR="00DD06ED">
        <w:t>Petition</w:t>
      </w:r>
      <w:r w:rsidR="00B6043B">
        <w:t xml:space="preserve"> </w:t>
      </w:r>
      <w:r w:rsidR="00180B1F">
        <w:t xml:space="preserve">until </w:t>
      </w:r>
      <w:r w:rsidR="00C55158">
        <w:t>April</w:t>
      </w:r>
      <w:r w:rsidRPr="00180B1F" w:rsidR="00180B1F">
        <w:t xml:space="preserve"> </w:t>
      </w:r>
      <w:r w:rsidR="00C55158">
        <w:t>8</w:t>
      </w:r>
      <w:r w:rsidR="001468C8">
        <w:t>,</w:t>
      </w:r>
      <w:r w:rsidRPr="00180B1F" w:rsidR="00180B1F">
        <w:t xml:space="preserve"> 2019</w:t>
      </w:r>
      <w:r w:rsidR="00E25A31">
        <w:t xml:space="preserve">.  Because the Petition does </w:t>
      </w:r>
      <w:r w:rsidR="00B6043B">
        <w:t>not meet the requirements of Section 1.106(f)</w:t>
      </w:r>
      <w:r w:rsidR="00E25A31">
        <w:t xml:space="preserve">, </w:t>
      </w:r>
      <w:r w:rsidR="00B6043B">
        <w:t>we must dismiss it as untimely.</w:t>
      </w:r>
      <w:r>
        <w:rPr>
          <w:rStyle w:val="FootnoteReference"/>
        </w:rPr>
        <w:footnoteReference w:id="6"/>
      </w:r>
      <w:r w:rsidR="00B6043B">
        <w:t xml:space="preserve">  </w:t>
      </w:r>
    </w:p>
    <w:p w:rsidR="00C47F97" w:rsidP="00D91FC9" w14:paraId="5CF6BE44" w14:textId="16C66523">
      <w:pPr>
        <w:pStyle w:val="ParaNum"/>
        <w:widowControl/>
        <w:tabs>
          <w:tab w:val="clear" w:pos="990"/>
          <w:tab w:val="num" w:pos="1440"/>
        </w:tabs>
        <w:ind w:left="0"/>
      </w:pPr>
      <w:r>
        <w:t xml:space="preserve">If the </w:t>
      </w:r>
      <w:r w:rsidR="002422D0">
        <w:t>County</w:t>
      </w:r>
      <w:r>
        <w:t xml:space="preserve"> desires to continue operating under the parameters formerly set forth under call sign </w:t>
      </w:r>
      <w:r w:rsidR="00C55158">
        <w:rPr>
          <w:szCs w:val="22"/>
        </w:rPr>
        <w:t>WQNG938</w:t>
      </w:r>
      <w:r>
        <w:t xml:space="preserve">, it </w:t>
      </w:r>
      <w:r w:rsidRPr="00C23EFD">
        <w:t>m</w:t>
      </w:r>
      <w:r>
        <w:t>ust</w:t>
      </w:r>
      <w:r w:rsidRPr="00C23EFD">
        <w:t xml:space="preserve"> file a new, </w:t>
      </w:r>
      <w:r>
        <w:t>properly coordinated</w:t>
      </w:r>
      <w:r w:rsidRPr="00C23EFD">
        <w:t xml:space="preserve"> application.  In addition, if </w:t>
      </w:r>
      <w:r>
        <w:t xml:space="preserve">the </w:t>
      </w:r>
      <w:r w:rsidR="002422D0">
        <w:t>County</w:t>
      </w:r>
      <w:r>
        <w:t xml:space="preserve"> </w:t>
      </w:r>
      <w:r w:rsidRPr="00C23EFD">
        <w:t xml:space="preserve">needs to operate while </w:t>
      </w:r>
      <w:r>
        <w:t>the</w:t>
      </w:r>
      <w:r w:rsidRPr="00C23EFD">
        <w:t xml:space="preserve"> application is pending with the Commission, it m</w:t>
      </w:r>
      <w:r>
        <w:t>ust</w:t>
      </w:r>
      <w:r w:rsidRPr="00C23EFD">
        <w:t xml:space="preserve"> </w:t>
      </w:r>
      <w:r>
        <w:t xml:space="preserve">immediately </w:t>
      </w:r>
      <w:r w:rsidRPr="00C23EFD">
        <w:t xml:space="preserve">file a request for </w:t>
      </w:r>
      <w:r>
        <w:t xml:space="preserve">special temporary authority </w:t>
      </w:r>
      <w:r w:rsidRPr="00C23EFD">
        <w:t xml:space="preserve">in </w:t>
      </w:r>
      <w:r>
        <w:t>accordance with Section 1.931</w:t>
      </w:r>
      <w:r w:rsidRPr="00C23EFD">
        <w:t xml:space="preserve"> of the Commission’s rules.</w:t>
      </w:r>
      <w:r>
        <w:rPr>
          <w:rStyle w:val="FootnoteReference"/>
        </w:rPr>
        <w:footnoteReference w:id="7"/>
      </w:r>
      <w:r>
        <w:t xml:space="preserve"> </w:t>
      </w:r>
    </w:p>
    <w:p w:rsidR="00D25233" w:rsidRPr="00D25233" w:rsidP="00D91FC9" w14:paraId="00EE2740" w14:textId="4D010BF8">
      <w:pPr>
        <w:pStyle w:val="ParaNum"/>
        <w:widowControl/>
        <w:tabs>
          <w:tab w:val="clear" w:pos="990"/>
          <w:tab w:val="num" w:pos="1440"/>
        </w:tabs>
        <w:ind w:left="0"/>
      </w:pPr>
      <w:r w:rsidRPr="00D25233">
        <w:t>Accordingly, IT IS ORDERED, pursuant to the authority of Sections 4(</w:t>
      </w:r>
      <w:r w:rsidRPr="00D25233">
        <w:t>i</w:t>
      </w:r>
      <w:r w:rsidRPr="00D25233">
        <w:t>) and 303(r) of the Communications Act of 1934, as amended, 47 U.S.C. §§ 154(</w:t>
      </w:r>
      <w:r w:rsidRPr="00D25233">
        <w:t>i</w:t>
      </w:r>
      <w:r w:rsidRPr="00D25233">
        <w:t xml:space="preserve">) and 303(r), Section 1.106 </w:t>
      </w:r>
      <w:r>
        <w:t>of the Commission’s Rules, 47 CFR</w:t>
      </w:r>
      <w:r w:rsidRPr="00D25233">
        <w:t xml:space="preserve"> </w:t>
      </w:r>
      <w:r>
        <w:t>§</w:t>
      </w:r>
      <w:r w:rsidRPr="00D25233">
        <w:t xml:space="preserve">1.106, </w:t>
      </w:r>
      <w:r w:rsidR="0074789A">
        <w:t xml:space="preserve">and Section </w:t>
      </w:r>
      <w:r w:rsidRPr="0074789A" w:rsidR="0074789A">
        <w:t>405(a) of the Communications Act of 1934, as amended, 47 U.S.C. § 405(a)</w:t>
      </w:r>
      <w:r w:rsidR="0074789A">
        <w:t xml:space="preserve">, </w:t>
      </w:r>
      <w:r w:rsidRPr="00D25233">
        <w:t xml:space="preserve">that the Petition for Reconsideration filed by the </w:t>
      </w:r>
      <w:r w:rsidRPr="002422D0" w:rsidR="00C55158">
        <w:t>Etowah County Communications District E-911</w:t>
      </w:r>
      <w:r w:rsidRPr="00D25233">
        <w:t xml:space="preserve"> on </w:t>
      </w:r>
      <w:r w:rsidR="00C55158">
        <w:t>April</w:t>
      </w:r>
      <w:r w:rsidR="005F300A">
        <w:t xml:space="preserve"> </w:t>
      </w:r>
      <w:r w:rsidR="00C55158">
        <w:t>8</w:t>
      </w:r>
      <w:r w:rsidRPr="00D25233">
        <w:t>, 201</w:t>
      </w:r>
      <w:r w:rsidR="005F300A">
        <w:t>9</w:t>
      </w:r>
      <w:r w:rsidR="00E25A31">
        <w:t>,</w:t>
      </w:r>
      <w:r w:rsidRPr="00D25233">
        <w:t xml:space="preserve"> IS </w:t>
      </w:r>
      <w:r w:rsidR="00B6043B">
        <w:t>DISMISSED</w:t>
      </w:r>
      <w:r w:rsidRPr="00D25233">
        <w:t>.</w:t>
      </w:r>
    </w:p>
    <w:p w:rsidR="00D25233" w:rsidRPr="00D25233" w:rsidP="00D91FC9" w14:paraId="4B646EFB" w14:textId="77777777">
      <w:pPr>
        <w:pStyle w:val="ParaNum"/>
        <w:widowControl/>
        <w:tabs>
          <w:tab w:val="clear" w:pos="990"/>
          <w:tab w:val="num" w:pos="1440"/>
        </w:tabs>
        <w:ind w:left="0"/>
      </w:pPr>
      <w:r w:rsidRPr="00D25233">
        <w:t xml:space="preserve"> This action is taken under delegated authority pursuant to Sections 0.191 and 0.392 </w:t>
      </w:r>
      <w:r w:rsidR="00180B1F">
        <w:t>of the Commission’s Rules, 47 CFR</w:t>
      </w:r>
      <w:r w:rsidRPr="00D25233">
        <w:t xml:space="preserve"> §§ 0.191, 0.392.  </w:t>
      </w:r>
    </w:p>
    <w:p w:rsidR="007C1329" w:rsidP="007C1329" w14:paraId="67027DE1" w14:textId="77777777">
      <w:pPr>
        <w:pStyle w:val="ParaNum"/>
        <w:numPr>
          <w:ilvl w:val="0"/>
          <w:numId w:val="0"/>
        </w:numPr>
        <w:ind w:firstLine="720"/>
      </w:pPr>
    </w:p>
    <w:p w:rsidR="00D1776E" w:rsidP="00D1776E" w14:paraId="65A41F37" w14:textId="77777777">
      <w:pPr>
        <w:pStyle w:val="ParaNum"/>
        <w:keepNext/>
        <w:keepLines/>
        <w:widowControl/>
        <w:numPr>
          <w:ilvl w:val="0"/>
          <w:numId w:val="0"/>
        </w:numPr>
        <w:spacing w:after="0"/>
        <w:ind w:left="3600" w:firstLine="720"/>
      </w:pPr>
      <w:r>
        <w:t xml:space="preserve">FEDERAL COMMUNICATIONS COMMISSION </w:t>
      </w:r>
    </w:p>
    <w:p w:rsidR="00D1776E" w:rsidP="00D1776E" w14:paraId="644E7232" w14:textId="77777777">
      <w:pPr>
        <w:pStyle w:val="ParaNum"/>
        <w:keepNext/>
        <w:keepLines/>
        <w:widowControl/>
        <w:numPr>
          <w:ilvl w:val="0"/>
          <w:numId w:val="0"/>
        </w:numPr>
        <w:spacing w:after="0"/>
        <w:ind w:left="720"/>
      </w:pPr>
    </w:p>
    <w:p w:rsidR="00D1776E" w:rsidP="00D1776E" w14:paraId="307FD39D" w14:textId="77777777">
      <w:pPr>
        <w:pStyle w:val="ParaNum"/>
        <w:keepNext/>
        <w:keepLines/>
        <w:widowControl/>
        <w:numPr>
          <w:ilvl w:val="0"/>
          <w:numId w:val="0"/>
        </w:numPr>
        <w:spacing w:after="0"/>
        <w:ind w:left="720"/>
      </w:pPr>
    </w:p>
    <w:p w:rsidR="00D1776E" w:rsidP="00D1776E" w14:paraId="32E5F3A5" w14:textId="77777777">
      <w:pPr>
        <w:pStyle w:val="ParaNum"/>
        <w:keepNext/>
        <w:keepLines/>
        <w:widowControl/>
        <w:numPr>
          <w:ilvl w:val="0"/>
          <w:numId w:val="0"/>
        </w:numPr>
        <w:spacing w:after="0"/>
        <w:ind w:left="720"/>
      </w:pPr>
    </w:p>
    <w:p w:rsidR="00D1776E" w:rsidP="00D1776E" w14:paraId="3AC0D0F7" w14:textId="77777777">
      <w:pPr>
        <w:pStyle w:val="ParaNum"/>
        <w:keepNext/>
        <w:keepLines/>
        <w:widowControl/>
        <w:numPr>
          <w:ilvl w:val="0"/>
          <w:numId w:val="0"/>
        </w:numPr>
        <w:spacing w:after="0"/>
        <w:ind w:left="720"/>
      </w:pPr>
    </w:p>
    <w:p w:rsidR="00D1776E" w:rsidP="00D1776E" w14:paraId="121D6D46" w14:textId="77777777">
      <w:pPr>
        <w:pStyle w:val="ParaNum"/>
        <w:keepNext/>
        <w:keepLines/>
        <w:widowControl/>
        <w:numPr>
          <w:ilvl w:val="0"/>
          <w:numId w:val="0"/>
        </w:numPr>
        <w:spacing w:after="0"/>
        <w:ind w:left="3600" w:firstLine="720"/>
      </w:pPr>
      <w:r>
        <w:t xml:space="preserve">Michael J. Wilhelm  </w:t>
      </w:r>
    </w:p>
    <w:p w:rsidR="00D1776E" w:rsidP="00D1776E" w14:paraId="0DF5CC3B" w14:textId="77777777">
      <w:pPr>
        <w:pStyle w:val="ParaNum"/>
        <w:keepNext/>
        <w:keepLines/>
        <w:widowControl/>
        <w:numPr>
          <w:ilvl w:val="0"/>
          <w:numId w:val="0"/>
        </w:numPr>
        <w:spacing w:after="0"/>
        <w:ind w:left="3600" w:firstLine="720"/>
      </w:pPr>
      <w:r>
        <w:t xml:space="preserve">Chief, Policy and Licensing Division </w:t>
      </w:r>
    </w:p>
    <w:p w:rsidR="00D1776E" w:rsidRPr="0074239C" w:rsidP="00D1776E" w14:paraId="29A8B6F2" w14:textId="77777777">
      <w:pPr>
        <w:pStyle w:val="ParaNum"/>
        <w:keepNext/>
        <w:keepLines/>
        <w:widowControl/>
        <w:numPr>
          <w:ilvl w:val="0"/>
          <w:numId w:val="0"/>
        </w:numPr>
        <w:spacing w:after="0"/>
        <w:ind w:left="3600" w:firstLine="720"/>
      </w:pPr>
      <w:r>
        <w:t>Public Safety and Homeland Security Bureau</w:t>
      </w:r>
    </w:p>
    <w:p w:rsidR="00D1776E" w:rsidRPr="00541919" w:rsidP="00D1776E" w14:paraId="487F2EA4" w14:textId="77777777">
      <w:bookmarkStart w:id="2" w:name="_GoBack"/>
      <w:bookmarkEnd w:id="2"/>
    </w:p>
    <w:sectPr w:rsidSect="00D1776E">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593FD9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E12C1" w14:paraId="0199E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78C171BF" w14:textId="77777777">
    <w:pPr>
      <w:pStyle w:val="Footer"/>
      <w:framePr w:wrap="around" w:vAnchor="text" w:hAnchor="margin" w:xAlign="center" w:y="1"/>
    </w:pPr>
    <w:r>
      <w:fldChar w:fldCharType="begin"/>
    </w:r>
    <w:r>
      <w:instrText xml:space="preserve">PAGE  </w:instrText>
    </w:r>
    <w:r>
      <w:fldChar w:fldCharType="separate"/>
    </w:r>
    <w:r w:rsidR="005949B1">
      <w:rPr>
        <w:noProof/>
      </w:rPr>
      <w:t>2</w:t>
    </w:r>
    <w:r>
      <w:fldChar w:fldCharType="end"/>
    </w:r>
  </w:p>
  <w:p w:rsidR="006E12C1" w14:paraId="3035B55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14:paraId="60CF21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0D95" w14:paraId="4ABF0D81" w14:textId="77777777">
      <w:r>
        <w:separator/>
      </w:r>
    </w:p>
  </w:footnote>
  <w:footnote w:type="continuationSeparator" w:id="1">
    <w:p w:rsidR="008B0D95" w:rsidP="00D1776E" w14:paraId="2D9706EF" w14:textId="77777777">
      <w:pPr>
        <w:spacing w:before="120"/>
        <w:rPr>
          <w:sz w:val="20"/>
        </w:rPr>
      </w:pPr>
      <w:r>
        <w:rPr>
          <w:sz w:val="20"/>
        </w:rPr>
        <w:t xml:space="preserve">(Continued from previous page)  </w:t>
      </w:r>
      <w:r>
        <w:rPr>
          <w:sz w:val="20"/>
        </w:rPr>
        <w:separator/>
      </w:r>
    </w:p>
  </w:footnote>
  <w:footnote w:type="continuationNotice" w:id="2">
    <w:p w:rsidR="008B0D95" w:rsidP="00D1776E" w14:paraId="76BC09D6" w14:textId="77777777">
      <w:pPr>
        <w:jc w:val="right"/>
        <w:rPr>
          <w:sz w:val="20"/>
        </w:rPr>
      </w:pPr>
    </w:p>
  </w:footnote>
  <w:footnote w:id="3">
    <w:p w:rsidR="00C47F97" w:rsidP="00C47F97" w14:paraId="2FC330BE" w14:textId="6491369C">
      <w:pPr>
        <w:pStyle w:val="FootnoteText"/>
      </w:pPr>
      <w:r>
        <w:rPr>
          <w:rStyle w:val="FootnoteReference"/>
        </w:rPr>
        <w:footnoteRef/>
      </w:r>
      <w:r>
        <w:t xml:space="preserve"> </w:t>
      </w:r>
      <w:r w:rsidRPr="000C1664">
        <w:rPr>
          <w:i/>
        </w:rPr>
        <w:t>See</w:t>
      </w:r>
      <w:r w:rsidRPr="006A2C26">
        <w:t xml:space="preserve"> Auto Termination Letter, Reference Number: </w:t>
      </w:r>
      <w:r>
        <w:t>64</w:t>
      </w:r>
      <w:r w:rsidR="002422D0">
        <w:t>61731</w:t>
      </w:r>
      <w:r>
        <w:t xml:space="preserve"> </w:t>
      </w:r>
      <w:r w:rsidRPr="006A2C26">
        <w:t xml:space="preserve">(dated </w:t>
      </w:r>
      <w:r w:rsidR="002422D0">
        <w:t>Feb</w:t>
      </w:r>
      <w:r w:rsidRPr="006A2C26">
        <w:t xml:space="preserve">. </w:t>
      </w:r>
      <w:r>
        <w:t>2</w:t>
      </w:r>
      <w:r w:rsidR="002422D0">
        <w:t>0</w:t>
      </w:r>
      <w:r w:rsidRPr="006A2C26">
        <w:t>, 201</w:t>
      </w:r>
      <w:r w:rsidR="002422D0">
        <w:t>9</w:t>
      </w:r>
      <w:r w:rsidRPr="006A2C26">
        <w:t xml:space="preserve">) (Auto Termination Letter). </w:t>
      </w:r>
      <w:r w:rsidR="00522C30">
        <w:t xml:space="preserve"> </w:t>
      </w:r>
      <w:r w:rsidRPr="006A2C26">
        <w:t>As a condition of its authorization, the Commission’s rules require</w:t>
      </w:r>
      <w:r>
        <w:t>d</w:t>
      </w:r>
      <w:r w:rsidRPr="006A2C26">
        <w:t xml:space="preserve"> </w:t>
      </w:r>
      <w:r>
        <w:t>the County</w:t>
      </w:r>
      <w:r w:rsidRPr="006A2C26">
        <w:t xml:space="preserve"> to construct </w:t>
      </w:r>
      <w:r w:rsidR="00180B1F">
        <w:t xml:space="preserve">its station, </w:t>
      </w:r>
      <w:r w:rsidRPr="006A2C26">
        <w:t xml:space="preserve">Call Sign </w:t>
      </w:r>
      <w:r w:rsidR="002422D0">
        <w:t>WQNG</w:t>
      </w:r>
      <w:r w:rsidR="00C55158">
        <w:t>938</w:t>
      </w:r>
      <w:r w:rsidR="00F73872">
        <w:t>,</w:t>
      </w:r>
      <w:r w:rsidRPr="006A2C26">
        <w:t xml:space="preserve"> </w:t>
      </w:r>
      <w:r>
        <w:t xml:space="preserve">by </w:t>
      </w:r>
      <w:r w:rsidR="00C55158">
        <w:t>Jan</w:t>
      </w:r>
      <w:r>
        <w:t>. 1</w:t>
      </w:r>
      <w:r w:rsidR="00C55158">
        <w:t>2</w:t>
      </w:r>
      <w:r>
        <w:t>, 201</w:t>
      </w:r>
      <w:r w:rsidR="00C55158">
        <w:t>9</w:t>
      </w:r>
      <w:r w:rsidR="00180B1F">
        <w:t>. 47 CFR §</w:t>
      </w:r>
      <w:r w:rsidRPr="006A2C26">
        <w:t xml:space="preserve"> 1.946.</w:t>
      </w:r>
    </w:p>
  </w:footnote>
  <w:footnote w:id="4">
    <w:p w:rsidR="006E12C1" w:rsidP="006A2C26" w14:paraId="6E31A8BF" w14:textId="4CB0F5DA">
      <w:pPr>
        <w:pStyle w:val="FootnoteText"/>
      </w:pPr>
      <w:r>
        <w:rPr>
          <w:rStyle w:val="FootnoteReference"/>
        </w:rPr>
        <w:footnoteRef/>
      </w:r>
      <w:r>
        <w:t xml:space="preserve"> </w:t>
      </w:r>
      <w:r w:rsidR="00F73872">
        <w:t>Petition for Reconsideration</w:t>
      </w:r>
      <w:r>
        <w:t xml:space="preserve"> filed </w:t>
      </w:r>
      <w:r w:rsidR="002422D0">
        <w:t>April</w:t>
      </w:r>
      <w:r w:rsidR="004C0F0B">
        <w:t xml:space="preserve"> </w:t>
      </w:r>
      <w:r w:rsidR="002422D0">
        <w:t>8</w:t>
      </w:r>
      <w:r w:rsidR="004C0F0B">
        <w:t>, 2019</w:t>
      </w:r>
      <w:r>
        <w:t xml:space="preserve"> by </w:t>
      </w:r>
      <w:r w:rsidRPr="002422D0" w:rsidR="002422D0">
        <w:t xml:space="preserve">Etowah County Communications District E-911 </w:t>
      </w:r>
      <w:r w:rsidR="004C0F0B">
        <w:t>(P</w:t>
      </w:r>
      <w:r w:rsidR="00E25A31">
        <w:t>etition</w:t>
      </w:r>
      <w:r w:rsidR="004C0F0B">
        <w:t>)</w:t>
      </w:r>
      <w:r>
        <w:t>.</w:t>
      </w:r>
    </w:p>
  </w:footnote>
  <w:footnote w:id="5">
    <w:p w:rsidR="006E12C1" w:rsidP="00B31158" w14:paraId="0223A708" w14:textId="77777777">
      <w:pPr>
        <w:pStyle w:val="FootnoteText"/>
      </w:pPr>
      <w:r>
        <w:rPr>
          <w:rStyle w:val="FootnoteReference"/>
        </w:rPr>
        <w:footnoteRef/>
      </w:r>
      <w:r w:rsidR="00180B1F">
        <w:t xml:space="preserve"> 47 CFR</w:t>
      </w:r>
      <w:r>
        <w:t xml:space="preserve"> §106(</w:t>
      </w:r>
      <w:r w:rsidR="00C47F97">
        <w:t>f</w:t>
      </w:r>
      <w:r>
        <w:t>)</w:t>
      </w:r>
      <w:r w:rsidR="00C47F97">
        <w:t>.</w:t>
      </w:r>
      <w:r>
        <w:t xml:space="preserve"> </w:t>
      </w:r>
    </w:p>
  </w:footnote>
  <w:footnote w:id="6">
    <w:p w:rsidR="0074789A" w14:paraId="4FA96BFA" w14:textId="61580E25">
      <w:pPr>
        <w:pStyle w:val="FootnoteText"/>
      </w:pPr>
      <w:r>
        <w:rPr>
          <w:rStyle w:val="FootnoteReference"/>
        </w:rPr>
        <w:footnoteRef/>
      </w:r>
      <w:r>
        <w:t xml:space="preserve"> 47 CFR § 1.106(f) is based on </w:t>
      </w:r>
      <w:r w:rsidRPr="0074789A">
        <w:t>Section 405(a) of the Communications Act of 1934, as amended, 47 U.S.C</w:t>
      </w:r>
      <w:r>
        <w:t xml:space="preserve">. </w:t>
      </w:r>
      <w:r w:rsidRPr="0074789A">
        <w:t>§</w:t>
      </w:r>
      <w:r>
        <w:t> </w:t>
      </w:r>
      <w:r w:rsidRPr="0074789A">
        <w:t>405(a)</w:t>
      </w:r>
      <w:r>
        <w:t>.</w:t>
      </w:r>
      <w:r w:rsidRPr="0074789A">
        <w:t> </w:t>
      </w:r>
      <w:r w:rsidR="00522C30">
        <w:t xml:space="preserve"> </w:t>
      </w:r>
      <w:r w:rsidR="001111DE">
        <w:t>Other than in circumstances not present here, t</w:t>
      </w:r>
      <w:r w:rsidRPr="0074789A">
        <w:t xml:space="preserve">his </w:t>
      </w:r>
      <w:r>
        <w:t xml:space="preserve">statutory </w:t>
      </w:r>
      <w:r w:rsidRPr="0074789A">
        <w:t xml:space="preserve">requirement cannot be waived. </w:t>
      </w:r>
      <w:r>
        <w:t xml:space="preserve"> </w:t>
      </w:r>
      <w:r w:rsidRPr="0074789A">
        <w:rPr>
          <w:i/>
        </w:rPr>
        <w:t>See Reuters Ltd. v. FCC</w:t>
      </w:r>
      <w:r w:rsidRPr="0074789A">
        <w:t>, 781 F2d 946, 951–952 (D.C.Cir.1986).</w:t>
      </w:r>
    </w:p>
  </w:footnote>
  <w:footnote w:id="7">
    <w:p w:rsidR="00C47F97" w:rsidP="00C47F97" w14:paraId="31A0331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23130107" w14:textId="4387ECDB">
    <w:pPr>
      <w:pStyle w:val="Header"/>
      <w:rPr>
        <w:b w:val="0"/>
      </w:rPr>
    </w:pPr>
    <w:r>
      <w:tab/>
      <w:t>Federal Communications Commission</w:t>
    </w:r>
    <w:r>
      <w:tab/>
      <w:t>DA 19-</w:t>
    </w:r>
    <w:r w:rsidR="00D5529C">
      <w:t>1136</w:t>
    </w:r>
  </w:p>
  <w:p w:rsidR="006E12C1" w14:paraId="2B1B1EF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E12C1" w14:paraId="4A7FD7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12C1" w:rsidP="00D1776E" w14:paraId="371A2AA2" w14:textId="2344D62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Pr="00D5529C" w:rsidR="00D5529C">
      <w:rPr>
        <w:spacing w:val="-2"/>
      </w:rPr>
      <w:t>19-1136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D548B5F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61554C0"/>
    <w:multiLevelType w:val="hybridMultilevel"/>
    <w:tmpl w:val="48AC64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990"/>
        </w:tabs>
        <w:ind w:left="-90" w:firstLine="720"/>
      </w:pPr>
    </w:lvl>
  </w:abstractNum>
  <w:abstractNum w:abstractNumId="7">
    <w:nsid w:val="7A8E7E55"/>
    <w:multiLevelType w:val="hybridMultilevel"/>
    <w:tmpl w:val="AC98E8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7"/>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88"/>
    <w:rsid w:val="000172DA"/>
    <w:rsid w:val="00022061"/>
    <w:rsid w:val="00032387"/>
    <w:rsid w:val="000627E6"/>
    <w:rsid w:val="00067FA0"/>
    <w:rsid w:val="00072E75"/>
    <w:rsid w:val="000966B0"/>
    <w:rsid w:val="000B7F1D"/>
    <w:rsid w:val="000C1664"/>
    <w:rsid w:val="000D7E49"/>
    <w:rsid w:val="000E2F6E"/>
    <w:rsid w:val="000F2414"/>
    <w:rsid w:val="00102A6F"/>
    <w:rsid w:val="001111DE"/>
    <w:rsid w:val="001468C8"/>
    <w:rsid w:val="001500AD"/>
    <w:rsid w:val="00180B1F"/>
    <w:rsid w:val="00182105"/>
    <w:rsid w:val="0018341B"/>
    <w:rsid w:val="001A466C"/>
    <w:rsid w:val="001B17F4"/>
    <w:rsid w:val="002422D0"/>
    <w:rsid w:val="0026677B"/>
    <w:rsid w:val="002706BB"/>
    <w:rsid w:val="00290717"/>
    <w:rsid w:val="002A641C"/>
    <w:rsid w:val="002D3939"/>
    <w:rsid w:val="0033239E"/>
    <w:rsid w:val="00334B43"/>
    <w:rsid w:val="00336420"/>
    <w:rsid w:val="00353407"/>
    <w:rsid w:val="00360C29"/>
    <w:rsid w:val="00367ED2"/>
    <w:rsid w:val="00375630"/>
    <w:rsid w:val="00385777"/>
    <w:rsid w:val="003B2B20"/>
    <w:rsid w:val="003D5B02"/>
    <w:rsid w:val="003E2246"/>
    <w:rsid w:val="00412E90"/>
    <w:rsid w:val="00417064"/>
    <w:rsid w:val="00473471"/>
    <w:rsid w:val="004841B1"/>
    <w:rsid w:val="004871B0"/>
    <w:rsid w:val="004C0F0B"/>
    <w:rsid w:val="004C125E"/>
    <w:rsid w:val="00502C89"/>
    <w:rsid w:val="005063AC"/>
    <w:rsid w:val="00522C30"/>
    <w:rsid w:val="00534C5B"/>
    <w:rsid w:val="00541919"/>
    <w:rsid w:val="00542A7A"/>
    <w:rsid w:val="0055287F"/>
    <w:rsid w:val="00565013"/>
    <w:rsid w:val="0057229E"/>
    <w:rsid w:val="005902FB"/>
    <w:rsid w:val="005949B1"/>
    <w:rsid w:val="005979A4"/>
    <w:rsid w:val="005A1154"/>
    <w:rsid w:val="005D2D0A"/>
    <w:rsid w:val="005F20D0"/>
    <w:rsid w:val="005F300A"/>
    <w:rsid w:val="005F5184"/>
    <w:rsid w:val="00620A76"/>
    <w:rsid w:val="006271E5"/>
    <w:rsid w:val="00631322"/>
    <w:rsid w:val="00635CB7"/>
    <w:rsid w:val="0065218E"/>
    <w:rsid w:val="00657540"/>
    <w:rsid w:val="00686B67"/>
    <w:rsid w:val="006A2C26"/>
    <w:rsid w:val="006E12C1"/>
    <w:rsid w:val="0070261D"/>
    <w:rsid w:val="007254F6"/>
    <w:rsid w:val="0074239C"/>
    <w:rsid w:val="0074789A"/>
    <w:rsid w:val="007C1329"/>
    <w:rsid w:val="007D0EB0"/>
    <w:rsid w:val="007F51FF"/>
    <w:rsid w:val="0083032A"/>
    <w:rsid w:val="00837779"/>
    <w:rsid w:val="008472FE"/>
    <w:rsid w:val="00893FFA"/>
    <w:rsid w:val="008B0D95"/>
    <w:rsid w:val="008B4CB2"/>
    <w:rsid w:val="008B4F11"/>
    <w:rsid w:val="008C1263"/>
    <w:rsid w:val="008C58A2"/>
    <w:rsid w:val="0091252E"/>
    <w:rsid w:val="00934E9C"/>
    <w:rsid w:val="00955BDB"/>
    <w:rsid w:val="009E3F43"/>
    <w:rsid w:val="009F091F"/>
    <w:rsid w:val="00A30813"/>
    <w:rsid w:val="00A71740"/>
    <w:rsid w:val="00A73964"/>
    <w:rsid w:val="00A90496"/>
    <w:rsid w:val="00AA1AC5"/>
    <w:rsid w:val="00AA5D97"/>
    <w:rsid w:val="00AB27A8"/>
    <w:rsid w:val="00AE550C"/>
    <w:rsid w:val="00B02953"/>
    <w:rsid w:val="00B177EE"/>
    <w:rsid w:val="00B2146C"/>
    <w:rsid w:val="00B31158"/>
    <w:rsid w:val="00B33A84"/>
    <w:rsid w:val="00B55654"/>
    <w:rsid w:val="00B6043B"/>
    <w:rsid w:val="00B73F95"/>
    <w:rsid w:val="00B77963"/>
    <w:rsid w:val="00BB324A"/>
    <w:rsid w:val="00BD0AB4"/>
    <w:rsid w:val="00BD7C00"/>
    <w:rsid w:val="00BE0AD4"/>
    <w:rsid w:val="00BE0E9C"/>
    <w:rsid w:val="00BE5FF7"/>
    <w:rsid w:val="00C122BA"/>
    <w:rsid w:val="00C23EFD"/>
    <w:rsid w:val="00C34E88"/>
    <w:rsid w:val="00C47F97"/>
    <w:rsid w:val="00C550CB"/>
    <w:rsid w:val="00C55158"/>
    <w:rsid w:val="00CB7BA8"/>
    <w:rsid w:val="00CC08C3"/>
    <w:rsid w:val="00CE5A4A"/>
    <w:rsid w:val="00CE6D95"/>
    <w:rsid w:val="00D1776E"/>
    <w:rsid w:val="00D25233"/>
    <w:rsid w:val="00D27629"/>
    <w:rsid w:val="00D46F02"/>
    <w:rsid w:val="00D5529C"/>
    <w:rsid w:val="00D56C84"/>
    <w:rsid w:val="00D73F79"/>
    <w:rsid w:val="00D82FA8"/>
    <w:rsid w:val="00D83129"/>
    <w:rsid w:val="00D84DDE"/>
    <w:rsid w:val="00D84EAB"/>
    <w:rsid w:val="00D91FC9"/>
    <w:rsid w:val="00DD06ED"/>
    <w:rsid w:val="00DD4EE3"/>
    <w:rsid w:val="00DE3CE0"/>
    <w:rsid w:val="00DF1548"/>
    <w:rsid w:val="00DF7031"/>
    <w:rsid w:val="00E00C84"/>
    <w:rsid w:val="00E10041"/>
    <w:rsid w:val="00E25A31"/>
    <w:rsid w:val="00E35535"/>
    <w:rsid w:val="00E4589A"/>
    <w:rsid w:val="00E46727"/>
    <w:rsid w:val="00E61511"/>
    <w:rsid w:val="00E65A74"/>
    <w:rsid w:val="00E728B7"/>
    <w:rsid w:val="00E944ED"/>
    <w:rsid w:val="00EB00ED"/>
    <w:rsid w:val="00EC35D2"/>
    <w:rsid w:val="00ED06EC"/>
    <w:rsid w:val="00EE462C"/>
    <w:rsid w:val="00EE4E42"/>
    <w:rsid w:val="00F214EB"/>
    <w:rsid w:val="00F22942"/>
    <w:rsid w:val="00F73872"/>
    <w:rsid w:val="00F773BC"/>
    <w:rsid w:val="00F82580"/>
    <w:rsid w:val="00F831E8"/>
    <w:rsid w:val="00F843AB"/>
    <w:rsid w:val="00F92223"/>
    <w:rsid w:val="00F9283D"/>
    <w:rsid w:val="00FB7DFE"/>
    <w:rsid w:val="00FC5F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1B7FBD-C11F-4609-B029-379A63EF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91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541919"/>
  </w:style>
  <w:style w:type="paragraph" w:styleId="BalloonText">
    <w:name w:val="Balloon Text"/>
    <w:basedOn w:val="Normal"/>
    <w:link w:val="BalloonTextChar"/>
    <w:rsid w:val="00A9605F"/>
    <w:rPr>
      <w:rFonts w:ascii="Segoe UI" w:hAnsi="Segoe UI" w:cs="Segoe UI"/>
      <w:sz w:val="18"/>
      <w:szCs w:val="18"/>
    </w:rPr>
  </w:style>
  <w:style w:type="character" w:customStyle="1" w:styleId="BalloonTextChar">
    <w:name w:val="Balloon Text Char"/>
    <w:basedOn w:val="DefaultParagraphFont"/>
    <w:link w:val="BalloonText"/>
    <w:rsid w:val="00A9605F"/>
    <w:rPr>
      <w:rFonts w:ascii="Segoe UI" w:hAnsi="Segoe UI" w:cs="Segoe UI"/>
      <w:snapToGrid w:val="0"/>
      <w:kern w:val="28"/>
      <w:sz w:val="18"/>
      <w:szCs w:val="18"/>
    </w:rPr>
  </w:style>
  <w:style w:type="character" w:styleId="CommentReference">
    <w:name w:val="annotation reference"/>
    <w:basedOn w:val="DefaultParagraphFont"/>
    <w:rsid w:val="00DF7031"/>
    <w:rPr>
      <w:sz w:val="16"/>
      <w:szCs w:val="16"/>
    </w:rPr>
  </w:style>
  <w:style w:type="paragraph" w:styleId="CommentText">
    <w:name w:val="annotation text"/>
    <w:basedOn w:val="Normal"/>
    <w:link w:val="CommentTextChar"/>
    <w:rsid w:val="00DF7031"/>
    <w:rPr>
      <w:sz w:val="20"/>
    </w:rPr>
  </w:style>
  <w:style w:type="character" w:customStyle="1" w:styleId="CommentTextChar">
    <w:name w:val="Comment Text Char"/>
    <w:basedOn w:val="DefaultParagraphFont"/>
    <w:link w:val="CommentText"/>
    <w:rsid w:val="00DF7031"/>
    <w:rPr>
      <w:snapToGrid w:val="0"/>
      <w:kern w:val="28"/>
    </w:rPr>
  </w:style>
  <w:style w:type="paragraph" w:styleId="CommentSubject">
    <w:name w:val="annotation subject"/>
    <w:basedOn w:val="CommentText"/>
    <w:next w:val="CommentText"/>
    <w:link w:val="CommentSubjectChar"/>
    <w:rsid w:val="00DF7031"/>
    <w:rPr>
      <w:b/>
      <w:bCs/>
    </w:rPr>
  </w:style>
  <w:style w:type="character" w:customStyle="1" w:styleId="CommentSubjectChar">
    <w:name w:val="Comment Subject Char"/>
    <w:basedOn w:val="CommentTextChar"/>
    <w:link w:val="CommentSubject"/>
    <w:rsid w:val="00DF7031"/>
    <w:rPr>
      <w:b/>
      <w:bCs/>
      <w:snapToGrid w:val="0"/>
      <w:kern w:val="28"/>
    </w:rPr>
  </w:style>
  <w:style w:type="paragraph" w:styleId="Revision">
    <w:name w:val="Revision"/>
    <w:hidden/>
    <w:uiPriority w:val="99"/>
    <w:semiHidden/>
    <w:rsid w:val="00DF7031"/>
    <w:rPr>
      <w:snapToGrid w:val="0"/>
      <w:kern w:val="28"/>
      <w:sz w:val="22"/>
    </w:rPr>
  </w:style>
  <w:style w:type="character" w:customStyle="1" w:styleId="ParaNumChar">
    <w:name w:val="ParaNum Char"/>
    <w:link w:val="ParaNum"/>
    <w:uiPriority w:val="99"/>
    <w:locked/>
    <w:rsid w:val="00C47F97"/>
    <w:rPr>
      <w:snapToGrid w:val="0"/>
      <w:kern w:val="28"/>
      <w:sz w:val="22"/>
    </w:rPr>
  </w:style>
  <w:style w:type="character" w:styleId="FollowedHyperlink">
    <w:name w:val="FollowedHyperlink"/>
    <w:basedOn w:val="DefaultParagraphFont"/>
    <w:rsid w:val="00631322"/>
    <w:rPr>
      <w:color w:val="954F72" w:themeColor="followedHyperlink"/>
      <w:u w:val="single"/>
    </w:rPr>
  </w:style>
  <w:style w:type="character" w:customStyle="1" w:styleId="UnresolvedMention1">
    <w:name w:val="Unresolved Mention1"/>
    <w:basedOn w:val="DefaultParagraphFont"/>
    <w:uiPriority w:val="99"/>
    <w:semiHidden/>
    <w:unhideWhenUsed/>
    <w:rsid w:val="0074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