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B73B55">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E015BA">
              <w:t>3</w:t>
            </w:r>
            <w:r w:rsidR="00741B47">
              <w:t>371579</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Adopted:</w:t>
      </w:r>
      <w:r w:rsidR="00F226D9">
        <w:rPr>
          <w:b/>
          <w:spacing w:val="-2"/>
          <w:szCs w:val="22"/>
        </w:rPr>
        <w:t xml:space="preserve"> </w:t>
      </w:r>
      <w:bookmarkStart w:id="0" w:name="_GoBack"/>
      <w:bookmarkEnd w:id="0"/>
      <w:r w:rsidR="00F226D9">
        <w:rPr>
          <w:b/>
          <w:spacing w:val="-2"/>
          <w:szCs w:val="22"/>
        </w:rPr>
        <w:t>November 4</w:t>
      </w:r>
      <w:r>
        <w:rPr>
          <w:b/>
          <w:spacing w:val="-2"/>
          <w:szCs w:val="22"/>
        </w:rPr>
        <w:t>, 2019</w:t>
      </w:r>
      <w:r>
        <w:rPr>
          <w:b/>
          <w:spacing w:val="-2"/>
          <w:szCs w:val="22"/>
        </w:rPr>
        <w:tab/>
        <w:t xml:space="preserve">Released: </w:t>
      </w:r>
      <w:r w:rsidR="00F226D9">
        <w:rPr>
          <w:b/>
          <w:spacing w:val="-2"/>
          <w:szCs w:val="22"/>
        </w:rPr>
        <w:t>November 5</w:t>
      </w:r>
      <w:r>
        <w:rPr>
          <w:b/>
          <w:spacing w:val="-2"/>
          <w:szCs w:val="22"/>
        </w:rPr>
        <w:t>, 2019</w:t>
      </w:r>
    </w:p>
    <w:p w:rsidR="00AB71F2" w:rsidP="00AB71F2">
      <w:pPr>
        <w:rPr>
          <w:szCs w:val="22"/>
        </w:rPr>
      </w:pPr>
    </w:p>
    <w:p w:rsidR="00AB71F2" w:rsidP="00B73B55">
      <w:pPr>
        <w:spacing w:after="120"/>
        <w:rPr>
          <w:szCs w:val="22"/>
        </w:rPr>
      </w:pPr>
      <w:r>
        <w:rPr>
          <w:szCs w:val="22"/>
        </w:rPr>
        <w:t>By the Deputy Chief, Consumer Policy Division, Consumer and Governmental Affairs Bureau:</w:t>
      </w:r>
    </w:p>
    <w:p w:rsidR="00AB71F2" w:rsidP="00B73B55">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B73B55">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A133FC" w:rsidP="009D72F3">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Pr="002A45AF" w:rsidR="009F6F0E">
        <w:rPr>
          <w:szCs w:val="22"/>
        </w:rPr>
        <w:t>Telplex</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sidRPr="002A45AF" w:rsidR="00311848">
        <w:rPr>
          <w:szCs w:val="22"/>
        </w:rPr>
        <w:t xml:space="preserve"> </w:t>
      </w:r>
      <w:r w:rsidRPr="002A45AF" w:rsidR="00B83BA2">
        <w:rPr>
          <w:szCs w:val="22"/>
        </w:rPr>
        <w:t xml:space="preserve">In </w:t>
      </w:r>
      <w:r w:rsidRPr="002A45AF" w:rsidR="00305DCB">
        <w:rPr>
          <w:szCs w:val="22"/>
        </w:rPr>
        <w:t>the complaint</w:t>
      </w:r>
      <w:r w:rsidRPr="002A45AF" w:rsidR="00B83BA2">
        <w:rPr>
          <w:szCs w:val="22"/>
        </w:rPr>
        <w:t xml:space="preserve">, Complainant </w:t>
      </w:r>
      <w:r w:rsidRPr="002A45AF" w:rsidR="00305DCB">
        <w:rPr>
          <w:szCs w:val="22"/>
        </w:rPr>
        <w:t xml:space="preserve">also </w:t>
      </w:r>
      <w:r w:rsidRPr="002A45AF" w:rsidR="00B83BA2">
        <w:rPr>
          <w:szCs w:val="22"/>
        </w:rPr>
        <w:t>allege</w:t>
      </w:r>
      <w:r w:rsidR="001C0B77">
        <w:rPr>
          <w:szCs w:val="22"/>
        </w:rPr>
        <w:t>s</w:t>
      </w:r>
      <w:r w:rsidRPr="002A45AF" w:rsidR="00B83BA2">
        <w:rPr>
          <w:szCs w:val="22"/>
        </w:rPr>
        <w:t xml:space="preserve"> that</w:t>
      </w:r>
      <w:r w:rsidRPr="002A45AF" w:rsidR="00BA7C1E">
        <w:rPr>
          <w:szCs w:val="22"/>
        </w:rPr>
        <w:t xml:space="preserve"> </w:t>
      </w:r>
      <w:r w:rsidR="00741B47">
        <w:rPr>
          <w:szCs w:val="22"/>
        </w:rPr>
        <w:t>“</w:t>
      </w:r>
      <w:r w:rsidR="00741B47">
        <w:rPr>
          <w:szCs w:val="22"/>
        </w:rPr>
        <w:t>TelPlex</w:t>
      </w:r>
      <w:r w:rsidR="00741B47">
        <w:rPr>
          <w:szCs w:val="22"/>
        </w:rPr>
        <w:t xml:space="preserve"> contacted an employee at one of our locations stating they were a representative of ATT and needed to verify some account information.  The </w:t>
      </w:r>
      <w:r w:rsidR="00B85F3F">
        <w:rPr>
          <w:szCs w:val="22"/>
        </w:rPr>
        <w:t>[employee]</w:t>
      </w:r>
      <w:r w:rsidR="00741B47">
        <w:rPr>
          <w:szCs w:val="22"/>
        </w:rPr>
        <w:t xml:space="preserve"> that </w:t>
      </w:r>
      <w:r w:rsidR="00741B47">
        <w:rPr>
          <w:szCs w:val="22"/>
        </w:rPr>
        <w:t>TelPlex</w:t>
      </w:r>
      <w:r w:rsidR="00741B47">
        <w:rPr>
          <w:szCs w:val="22"/>
        </w:rPr>
        <w:t xml:space="preserve"> spoke to was not in charge of our phone services and was not aware that </w:t>
      </w:r>
      <w:r w:rsidR="00741B47">
        <w:rPr>
          <w:szCs w:val="22"/>
        </w:rPr>
        <w:t>TelPlex</w:t>
      </w:r>
      <w:r w:rsidR="00741B47">
        <w:rPr>
          <w:szCs w:val="22"/>
        </w:rPr>
        <w:t xml:space="preserve"> was moving the services from ATT</w:t>
      </w:r>
      <w:r w:rsidR="00E9403B">
        <w:rPr>
          <w:szCs w:val="22"/>
        </w:rPr>
        <w:t xml:space="preserve">.  </w:t>
      </w:r>
      <w:r w:rsidR="00741B47">
        <w:rPr>
          <w:szCs w:val="22"/>
        </w:rPr>
        <w:t>We have a master Corp</w:t>
      </w:r>
      <w:r w:rsidR="00B85F3F">
        <w:rPr>
          <w:szCs w:val="22"/>
        </w:rPr>
        <w:t>or</w:t>
      </w:r>
      <w:r w:rsidR="00741B47">
        <w:rPr>
          <w:szCs w:val="22"/>
        </w:rPr>
        <w:t>ate agreement with ATT for all of our business locations.”</w:t>
      </w:r>
      <w:r>
        <w:rPr>
          <w:rStyle w:val="FootnoteReference"/>
          <w:szCs w:val="22"/>
        </w:rPr>
        <w:footnoteReference w:id="12"/>
      </w:r>
      <w:r w:rsidR="00741B47">
        <w:rPr>
          <w:szCs w:val="22"/>
        </w:rPr>
        <w:t xml:space="preserve">  Complainant also </w:t>
      </w:r>
      <w:r w:rsidR="00DC300A">
        <w:rPr>
          <w:szCs w:val="22"/>
        </w:rPr>
        <w:t>claims</w:t>
      </w:r>
      <w:r w:rsidR="00741B47">
        <w:rPr>
          <w:szCs w:val="22"/>
        </w:rPr>
        <w:t xml:space="preserve"> that </w:t>
      </w:r>
      <w:r w:rsidR="00741B47">
        <w:rPr>
          <w:szCs w:val="22"/>
        </w:rPr>
        <w:t>Telplex</w:t>
      </w:r>
      <w:r w:rsidR="00741B47">
        <w:rPr>
          <w:szCs w:val="22"/>
        </w:rPr>
        <w:t xml:space="preserve"> billed the business for charges that were three and half times the rates </w:t>
      </w:r>
      <w:r>
        <w:rPr>
          <w:szCs w:val="22"/>
        </w:rPr>
        <w:t xml:space="preserve">it </w:t>
      </w:r>
      <w:r w:rsidR="00741B47">
        <w:rPr>
          <w:szCs w:val="22"/>
        </w:rPr>
        <w:t>paid to AT&amp;T.</w:t>
      </w:r>
      <w:r>
        <w:rPr>
          <w:rStyle w:val="FootnoteReference"/>
          <w:szCs w:val="22"/>
        </w:rPr>
        <w:footnoteReference w:id="13"/>
      </w:r>
      <w:r w:rsidR="00741B47">
        <w:rPr>
          <w:szCs w:val="22"/>
        </w:rPr>
        <w:t xml:space="preserve">  </w:t>
      </w:r>
      <w:r w:rsidRPr="009D72F3" w:rsidR="004851C4">
        <w:rPr>
          <w:szCs w:val="22"/>
        </w:rPr>
        <w:t xml:space="preserve">With the complaint, Complainant provided copies of the invoices </w:t>
      </w:r>
      <w:r w:rsidR="004851C4">
        <w:rPr>
          <w:szCs w:val="22"/>
        </w:rPr>
        <w:t>the business</w:t>
      </w:r>
      <w:r w:rsidRPr="009D72F3" w:rsidR="004851C4">
        <w:rPr>
          <w:szCs w:val="22"/>
        </w:rPr>
        <w:t xml:space="preserve"> received from </w:t>
      </w:r>
      <w:r w:rsidRPr="009D72F3" w:rsidR="004851C4">
        <w:rPr>
          <w:szCs w:val="22"/>
        </w:rPr>
        <w:t>Telplex</w:t>
      </w:r>
      <w:r w:rsidR="004851C4">
        <w:rPr>
          <w:szCs w:val="22"/>
        </w:rPr>
        <w:t xml:space="preserve">, along with the business’s AT&amp;T telephone bill prior to the switch to </w:t>
      </w:r>
      <w:r w:rsidR="004851C4">
        <w:rPr>
          <w:szCs w:val="22"/>
        </w:rPr>
        <w:t>Telplex</w:t>
      </w:r>
      <w:r w:rsidR="004851C4">
        <w:rPr>
          <w:szCs w:val="22"/>
        </w:rPr>
        <w:t>.</w:t>
      </w:r>
    </w:p>
    <w:p w:rsidR="00BA7C1E" w:rsidRPr="009D72F3" w:rsidP="009D72F3">
      <w:pPr>
        <w:numPr>
          <w:ilvl w:val="0"/>
          <w:numId w:val="7"/>
        </w:numPr>
        <w:snapToGrid w:val="0"/>
        <w:spacing w:after="120"/>
        <w:ind w:left="0" w:firstLine="720"/>
        <w:rPr>
          <w:szCs w:val="22"/>
        </w:rPr>
      </w:pPr>
      <w:r>
        <w:rPr>
          <w:szCs w:val="22"/>
        </w:rPr>
        <w:t xml:space="preserve">On September 6, 2019, </w:t>
      </w:r>
      <w:r w:rsidR="00081BB4">
        <w:rPr>
          <w:szCs w:val="22"/>
        </w:rPr>
        <w:t>Division</w:t>
      </w:r>
      <w:r>
        <w:rPr>
          <w:szCs w:val="22"/>
        </w:rPr>
        <w:t xml:space="preserve"> staff</w:t>
      </w:r>
      <w:r w:rsidR="00081BB4">
        <w:rPr>
          <w:szCs w:val="22"/>
        </w:rPr>
        <w:t xml:space="preserve"> reached out to Complainant and </w:t>
      </w:r>
      <w:r w:rsidR="00DC300A">
        <w:rPr>
          <w:szCs w:val="22"/>
        </w:rPr>
        <w:t>the</w:t>
      </w:r>
      <w:r w:rsidR="00081BB4">
        <w:rPr>
          <w:szCs w:val="22"/>
        </w:rPr>
        <w:t xml:space="preserve"> employee who </w:t>
      </w:r>
      <w:r>
        <w:rPr>
          <w:szCs w:val="22"/>
        </w:rPr>
        <w:t xml:space="preserve">spoke to </w:t>
      </w:r>
      <w:r w:rsidR="00081BB4">
        <w:rPr>
          <w:szCs w:val="22"/>
        </w:rPr>
        <w:t>Telplex</w:t>
      </w:r>
      <w:r>
        <w:rPr>
          <w:szCs w:val="22"/>
        </w:rPr>
        <w:t>’s</w:t>
      </w:r>
      <w:r>
        <w:rPr>
          <w:szCs w:val="22"/>
        </w:rPr>
        <w:t xml:space="preserve"> sales agent and whose voice is on </w:t>
      </w:r>
      <w:r>
        <w:rPr>
          <w:szCs w:val="22"/>
        </w:rPr>
        <w:t>Telplex’s</w:t>
      </w:r>
      <w:r>
        <w:rPr>
          <w:szCs w:val="22"/>
        </w:rPr>
        <w:t xml:space="preserve"> TPV recording.  </w:t>
      </w:r>
      <w:r w:rsidR="00AD126E">
        <w:rPr>
          <w:szCs w:val="22"/>
        </w:rPr>
        <w:t>Division staff played the TPV recording</w:t>
      </w:r>
      <w:r w:rsidR="004E65EF">
        <w:rPr>
          <w:szCs w:val="22"/>
        </w:rPr>
        <w:t xml:space="preserve"> for them</w:t>
      </w:r>
      <w:r w:rsidR="00DC300A">
        <w:rPr>
          <w:szCs w:val="22"/>
        </w:rPr>
        <w:t xml:space="preserve">.  They </w:t>
      </w:r>
      <w:r w:rsidR="00DB58F8">
        <w:rPr>
          <w:szCs w:val="22"/>
        </w:rPr>
        <w:t xml:space="preserve">confirmed that </w:t>
      </w:r>
      <w:r>
        <w:rPr>
          <w:szCs w:val="22"/>
        </w:rPr>
        <w:t xml:space="preserve">the </w:t>
      </w:r>
      <w:r w:rsidR="00DB58F8">
        <w:rPr>
          <w:szCs w:val="22"/>
        </w:rPr>
        <w:t>Telplex</w:t>
      </w:r>
      <w:r w:rsidR="00DB58F8">
        <w:rPr>
          <w:szCs w:val="22"/>
        </w:rPr>
        <w:t xml:space="preserve"> </w:t>
      </w:r>
      <w:r>
        <w:rPr>
          <w:szCs w:val="22"/>
        </w:rPr>
        <w:t>sales agent represented</w:t>
      </w:r>
      <w:r w:rsidR="00DB58F8">
        <w:rPr>
          <w:szCs w:val="22"/>
        </w:rPr>
        <w:t xml:space="preserve"> </w:t>
      </w:r>
      <w:r>
        <w:rPr>
          <w:szCs w:val="22"/>
        </w:rPr>
        <w:t>herself</w:t>
      </w:r>
      <w:r w:rsidR="00DB58F8">
        <w:rPr>
          <w:szCs w:val="22"/>
        </w:rPr>
        <w:t xml:space="preserve"> as </w:t>
      </w:r>
      <w:r>
        <w:rPr>
          <w:szCs w:val="22"/>
        </w:rPr>
        <w:t xml:space="preserve">calling from </w:t>
      </w:r>
      <w:r w:rsidR="00DB58F8">
        <w:rPr>
          <w:szCs w:val="22"/>
        </w:rPr>
        <w:t>AT&amp;T</w:t>
      </w:r>
      <w:r w:rsidR="00972675">
        <w:rPr>
          <w:szCs w:val="22"/>
        </w:rPr>
        <w:t xml:space="preserve">.  They also </w:t>
      </w:r>
      <w:r w:rsidR="00A133FC">
        <w:rPr>
          <w:szCs w:val="22"/>
        </w:rPr>
        <w:t xml:space="preserve">stated </w:t>
      </w:r>
      <w:r w:rsidR="00DB58F8">
        <w:rPr>
          <w:szCs w:val="22"/>
        </w:rPr>
        <w:t xml:space="preserve">that the employee would never have </w:t>
      </w:r>
      <w:r w:rsidR="0056611F">
        <w:rPr>
          <w:szCs w:val="22"/>
        </w:rPr>
        <w:t xml:space="preserve">knowingly </w:t>
      </w:r>
      <w:r w:rsidR="00DB58F8">
        <w:rPr>
          <w:szCs w:val="22"/>
        </w:rPr>
        <w:t>agreed to change service away from AT&amp;T as she is not responsible for any management decisions for the business</w:t>
      </w:r>
      <w:r w:rsidR="004E65EF">
        <w:rPr>
          <w:szCs w:val="22"/>
        </w:rPr>
        <w:t xml:space="preserve">, including decisions about phone service. </w:t>
      </w:r>
      <w:r w:rsidR="009971D7">
        <w:rPr>
          <w:szCs w:val="22"/>
        </w:rPr>
        <w:t xml:space="preserve"> Complainant also stated that he paid </w:t>
      </w:r>
      <w:r w:rsidR="009971D7">
        <w:rPr>
          <w:szCs w:val="22"/>
        </w:rPr>
        <w:t>Telplex</w:t>
      </w:r>
      <w:r w:rsidR="009971D7">
        <w:rPr>
          <w:szCs w:val="22"/>
        </w:rPr>
        <w:t xml:space="preserve"> more than $2,000 in order </w:t>
      </w:r>
      <w:r w:rsidR="00F97D24">
        <w:rPr>
          <w:szCs w:val="22"/>
        </w:rPr>
        <w:t xml:space="preserve">to </w:t>
      </w:r>
      <w:r w:rsidR="009971D7">
        <w:rPr>
          <w:szCs w:val="22"/>
        </w:rPr>
        <w:t>restore and port his service back to AT&amp;T.</w:t>
      </w:r>
      <w:r>
        <w:rPr>
          <w:rStyle w:val="FootnoteReference"/>
          <w:szCs w:val="22"/>
        </w:rPr>
        <w:footnoteReference w:id="14"/>
      </w:r>
      <w:r w:rsidR="009971D7">
        <w:rPr>
          <w:szCs w:val="22"/>
        </w:rPr>
        <w:t xml:space="preserve"> </w:t>
      </w:r>
      <w:r w:rsidR="004E65EF">
        <w:rPr>
          <w:szCs w:val="22"/>
        </w:rPr>
        <w:t xml:space="preserve"> </w:t>
      </w:r>
      <w:r w:rsidRPr="009D72F3" w:rsidR="004F7A19">
        <w:rPr>
          <w:szCs w:val="22"/>
        </w:rPr>
        <w:t xml:space="preserve"> </w:t>
      </w:r>
      <w:r w:rsidRPr="009D72F3" w:rsidR="001D73F3">
        <w:rPr>
          <w:szCs w:val="22"/>
        </w:rPr>
        <w:t xml:space="preserve">  </w:t>
      </w:r>
    </w:p>
    <w:p w:rsidR="000460DE" w:rsidRPr="000460DE" w:rsidP="000460DE">
      <w:pPr>
        <w:numPr>
          <w:ilvl w:val="0"/>
          <w:numId w:val="7"/>
        </w:numPr>
        <w:snapToGrid w:val="0"/>
        <w:spacing w:after="120"/>
        <w:ind w:left="0" w:firstLine="720"/>
        <w:rPr>
          <w:szCs w:val="22"/>
        </w:rPr>
      </w:pPr>
      <w:r w:rsidRPr="00A447E0">
        <w:rPr>
          <w:szCs w:val="22"/>
        </w:rPr>
        <w:t xml:space="preserve">Pursuant to our rules, we notified </w:t>
      </w:r>
      <w:r w:rsidRPr="00A447E0">
        <w:rPr>
          <w:szCs w:val="22"/>
        </w:rPr>
        <w:t>Telplex</w:t>
      </w:r>
      <w:r>
        <w:rPr>
          <w:szCs w:val="22"/>
        </w:rPr>
        <w:t xml:space="preserve"> of the complaint</w:t>
      </w:r>
      <w:r w:rsidR="005D1258">
        <w:rPr>
          <w:szCs w:val="22"/>
        </w:rPr>
        <w:t>.</w:t>
      </w:r>
      <w:r>
        <w:rPr>
          <w:rStyle w:val="FootnoteReference"/>
          <w:szCs w:val="22"/>
        </w:rPr>
        <w:footnoteReference w:id="15"/>
      </w:r>
      <w:r w:rsidR="002B63B8">
        <w:rPr>
          <w:szCs w:val="22"/>
        </w:rPr>
        <w:t xml:space="preserve"> </w:t>
      </w:r>
      <w:r>
        <w:rPr>
          <w:szCs w:val="22"/>
        </w:rPr>
        <w:t xml:space="preserve"> </w:t>
      </w:r>
      <w:r>
        <w:rPr>
          <w:szCs w:val="22"/>
        </w:rPr>
        <w:t>Telplex</w:t>
      </w:r>
      <w:r>
        <w:rPr>
          <w:szCs w:val="22"/>
        </w:rPr>
        <w:t xml:space="preserve"> responded</w:t>
      </w:r>
      <w:r w:rsidR="005D1258">
        <w:rPr>
          <w:szCs w:val="22"/>
        </w:rPr>
        <w:t xml:space="preserve"> to the complaint, </w:t>
      </w:r>
      <w:r>
        <w:rPr>
          <w:szCs w:val="22"/>
        </w:rPr>
        <w:t>stat</w:t>
      </w:r>
      <w:r w:rsidR="005D1258">
        <w:rPr>
          <w:szCs w:val="22"/>
        </w:rPr>
        <w:t>ing</w:t>
      </w:r>
      <w:r>
        <w:rPr>
          <w:szCs w:val="22"/>
        </w:rPr>
        <w:t xml:space="preserve"> that authorization was received and confirmed through </w:t>
      </w:r>
      <w:r w:rsidR="00305DCB">
        <w:rPr>
          <w:szCs w:val="22"/>
        </w:rPr>
        <w:t xml:space="preserve">a </w:t>
      </w:r>
      <w:r>
        <w:rPr>
          <w:szCs w:val="22"/>
        </w:rPr>
        <w:t>TPV.</w:t>
      </w:r>
      <w:r>
        <w:rPr>
          <w:rStyle w:val="FootnoteReference"/>
          <w:szCs w:val="22"/>
        </w:rPr>
        <w:footnoteReference w:id="16"/>
      </w:r>
      <w:r w:rsidR="002B63B8">
        <w:rPr>
          <w:szCs w:val="22"/>
        </w:rPr>
        <w:t xml:space="preserve"> </w:t>
      </w:r>
      <w:r>
        <w:rPr>
          <w:szCs w:val="22"/>
        </w:rPr>
        <w:t xml:space="preserve"> </w:t>
      </w:r>
      <w:r w:rsidR="00C74A8A">
        <w:rPr>
          <w:szCs w:val="22"/>
        </w:rPr>
        <w:t>Telplex</w:t>
      </w:r>
      <w:r w:rsidR="00CF2AA9">
        <w:rPr>
          <w:szCs w:val="22"/>
        </w:rPr>
        <w:t xml:space="preserve"> also state</w:t>
      </w:r>
      <w:r w:rsidR="0067532A">
        <w:rPr>
          <w:szCs w:val="22"/>
        </w:rPr>
        <w:t>s</w:t>
      </w:r>
      <w:r w:rsidR="00CF2AA9">
        <w:rPr>
          <w:szCs w:val="22"/>
        </w:rPr>
        <w:t xml:space="preserve"> that </w:t>
      </w:r>
      <w:r w:rsidR="009D72F3">
        <w:rPr>
          <w:szCs w:val="22"/>
        </w:rPr>
        <w:t xml:space="preserve">Complainant’s allegations “are directly contradicted by the TPV recording and transcript unambiguously establishing that </w:t>
      </w:r>
      <w:r w:rsidR="007D3C07">
        <w:rPr>
          <w:szCs w:val="22"/>
        </w:rPr>
        <w:t>[employee]</w:t>
      </w:r>
      <w:r w:rsidR="009D72F3">
        <w:rPr>
          <w:szCs w:val="22"/>
        </w:rPr>
        <w:t xml:space="preserve"> clearly understood at the time of the call in question that the </w:t>
      </w:r>
      <w:r w:rsidR="009D72F3">
        <w:rPr>
          <w:szCs w:val="22"/>
        </w:rPr>
        <w:t>representative called h</w:t>
      </w:r>
      <w:r w:rsidR="007D3C07">
        <w:rPr>
          <w:szCs w:val="22"/>
        </w:rPr>
        <w:t>er</w:t>
      </w:r>
      <w:r w:rsidR="009D72F3">
        <w:rPr>
          <w:szCs w:val="22"/>
        </w:rPr>
        <w:t xml:space="preserve"> on behalf of </w:t>
      </w:r>
      <w:r w:rsidR="009D72F3">
        <w:rPr>
          <w:szCs w:val="22"/>
        </w:rPr>
        <w:t>Telplex</w:t>
      </w:r>
      <w:r w:rsidR="009D72F3">
        <w:rPr>
          <w:szCs w:val="22"/>
        </w:rPr>
        <w:t xml:space="preserve">, a separate carrier competing with AT&amp;T, and that </w:t>
      </w:r>
      <w:r w:rsidR="007D3C07">
        <w:rPr>
          <w:szCs w:val="22"/>
        </w:rPr>
        <w:t>s</w:t>
      </w:r>
      <w:r w:rsidR="009D72F3">
        <w:rPr>
          <w:szCs w:val="22"/>
        </w:rPr>
        <w:t xml:space="preserve">he </w:t>
      </w:r>
      <w:r w:rsidR="00C74A8A">
        <w:rPr>
          <w:szCs w:val="22"/>
        </w:rPr>
        <w:t>w</w:t>
      </w:r>
      <w:r w:rsidR="009D72F3">
        <w:rPr>
          <w:szCs w:val="22"/>
        </w:rPr>
        <w:t>as authorizing a car</w:t>
      </w:r>
      <w:r w:rsidR="006B1727">
        <w:rPr>
          <w:szCs w:val="22"/>
        </w:rPr>
        <w:t>r</w:t>
      </w:r>
      <w:r w:rsidR="009D72F3">
        <w:rPr>
          <w:szCs w:val="22"/>
        </w:rPr>
        <w:t>ier change . . .”</w:t>
      </w:r>
      <w:r>
        <w:rPr>
          <w:rStyle w:val="FootnoteReference"/>
          <w:szCs w:val="22"/>
        </w:rPr>
        <w:footnoteReference w:id="17"/>
      </w:r>
      <w:r w:rsidR="009D72F3">
        <w:rPr>
          <w:szCs w:val="22"/>
        </w:rPr>
        <w:t xml:space="preserve">  </w:t>
      </w:r>
      <w:r w:rsidR="006B1727">
        <w:rPr>
          <w:szCs w:val="22"/>
        </w:rPr>
        <w:t>Telplex</w:t>
      </w:r>
      <w:r w:rsidR="006B1727">
        <w:rPr>
          <w:szCs w:val="22"/>
        </w:rPr>
        <w:t xml:space="preserve"> also asserts that</w:t>
      </w:r>
      <w:r w:rsidR="00666634">
        <w:rPr>
          <w:szCs w:val="22"/>
        </w:rPr>
        <w:t xml:space="preserve"> Complainant has no personal knowledge of the conversation that occurred between </w:t>
      </w:r>
      <w:r w:rsidR="00666634">
        <w:rPr>
          <w:szCs w:val="22"/>
        </w:rPr>
        <w:t>Telplex’s</w:t>
      </w:r>
      <w:r w:rsidR="00666634">
        <w:rPr>
          <w:szCs w:val="22"/>
        </w:rPr>
        <w:t xml:space="preserve"> representative and </w:t>
      </w:r>
      <w:r w:rsidR="000C3E16">
        <w:rPr>
          <w:szCs w:val="22"/>
        </w:rPr>
        <w:t>Complainant’s employee and that the employee represented herself as having full authority to make a carrier change.</w:t>
      </w:r>
      <w:r>
        <w:rPr>
          <w:rStyle w:val="FootnoteReference"/>
          <w:szCs w:val="22"/>
        </w:rPr>
        <w:footnoteReference w:id="18"/>
      </w:r>
      <w:r w:rsidR="000C3E16">
        <w:rPr>
          <w:szCs w:val="22"/>
        </w:rPr>
        <w:t xml:space="preserve">   Finally, </w:t>
      </w:r>
      <w:r w:rsidR="000C3E16">
        <w:rPr>
          <w:szCs w:val="22"/>
        </w:rPr>
        <w:t>Telplex</w:t>
      </w:r>
      <w:r w:rsidR="000C3E16">
        <w:rPr>
          <w:szCs w:val="22"/>
        </w:rPr>
        <w:t xml:space="preserve"> argues that it is not required to guarantee the actual authority of the individual claiming to grant authorization for a service change, nor is </w:t>
      </w:r>
      <w:r w:rsidR="000C3E16">
        <w:rPr>
          <w:szCs w:val="22"/>
        </w:rPr>
        <w:t>Telplex</w:t>
      </w:r>
      <w:r w:rsidR="000C3E16">
        <w:rPr>
          <w:szCs w:val="22"/>
        </w:rPr>
        <w:t xml:space="preserve"> liable if the individual does not in fact have actual authority.</w:t>
      </w:r>
      <w:r>
        <w:rPr>
          <w:rStyle w:val="FootnoteReference"/>
          <w:szCs w:val="22"/>
        </w:rPr>
        <w:footnoteReference w:id="19"/>
      </w:r>
      <w:r w:rsidR="000C3E16">
        <w:rPr>
          <w:szCs w:val="22"/>
        </w:rPr>
        <w:t xml:space="preserve"> </w:t>
      </w:r>
      <w:r w:rsidR="006B1727">
        <w:rPr>
          <w:szCs w:val="22"/>
        </w:rPr>
        <w:t xml:space="preserve"> </w:t>
      </w:r>
      <w:r w:rsidR="001D73F3">
        <w:rPr>
          <w:szCs w:val="24"/>
        </w:rPr>
        <w:t xml:space="preserve">In addition to </w:t>
      </w:r>
      <w:r w:rsidR="00A133FC">
        <w:rPr>
          <w:szCs w:val="24"/>
        </w:rPr>
        <w:t xml:space="preserve">the </w:t>
      </w:r>
      <w:r w:rsidR="001D73F3">
        <w:rPr>
          <w:szCs w:val="24"/>
        </w:rPr>
        <w:t xml:space="preserve">TPV, </w:t>
      </w:r>
      <w:r w:rsidR="001D73F3">
        <w:rPr>
          <w:szCs w:val="24"/>
        </w:rPr>
        <w:t>Telplex</w:t>
      </w:r>
      <w:r w:rsidR="001D73F3">
        <w:rPr>
          <w:szCs w:val="24"/>
        </w:rPr>
        <w:t xml:space="preserve"> </w:t>
      </w:r>
      <w:r w:rsidR="00BA7C1E">
        <w:rPr>
          <w:szCs w:val="24"/>
        </w:rPr>
        <w:t>provided</w:t>
      </w:r>
      <w:r w:rsidR="00DB3243">
        <w:rPr>
          <w:szCs w:val="24"/>
        </w:rPr>
        <w:t xml:space="preserve"> </w:t>
      </w:r>
      <w:r w:rsidR="00A133FC">
        <w:rPr>
          <w:szCs w:val="24"/>
        </w:rPr>
        <w:t>a transcript of the TPV</w:t>
      </w:r>
      <w:r w:rsidR="000C3E16">
        <w:rPr>
          <w:szCs w:val="24"/>
        </w:rPr>
        <w:t xml:space="preserve"> recording</w:t>
      </w:r>
      <w:r w:rsidR="00A133FC">
        <w:rPr>
          <w:szCs w:val="24"/>
        </w:rPr>
        <w:t xml:space="preserve"> and </w:t>
      </w:r>
      <w:r w:rsidR="001D73F3">
        <w:rPr>
          <w:szCs w:val="24"/>
        </w:rPr>
        <w:t>a</w:t>
      </w:r>
      <w:r w:rsidR="00BA7C1E">
        <w:rPr>
          <w:szCs w:val="24"/>
        </w:rPr>
        <w:t xml:space="preserve"> </w:t>
      </w:r>
      <w:r w:rsidR="001D73F3">
        <w:rPr>
          <w:szCs w:val="24"/>
        </w:rPr>
        <w:t xml:space="preserve">“quality control” </w:t>
      </w:r>
      <w:r w:rsidR="00BA7C1E">
        <w:rPr>
          <w:szCs w:val="24"/>
        </w:rPr>
        <w:t xml:space="preserve">checklist that </w:t>
      </w:r>
      <w:r w:rsidR="00BA7C1E">
        <w:rPr>
          <w:szCs w:val="24"/>
        </w:rPr>
        <w:t>Telplex</w:t>
      </w:r>
      <w:r w:rsidR="00BA7C1E">
        <w:rPr>
          <w:szCs w:val="24"/>
        </w:rPr>
        <w:t xml:space="preserve"> says it</w:t>
      </w:r>
      <w:r w:rsidR="00A133FC">
        <w:rPr>
          <w:szCs w:val="24"/>
        </w:rPr>
        <w:t xml:space="preserve"> use</w:t>
      </w:r>
      <w:r w:rsidR="000C3E16">
        <w:rPr>
          <w:szCs w:val="24"/>
        </w:rPr>
        <w:t>d</w:t>
      </w:r>
      <w:r w:rsidR="00A133FC">
        <w:rPr>
          <w:szCs w:val="24"/>
        </w:rPr>
        <w:t xml:space="preserve"> in </w:t>
      </w:r>
      <w:r w:rsidR="000C3E16">
        <w:rPr>
          <w:szCs w:val="24"/>
        </w:rPr>
        <w:t xml:space="preserve">a </w:t>
      </w:r>
      <w:r w:rsidR="00A133FC">
        <w:rPr>
          <w:szCs w:val="24"/>
        </w:rPr>
        <w:t>follow-up call</w:t>
      </w:r>
      <w:r w:rsidR="000C3E16">
        <w:rPr>
          <w:szCs w:val="24"/>
        </w:rPr>
        <w:t xml:space="preserve"> to the employee </w:t>
      </w:r>
      <w:r w:rsidR="00A133FC">
        <w:rPr>
          <w:szCs w:val="24"/>
        </w:rPr>
        <w:t xml:space="preserve">to confirm </w:t>
      </w:r>
      <w:r w:rsidR="000C3E16">
        <w:rPr>
          <w:szCs w:val="24"/>
        </w:rPr>
        <w:t xml:space="preserve">the </w:t>
      </w:r>
      <w:r w:rsidR="00A133FC">
        <w:rPr>
          <w:szCs w:val="24"/>
        </w:rPr>
        <w:t>order</w:t>
      </w:r>
      <w:r w:rsidR="00DB3243">
        <w:rPr>
          <w:szCs w:val="24"/>
        </w:rPr>
        <w:t>.</w:t>
      </w:r>
      <w:r w:rsidR="001D73F3">
        <w:rPr>
          <w:szCs w:val="24"/>
        </w:rPr>
        <w:t xml:space="preserve"> </w:t>
      </w:r>
      <w:r>
        <w:rPr>
          <w:szCs w:val="22"/>
        </w:rPr>
        <w:t xml:space="preserve"> </w:t>
      </w:r>
      <w:r w:rsidRPr="000460DE" w:rsidR="00CA752A">
        <w:rPr>
          <w:szCs w:val="24"/>
        </w:rPr>
        <w:t>Telplex</w:t>
      </w:r>
      <w:r w:rsidRPr="000460DE" w:rsidR="00305DCB">
        <w:rPr>
          <w:szCs w:val="24"/>
        </w:rPr>
        <w:t xml:space="preserve"> </w:t>
      </w:r>
      <w:r w:rsidRPr="000460DE" w:rsidR="00CA752A">
        <w:rPr>
          <w:szCs w:val="24"/>
        </w:rPr>
        <w:t>d</w:t>
      </w:r>
      <w:r w:rsidRPr="000460DE" w:rsidR="008F5FAB">
        <w:rPr>
          <w:szCs w:val="24"/>
        </w:rPr>
        <w:t>id</w:t>
      </w:r>
      <w:r w:rsidRPr="000460DE" w:rsidR="00CA752A">
        <w:rPr>
          <w:szCs w:val="24"/>
        </w:rPr>
        <w:t xml:space="preserve"> not</w:t>
      </w:r>
      <w:r w:rsidRPr="000460DE" w:rsidR="00305DCB">
        <w:rPr>
          <w:szCs w:val="24"/>
        </w:rPr>
        <w:t>, however,</w:t>
      </w:r>
      <w:r w:rsidRPr="000460DE" w:rsidR="00CA752A">
        <w:rPr>
          <w:szCs w:val="24"/>
        </w:rPr>
        <w:t xml:space="preserve"> provide </w:t>
      </w:r>
      <w:r w:rsidR="000C3E16">
        <w:rPr>
          <w:szCs w:val="24"/>
        </w:rPr>
        <w:t>the</w:t>
      </w:r>
      <w:r w:rsidRPr="000460DE" w:rsidR="00CA752A">
        <w:rPr>
          <w:szCs w:val="24"/>
        </w:rPr>
        <w:t xml:space="preserve"> sales call recording</w:t>
      </w:r>
      <w:r w:rsidRPr="000460DE" w:rsidR="00A87E8F">
        <w:rPr>
          <w:szCs w:val="24"/>
        </w:rPr>
        <w:t xml:space="preserve"> </w:t>
      </w:r>
      <w:r w:rsidRPr="000460DE" w:rsidR="00E342E6">
        <w:rPr>
          <w:szCs w:val="24"/>
        </w:rPr>
        <w:t>or other</w:t>
      </w:r>
      <w:r w:rsidRPr="000460DE" w:rsidR="001B1CAF">
        <w:rPr>
          <w:szCs w:val="24"/>
        </w:rPr>
        <w:t xml:space="preserve"> </w:t>
      </w:r>
      <w:r w:rsidRPr="000460DE" w:rsidR="00A87E8F">
        <w:rPr>
          <w:szCs w:val="24"/>
        </w:rPr>
        <w:t>evidence</w:t>
      </w:r>
      <w:r w:rsidRPr="000460DE" w:rsidR="004C7C92">
        <w:rPr>
          <w:szCs w:val="24"/>
        </w:rPr>
        <w:t xml:space="preserve"> rel</w:t>
      </w:r>
      <w:r w:rsidR="00B73B55">
        <w:rPr>
          <w:szCs w:val="24"/>
        </w:rPr>
        <w:t>ated</w:t>
      </w:r>
      <w:r w:rsidRPr="000460DE" w:rsidR="004C7C92">
        <w:rPr>
          <w:szCs w:val="24"/>
        </w:rPr>
        <w:t xml:space="preserve"> to the sales call</w:t>
      </w:r>
      <w:r w:rsidR="00324EF7">
        <w:rPr>
          <w:szCs w:val="24"/>
        </w:rPr>
        <w:t>, such as the script used by the telemarketer</w:t>
      </w:r>
      <w:r w:rsidR="00D77547">
        <w:rPr>
          <w:szCs w:val="24"/>
        </w:rPr>
        <w:t xml:space="preserve"> </w:t>
      </w:r>
      <w:r w:rsidR="00894893">
        <w:rPr>
          <w:szCs w:val="24"/>
        </w:rPr>
        <w:t>who spoke</w:t>
      </w:r>
      <w:r w:rsidR="00D77547">
        <w:rPr>
          <w:szCs w:val="24"/>
        </w:rPr>
        <w:t xml:space="preserve"> to Complainant</w:t>
      </w:r>
      <w:r w:rsidR="00324EF7">
        <w:rPr>
          <w:szCs w:val="24"/>
        </w:rPr>
        <w:t>,</w:t>
      </w:r>
      <w:r w:rsidRPr="000460DE" w:rsidR="004C7C92">
        <w:rPr>
          <w:szCs w:val="24"/>
        </w:rPr>
        <w:t xml:space="preserve"> </w:t>
      </w:r>
      <w:r w:rsidRPr="000460DE" w:rsidR="001B1CAF">
        <w:rPr>
          <w:szCs w:val="24"/>
        </w:rPr>
        <w:t>to rebut Complainant’s claim</w:t>
      </w:r>
      <w:r w:rsidRPr="000460DE" w:rsidR="008F7313">
        <w:rPr>
          <w:szCs w:val="24"/>
        </w:rPr>
        <w:t xml:space="preserve"> of misrepresentation.</w:t>
      </w:r>
      <w:r>
        <w:rPr>
          <w:rStyle w:val="FootnoteReference"/>
          <w:szCs w:val="24"/>
        </w:rPr>
        <w:footnoteReference w:id="20"/>
      </w:r>
      <w:r w:rsidRPr="000460DE" w:rsidR="00A87E8F">
        <w:rPr>
          <w:szCs w:val="24"/>
        </w:rPr>
        <w:t xml:space="preserve"> </w:t>
      </w:r>
      <w:r w:rsidRPr="000460DE" w:rsidR="004C7C92">
        <w:rPr>
          <w:szCs w:val="24"/>
        </w:rPr>
        <w:t xml:space="preserve"> </w:t>
      </w:r>
    </w:p>
    <w:p w:rsidR="00AB71F2" w:rsidP="000460DE">
      <w:pPr>
        <w:numPr>
          <w:ilvl w:val="0"/>
          <w:numId w:val="7"/>
        </w:numPr>
        <w:snapToGrid w:val="0"/>
        <w:spacing w:after="120"/>
        <w:ind w:left="0" w:firstLine="720"/>
        <w:rPr>
          <w:szCs w:val="22"/>
        </w:rPr>
      </w:pPr>
      <w:r w:rsidRPr="000460DE">
        <w:rPr>
          <w:szCs w:val="24"/>
        </w:rPr>
        <w:t xml:space="preserve">The Division </w:t>
      </w:r>
      <w:r w:rsidR="00F75885">
        <w:rPr>
          <w:szCs w:val="24"/>
        </w:rPr>
        <w:t>thoroughly</w:t>
      </w:r>
      <w:r w:rsidRPr="000460DE">
        <w:rPr>
          <w:szCs w:val="24"/>
        </w:rPr>
        <w:t xml:space="preserve"> reviewed all </w:t>
      </w:r>
      <w:r w:rsidRPr="000460DE" w:rsidR="000B22F5">
        <w:rPr>
          <w:szCs w:val="24"/>
        </w:rPr>
        <w:t xml:space="preserve">the </w:t>
      </w:r>
      <w:r w:rsidRPr="000460DE">
        <w:rPr>
          <w:szCs w:val="24"/>
        </w:rPr>
        <w:t xml:space="preserve">evidence in the record provided by both the Complainant and </w:t>
      </w:r>
      <w:r w:rsidRPr="000460DE">
        <w:rPr>
          <w:szCs w:val="24"/>
        </w:rPr>
        <w:t>Telplex</w:t>
      </w:r>
      <w:r w:rsidRPr="000460DE">
        <w:rPr>
          <w:szCs w:val="24"/>
        </w:rPr>
        <w:t xml:space="preserve">. </w:t>
      </w:r>
      <w:r w:rsidR="000460DE">
        <w:rPr>
          <w:szCs w:val="22"/>
        </w:rPr>
        <w:t xml:space="preserve"> </w:t>
      </w:r>
      <w:r w:rsidRPr="000460DE" w:rsidR="00D33E46">
        <w:rPr>
          <w:szCs w:val="22"/>
        </w:rPr>
        <w:t>Based on the evidence in the record, w</w:t>
      </w:r>
      <w:r w:rsidRPr="000460DE" w:rsidR="005D20F0">
        <w:rPr>
          <w:szCs w:val="22"/>
        </w:rPr>
        <w:t xml:space="preserve">e </w:t>
      </w:r>
      <w:r w:rsidRPr="000460DE" w:rsidR="00305DCB">
        <w:rPr>
          <w:szCs w:val="22"/>
        </w:rPr>
        <w:t>find Complainant’s allegation of a sales call misrepresentation to be credible</w:t>
      </w:r>
      <w:r w:rsidRPr="000460DE" w:rsidR="00FE6960">
        <w:rPr>
          <w:szCs w:val="22"/>
        </w:rPr>
        <w:t xml:space="preserve"> due to its specificity and consistency with other complaints we have reviewed</w:t>
      </w:r>
      <w:r w:rsidRPr="000460DE" w:rsidR="00305DCB">
        <w:rPr>
          <w:szCs w:val="22"/>
        </w:rPr>
        <w:t xml:space="preserve">.  </w:t>
      </w:r>
      <w:r w:rsidR="002F09DF">
        <w:rPr>
          <w:szCs w:val="22"/>
        </w:rPr>
        <w:t xml:space="preserve">Complainant does not dispute that </w:t>
      </w:r>
      <w:r w:rsidR="005937C4">
        <w:rPr>
          <w:szCs w:val="22"/>
        </w:rPr>
        <w:t xml:space="preserve">his employee was </w:t>
      </w:r>
      <w:r w:rsidR="00982D35">
        <w:rPr>
          <w:szCs w:val="22"/>
        </w:rPr>
        <w:t>recorded agreeing to a change in service</w:t>
      </w:r>
      <w:r w:rsidR="002F09DF">
        <w:rPr>
          <w:szCs w:val="22"/>
        </w:rPr>
        <w:t xml:space="preserve">, but that </w:t>
      </w:r>
      <w:r w:rsidR="00982D35">
        <w:rPr>
          <w:szCs w:val="22"/>
        </w:rPr>
        <w:t>she</w:t>
      </w:r>
      <w:r w:rsidR="002F09DF">
        <w:rPr>
          <w:szCs w:val="22"/>
        </w:rPr>
        <w:t xml:space="preserve"> did so as a result of the misrepresentations made by </w:t>
      </w:r>
      <w:r w:rsidR="002F09DF">
        <w:rPr>
          <w:szCs w:val="22"/>
        </w:rPr>
        <w:t>Telplex’s</w:t>
      </w:r>
      <w:r w:rsidR="002F09DF">
        <w:rPr>
          <w:szCs w:val="22"/>
        </w:rPr>
        <w:t xml:space="preserve"> telemarketer</w:t>
      </w:r>
      <w:r w:rsidR="008E3ACB">
        <w:rPr>
          <w:szCs w:val="22"/>
        </w:rPr>
        <w:t xml:space="preserve"> during the sales call</w:t>
      </w:r>
      <w:r w:rsidR="002F09DF">
        <w:rPr>
          <w:szCs w:val="22"/>
        </w:rPr>
        <w:t xml:space="preserve">.  As the Commission stated in the </w:t>
      </w:r>
      <w:r w:rsidRPr="002F09DF" w:rsidR="002F09DF">
        <w:rPr>
          <w:i/>
          <w:szCs w:val="22"/>
        </w:rPr>
        <w:t>2018 Slamming Order</w:t>
      </w:r>
      <w:r w:rsidR="002F09DF">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21"/>
      </w:r>
      <w:r w:rsidR="002F09DF">
        <w:rPr>
          <w:szCs w:val="22"/>
        </w:rPr>
        <w:t xml:space="preserve">  </w:t>
      </w:r>
      <w:r w:rsidRPr="000460DE" w:rsidR="00305DCB">
        <w:rPr>
          <w:szCs w:val="22"/>
        </w:rPr>
        <w:t xml:space="preserve">We </w:t>
      </w:r>
      <w:r w:rsidRPr="000460DE" w:rsidR="001B1CAF">
        <w:rPr>
          <w:szCs w:val="22"/>
        </w:rPr>
        <w:t>further find</w:t>
      </w:r>
      <w:r w:rsidRPr="000460DE" w:rsidR="00305DCB">
        <w:rPr>
          <w:szCs w:val="22"/>
        </w:rPr>
        <w:t xml:space="preserve"> that </w:t>
      </w:r>
      <w:r w:rsidRPr="000460DE" w:rsidR="00305DCB">
        <w:rPr>
          <w:szCs w:val="22"/>
        </w:rPr>
        <w:t>Telplex</w:t>
      </w:r>
      <w:r w:rsidRPr="000460DE" w:rsidR="00305DCB">
        <w:rPr>
          <w:szCs w:val="22"/>
        </w:rPr>
        <w:t xml:space="preserve"> has failed to provide persuasive evidence to rebut Complainant’s claim</w:t>
      </w:r>
      <w:r w:rsidRPr="000460DE" w:rsidR="001B1CAF">
        <w:rPr>
          <w:szCs w:val="22"/>
        </w:rPr>
        <w:t xml:space="preserve"> and therefore that Complainant’s authorization to change carriers is invalid</w:t>
      </w:r>
      <w:r w:rsidRPr="000460DE" w:rsidR="00305DCB">
        <w:rPr>
          <w:szCs w:val="22"/>
        </w:rPr>
        <w:t xml:space="preserve">. </w:t>
      </w:r>
      <w:r w:rsidRPr="000460DE" w:rsidR="001B1CAF">
        <w:rPr>
          <w:szCs w:val="22"/>
        </w:rPr>
        <w:t xml:space="preserve"> </w:t>
      </w:r>
      <w:r w:rsidRPr="000460DE" w:rsidR="00D33E46">
        <w:rPr>
          <w:szCs w:val="22"/>
        </w:rPr>
        <w:t>W</w:t>
      </w:r>
      <w:r w:rsidRPr="000460DE" w:rsidR="005D20F0">
        <w:rPr>
          <w:szCs w:val="22"/>
        </w:rPr>
        <w:t>e</w:t>
      </w:r>
      <w:r w:rsidRPr="000460DE" w:rsidR="00D33E46">
        <w:rPr>
          <w:szCs w:val="22"/>
        </w:rPr>
        <w:t xml:space="preserve"> therefore</w:t>
      </w:r>
      <w:r w:rsidRPr="000460DE" w:rsidR="005D20F0">
        <w:rPr>
          <w:szCs w:val="22"/>
        </w:rPr>
        <w:t xml:space="preserve"> </w:t>
      </w:r>
      <w:r w:rsidRPr="000460DE" w:rsidR="00D33E46">
        <w:rPr>
          <w:szCs w:val="22"/>
        </w:rPr>
        <w:t>find</w:t>
      </w:r>
      <w:r w:rsidRPr="000460DE" w:rsidR="005D20F0">
        <w:rPr>
          <w:szCs w:val="22"/>
        </w:rPr>
        <w:t xml:space="preserve"> that </w:t>
      </w:r>
      <w:r w:rsidRPr="000460DE" w:rsidR="00B83BA2">
        <w:rPr>
          <w:szCs w:val="22"/>
        </w:rPr>
        <w:t>Telplex’s</w:t>
      </w:r>
      <w:r w:rsidRPr="000460DE" w:rsidR="00B83BA2">
        <w:rPr>
          <w:szCs w:val="22"/>
        </w:rPr>
        <w:t xml:space="preserve"> actions resulted in an unauthorized change in Complainant’s </w:t>
      </w:r>
      <w:r w:rsidRPr="000460DE">
        <w:rPr>
          <w:szCs w:val="22"/>
        </w:rPr>
        <w:t>telecommunications service provider, as defined by the rules</w:t>
      </w:r>
      <w:r w:rsidR="00D54E72">
        <w:rPr>
          <w:szCs w:val="22"/>
        </w:rPr>
        <w:t xml:space="preserve">, and we discuss </w:t>
      </w:r>
      <w:r w:rsidR="00D54E72">
        <w:rPr>
          <w:szCs w:val="22"/>
        </w:rPr>
        <w:t>Telplex’s</w:t>
      </w:r>
      <w:r w:rsidR="00D54E72">
        <w:rPr>
          <w:szCs w:val="22"/>
        </w:rPr>
        <w:t xml:space="preserve"> liability below.</w:t>
      </w:r>
      <w:r>
        <w:rPr>
          <w:rStyle w:val="FootnoteReference"/>
          <w:szCs w:val="22"/>
        </w:rPr>
        <w:footnoteReference w:id="22"/>
      </w:r>
      <w:r w:rsidRPr="000460DE">
        <w:rPr>
          <w:szCs w:val="22"/>
        </w:rPr>
        <w:t xml:space="preserve"> </w:t>
      </w:r>
    </w:p>
    <w:p w:rsidR="00D20DC8" w:rsidRPr="00D20DC8" w:rsidP="00D20DC8">
      <w:pPr>
        <w:numPr>
          <w:ilvl w:val="0"/>
          <w:numId w:val="7"/>
        </w:numPr>
        <w:snapToGrid w:val="0"/>
        <w:spacing w:after="120"/>
        <w:ind w:left="0" w:firstLine="720"/>
        <w:rPr>
          <w:szCs w:val="22"/>
        </w:rPr>
      </w:pPr>
      <w:r>
        <w:rPr>
          <w:szCs w:val="22"/>
        </w:rPr>
        <w:t>Telplex</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23"/>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Telplex</w:t>
      </w:r>
      <w:r>
        <w:rPr>
          <w:szCs w:val="22"/>
        </w:rPr>
        <w:t xml:space="preserve"> may pursue any collection against Complainant for those charges.</w:t>
      </w:r>
      <w:r>
        <w:rPr>
          <w:rStyle w:val="FootnoteReference"/>
          <w:szCs w:val="22"/>
        </w:rPr>
        <w:footnoteReference w:id="24"/>
      </w:r>
      <w:r>
        <w:rPr>
          <w:szCs w:val="22"/>
        </w:rPr>
        <w:t xml:space="preserve">  Any charges imposed by </w:t>
      </w:r>
      <w:r>
        <w:rPr>
          <w:szCs w:val="22"/>
        </w:rPr>
        <w:t>Telplex</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5"/>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2C36F1" w:rsidP="00847D23">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F053DA">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11pt;mso-left-percent:-10001;mso-position-horizontal-relative:char;mso-position-vertical-relative:line;mso-top-percent:-10001">
            <v:imagedata r:id="rId5" o:title=""/>
            <w10:wrap type="none"/>
          </v:shape>
        </w:pict>
      </w:r>
    </w:p>
    <w:p w:rsidR="00EB19A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481">
      <w:r>
        <w:separator/>
      </w:r>
    </w:p>
  </w:footnote>
  <w:footnote w:type="continuationSeparator" w:id="1">
    <w:p w:rsidR="003D6481" w:rsidP="00C721AC">
      <w:pPr>
        <w:spacing w:before="120"/>
        <w:rPr>
          <w:sz w:val="20"/>
        </w:rPr>
      </w:pPr>
      <w:r>
        <w:rPr>
          <w:sz w:val="20"/>
        </w:rPr>
        <w:t xml:space="preserve">(Continued from previous page)  </w:t>
      </w:r>
      <w:r>
        <w:rPr>
          <w:sz w:val="20"/>
        </w:rPr>
        <w:separator/>
      </w:r>
    </w:p>
  </w:footnote>
  <w:footnote w:type="continuationNotice" w:id="2">
    <w:p w:rsidR="003D6481"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w:t>
      </w:r>
      <w:r w:rsidR="00741B47">
        <w:t>3371579</w:t>
      </w:r>
      <w:r w:rsidR="006533AA">
        <w:t xml:space="preserve"> (filed </w:t>
      </w:r>
      <w:r w:rsidR="00741B47">
        <w:t>July 5</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pPr>
        <w:pStyle w:val="FootnoteText"/>
      </w:pPr>
      <w:r>
        <w:rPr>
          <w:rStyle w:val="FootnoteReference"/>
        </w:rPr>
        <w:footnoteRef/>
      </w:r>
      <w:r>
        <w:t xml:space="preserve"> </w:t>
      </w:r>
      <w:r w:rsidRPr="00305DCB">
        <w:rPr>
          <w:i/>
        </w:rPr>
        <w:t>See</w:t>
      </w:r>
      <w:r>
        <w:t xml:space="preserve"> Informal Complaint No. 3</w:t>
      </w:r>
      <w:r w:rsidR="00A133FC">
        <w:t>371579</w:t>
      </w:r>
      <w:r>
        <w:t>.</w:t>
      </w:r>
    </w:p>
  </w:footnote>
  <w:footnote w:id="12">
    <w:p w:rsidR="00A133FC">
      <w:pPr>
        <w:pStyle w:val="FootnoteText"/>
      </w:pPr>
      <w:r>
        <w:rPr>
          <w:rStyle w:val="FootnoteReference"/>
        </w:rPr>
        <w:footnoteRef/>
      </w:r>
      <w:r>
        <w:t xml:space="preserve"> </w:t>
      </w:r>
      <w:r w:rsidRPr="00A133FC">
        <w:rPr>
          <w:i/>
        </w:rPr>
        <w:t>Id</w:t>
      </w:r>
      <w:r>
        <w:t>.</w:t>
      </w:r>
    </w:p>
  </w:footnote>
  <w:footnote w:id="13">
    <w:p w:rsidR="00A133FC">
      <w:pPr>
        <w:pStyle w:val="FootnoteText"/>
      </w:pPr>
      <w:r>
        <w:rPr>
          <w:rStyle w:val="FootnoteReference"/>
        </w:rPr>
        <w:footnoteRef/>
      </w:r>
      <w:r>
        <w:t xml:space="preserve"> </w:t>
      </w:r>
      <w:r w:rsidRPr="00A133FC">
        <w:rPr>
          <w:i/>
        </w:rPr>
        <w:t>Id</w:t>
      </w:r>
      <w:r>
        <w:t>.</w:t>
      </w:r>
    </w:p>
  </w:footnote>
  <w:footnote w:id="14">
    <w:p w:rsidR="004851C4">
      <w:pPr>
        <w:pStyle w:val="FootnoteText"/>
      </w:pPr>
      <w:r>
        <w:rPr>
          <w:rStyle w:val="FootnoteReference"/>
        </w:rPr>
        <w:footnoteRef/>
      </w:r>
      <w:r>
        <w:t xml:space="preserve"> The evidence shows that </w:t>
      </w:r>
      <w:r>
        <w:t>Telplex</w:t>
      </w:r>
      <w:r>
        <w:t xml:space="preserve"> issued a partial credit for the charges Complainant paid to </w:t>
      </w:r>
      <w:r>
        <w:t>Telplex</w:t>
      </w:r>
      <w:r>
        <w:t xml:space="preserve">.  </w:t>
      </w:r>
    </w:p>
  </w:footnote>
  <w:footnote w:id="15">
    <w:p w:rsidR="002B63B8" w:rsidP="002B63B8">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6">
    <w:p w:rsidR="002B63B8">
      <w:pPr>
        <w:pStyle w:val="FootnoteText"/>
      </w:pPr>
      <w:r>
        <w:rPr>
          <w:rStyle w:val="FootnoteReference"/>
        </w:rPr>
        <w:footnoteRef/>
      </w:r>
      <w:r>
        <w:t xml:space="preserve"> </w:t>
      </w:r>
      <w:r>
        <w:t>Telplex</w:t>
      </w:r>
      <w:r>
        <w:t xml:space="preserve"> Response to Informal Complaint No. 3</w:t>
      </w:r>
      <w:r w:rsidR="00DC300A">
        <w:t>371579</w:t>
      </w:r>
      <w:r>
        <w:t xml:space="preserve"> (filed </w:t>
      </w:r>
      <w:r w:rsidR="00DC300A">
        <w:t>Aug. 5</w:t>
      </w:r>
      <w:r>
        <w:t>, 2019) (</w:t>
      </w:r>
      <w:r>
        <w:t>Telplex</w:t>
      </w:r>
      <w:r>
        <w:t xml:space="preserve"> Response).</w:t>
      </w:r>
    </w:p>
  </w:footnote>
  <w:footnote w:id="17">
    <w:p w:rsidR="009D72F3">
      <w:pPr>
        <w:pStyle w:val="FootnoteText"/>
      </w:pPr>
      <w:r>
        <w:rPr>
          <w:rStyle w:val="FootnoteReference"/>
        </w:rPr>
        <w:footnoteRef/>
      </w:r>
      <w:r>
        <w:t xml:space="preserve"> </w:t>
      </w:r>
      <w:r>
        <w:t>Telplex</w:t>
      </w:r>
      <w:r>
        <w:t xml:space="preserve"> Response at </w:t>
      </w:r>
      <w:r w:rsidR="007D3C07">
        <w:t>2</w:t>
      </w:r>
      <w:r>
        <w:t>.</w:t>
      </w:r>
    </w:p>
  </w:footnote>
  <w:footnote w:id="18">
    <w:p w:rsidR="000C3E16">
      <w:pPr>
        <w:pStyle w:val="FootnoteText"/>
      </w:pPr>
      <w:r>
        <w:rPr>
          <w:rStyle w:val="FootnoteReference"/>
        </w:rPr>
        <w:footnoteRef/>
      </w:r>
      <w:r>
        <w:t xml:space="preserve"> </w:t>
      </w:r>
      <w:r w:rsidRPr="000C3E16">
        <w:rPr>
          <w:i/>
        </w:rPr>
        <w:t>Id</w:t>
      </w:r>
      <w:r>
        <w:t>. at 1.</w:t>
      </w:r>
    </w:p>
  </w:footnote>
  <w:footnote w:id="19">
    <w:p w:rsidR="000C3E16">
      <w:pPr>
        <w:pStyle w:val="FootnoteText"/>
      </w:pPr>
      <w:r>
        <w:rPr>
          <w:rStyle w:val="FootnoteReference"/>
        </w:rPr>
        <w:footnoteRef/>
      </w:r>
      <w:r>
        <w:t xml:space="preserve"> </w:t>
      </w:r>
      <w:r w:rsidRPr="000C3E16">
        <w:rPr>
          <w:i/>
        </w:rPr>
        <w:t>Id</w:t>
      </w:r>
      <w:r>
        <w:t xml:space="preserve">. at 1-2. </w:t>
      </w:r>
    </w:p>
  </w:footnote>
  <w:footnote w:id="20">
    <w:p w:rsidR="00D77547">
      <w:pPr>
        <w:pStyle w:val="FootnoteText"/>
      </w:pPr>
      <w:r>
        <w:rPr>
          <w:rStyle w:val="FootnoteReference"/>
        </w:rPr>
        <w:footnoteRef/>
      </w:r>
      <w:r>
        <w:t xml:space="preserve"> The only information </w:t>
      </w:r>
      <w:r>
        <w:t>Telplex</w:t>
      </w:r>
      <w:r>
        <w:t xml:space="preserve"> provided </w:t>
      </w:r>
      <w:r w:rsidR="002B63B8">
        <w:t xml:space="preserve">that </w:t>
      </w:r>
      <w:r>
        <w:t xml:space="preserve">related directly to the sales call was the name of the call center that contacted Complainant on behalf of </w:t>
      </w:r>
      <w:r>
        <w:t>Telplex</w:t>
      </w:r>
      <w:r>
        <w:t xml:space="preserve"> and the individual telemarketer’s name, </w:t>
      </w:r>
      <w:r w:rsidR="00A133FC">
        <w:t>Jerry</w:t>
      </w:r>
      <w:r>
        <w:t xml:space="preserve">.  </w:t>
      </w:r>
      <w:r w:rsidR="00A133FC">
        <w:t>Te</w:t>
      </w:r>
      <w:r w:rsidR="005C37E9">
        <w:t>l</w:t>
      </w:r>
      <w:r w:rsidR="00A133FC">
        <w:t>plex</w:t>
      </w:r>
      <w:r w:rsidR="00A133FC">
        <w:t xml:space="preserve"> Response at 3.</w:t>
      </w:r>
      <w:r>
        <w:t xml:space="preserve"> </w:t>
      </w:r>
    </w:p>
  </w:footnote>
  <w:footnote w:id="21">
    <w:p w:rsidR="002F09DF">
      <w:pPr>
        <w:pStyle w:val="FootnoteText"/>
      </w:pPr>
      <w:r>
        <w:rPr>
          <w:rStyle w:val="FootnoteReference"/>
        </w:rPr>
        <w:footnoteRef/>
      </w:r>
      <w:r>
        <w:t xml:space="preserve"> </w:t>
      </w:r>
      <w:r w:rsidRPr="002F09DF">
        <w:rPr>
          <w:i/>
        </w:rPr>
        <w:t>2018 Slamming Order</w:t>
      </w:r>
      <w:r>
        <w:t xml:space="preserve">, 33 FCC </w:t>
      </w:r>
      <w:r>
        <w:t>Rcd</w:t>
      </w:r>
      <w:r>
        <w:t xml:space="preserve"> at </w:t>
      </w:r>
      <w:r w:rsidR="003B3670">
        <w:t>5779</w:t>
      </w:r>
      <w:r>
        <w:t xml:space="preserve">, para. 18 (citing </w:t>
      </w:r>
      <w:r w:rsidRPr="002F09DF">
        <w:rPr>
          <w:i/>
        </w:rPr>
        <w:t>Advantage Forfeiture Order</w:t>
      </w:r>
      <w:r>
        <w:t xml:space="preserve">, 32 FCC </w:t>
      </w:r>
      <w:r>
        <w:t>Rcd</w:t>
      </w:r>
      <w:r>
        <w:t xml:space="preserve"> </w:t>
      </w:r>
      <w:r w:rsidR="00263A71">
        <w:t>3723,</w:t>
      </w:r>
      <w:r>
        <w:t xml:space="preserve"> 3725-30</w:t>
      </w:r>
      <w:r w:rsidR="002C36F1">
        <w:t>,</w:t>
      </w:r>
      <w:r>
        <w:t xml:space="preserve"> paras. 7-13</w:t>
      </w:r>
      <w:r w:rsidR="00263A71">
        <w:t xml:space="preserve"> (2017)</w:t>
      </w:r>
      <w:r>
        <w:t xml:space="preserve"> (</w:t>
      </w:r>
      <w:r w:rsidR="00263A71">
        <w:t>finding that the carrier’s TPV recordings did not disprove that unlawful misrepresentations were made during the telemarketing calls and further, that questions posed during the separate TPV calls did not cure those misrepresentations)).</w:t>
      </w:r>
      <w:r>
        <w:t xml:space="preserve">  </w:t>
      </w:r>
    </w:p>
  </w:footnote>
  <w:footnote w:id="22">
    <w:p w:rsidR="00D54E72" w:rsidP="00D54E72">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3">
    <w:p w:rsidR="00D20DC8" w:rsidP="00D20DC8">
      <w:pPr>
        <w:pStyle w:val="FootnoteText"/>
      </w:pPr>
      <w:r>
        <w:rPr>
          <w:rStyle w:val="FootnoteReference"/>
        </w:rPr>
        <w:footnoteRef/>
      </w:r>
      <w:r>
        <w:t xml:space="preserve"> </w:t>
      </w:r>
      <w:r>
        <w:rPr>
          <w:i/>
        </w:rPr>
        <w:t xml:space="preserve">See id. </w:t>
      </w:r>
      <w:r>
        <w:t>§ 64.1160(b).</w:t>
      </w:r>
    </w:p>
  </w:footnote>
  <w:footnote w:id="24">
    <w:p w:rsidR="00D20DC8" w:rsidP="00D20DC8">
      <w:pPr>
        <w:pStyle w:val="FootnoteText"/>
      </w:pPr>
      <w:r>
        <w:rPr>
          <w:rStyle w:val="FootnoteReference"/>
        </w:rPr>
        <w:footnoteRef/>
      </w:r>
      <w:r>
        <w:t xml:space="preserve"> </w:t>
      </w:r>
      <w:r>
        <w:rPr>
          <w:i/>
        </w:rPr>
        <w:t xml:space="preserve">See id. </w:t>
      </w:r>
      <w:r>
        <w:t>§ 64.1160(d).</w:t>
      </w:r>
    </w:p>
  </w:footnote>
  <w:footnote w:id="25">
    <w:p w:rsidR="00D20DC8" w:rsidP="00D20DC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F226D9">
      <w:t>1140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1140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6039"/>
    <w:rsid w:val="00037F90"/>
    <w:rsid w:val="000460DE"/>
    <w:rsid w:val="00060FC4"/>
    <w:rsid w:val="00081BB4"/>
    <w:rsid w:val="00086ACF"/>
    <w:rsid w:val="000875BF"/>
    <w:rsid w:val="00096D8C"/>
    <w:rsid w:val="000B22F5"/>
    <w:rsid w:val="000B4543"/>
    <w:rsid w:val="000C0B65"/>
    <w:rsid w:val="000C3E16"/>
    <w:rsid w:val="000E05FE"/>
    <w:rsid w:val="000E3D42"/>
    <w:rsid w:val="00106F6E"/>
    <w:rsid w:val="00122BD5"/>
    <w:rsid w:val="00133F79"/>
    <w:rsid w:val="00194A66"/>
    <w:rsid w:val="001A53ED"/>
    <w:rsid w:val="001B1CAF"/>
    <w:rsid w:val="001B7EAB"/>
    <w:rsid w:val="001C0B77"/>
    <w:rsid w:val="001D02F5"/>
    <w:rsid w:val="001D6BCF"/>
    <w:rsid w:val="001D73F3"/>
    <w:rsid w:val="001E01CA"/>
    <w:rsid w:val="00237F60"/>
    <w:rsid w:val="00263A71"/>
    <w:rsid w:val="00275CF5"/>
    <w:rsid w:val="0028301F"/>
    <w:rsid w:val="00285017"/>
    <w:rsid w:val="002A2D2E"/>
    <w:rsid w:val="002A45AF"/>
    <w:rsid w:val="002B63B8"/>
    <w:rsid w:val="002B6E9B"/>
    <w:rsid w:val="002C00E8"/>
    <w:rsid w:val="002C36F1"/>
    <w:rsid w:val="002F09DF"/>
    <w:rsid w:val="00305DCB"/>
    <w:rsid w:val="00311848"/>
    <w:rsid w:val="00324EF7"/>
    <w:rsid w:val="00342416"/>
    <w:rsid w:val="00343749"/>
    <w:rsid w:val="003660ED"/>
    <w:rsid w:val="00380442"/>
    <w:rsid w:val="003B0550"/>
    <w:rsid w:val="003B3670"/>
    <w:rsid w:val="003B694F"/>
    <w:rsid w:val="003D6481"/>
    <w:rsid w:val="003F171C"/>
    <w:rsid w:val="003F6DFB"/>
    <w:rsid w:val="00412FC5"/>
    <w:rsid w:val="00422276"/>
    <w:rsid w:val="004242F1"/>
    <w:rsid w:val="00427A5D"/>
    <w:rsid w:val="00445A00"/>
    <w:rsid w:val="00451B0F"/>
    <w:rsid w:val="004851C4"/>
    <w:rsid w:val="004C2EE3"/>
    <w:rsid w:val="004C7C92"/>
    <w:rsid w:val="004D22BB"/>
    <w:rsid w:val="004E4A22"/>
    <w:rsid w:val="004E65EF"/>
    <w:rsid w:val="004F7A19"/>
    <w:rsid w:val="00511968"/>
    <w:rsid w:val="005328A1"/>
    <w:rsid w:val="0055614C"/>
    <w:rsid w:val="0056611F"/>
    <w:rsid w:val="0056687D"/>
    <w:rsid w:val="00566D06"/>
    <w:rsid w:val="005937C4"/>
    <w:rsid w:val="00595EB8"/>
    <w:rsid w:val="005C37E9"/>
    <w:rsid w:val="005D1258"/>
    <w:rsid w:val="005D20F0"/>
    <w:rsid w:val="005E14C2"/>
    <w:rsid w:val="00607BA5"/>
    <w:rsid w:val="0061180A"/>
    <w:rsid w:val="00626EB6"/>
    <w:rsid w:val="00641F04"/>
    <w:rsid w:val="006533AA"/>
    <w:rsid w:val="00655D03"/>
    <w:rsid w:val="00666634"/>
    <w:rsid w:val="0067532A"/>
    <w:rsid w:val="00683388"/>
    <w:rsid w:val="00683F84"/>
    <w:rsid w:val="006A6A81"/>
    <w:rsid w:val="006B1727"/>
    <w:rsid w:val="006D19EC"/>
    <w:rsid w:val="006D44BD"/>
    <w:rsid w:val="006D7353"/>
    <w:rsid w:val="006F7393"/>
    <w:rsid w:val="0070224F"/>
    <w:rsid w:val="007115F7"/>
    <w:rsid w:val="00741B47"/>
    <w:rsid w:val="00747C81"/>
    <w:rsid w:val="00785689"/>
    <w:rsid w:val="0079754B"/>
    <w:rsid w:val="007A1E6D"/>
    <w:rsid w:val="007B0EB2"/>
    <w:rsid w:val="007D10ED"/>
    <w:rsid w:val="007D357A"/>
    <w:rsid w:val="007D3C07"/>
    <w:rsid w:val="00810B6F"/>
    <w:rsid w:val="00822CE0"/>
    <w:rsid w:val="00841AB1"/>
    <w:rsid w:val="00847D23"/>
    <w:rsid w:val="00856C22"/>
    <w:rsid w:val="00894893"/>
    <w:rsid w:val="008C68F1"/>
    <w:rsid w:val="008E3ACB"/>
    <w:rsid w:val="008F5FAB"/>
    <w:rsid w:val="008F7313"/>
    <w:rsid w:val="00912AF3"/>
    <w:rsid w:val="00921803"/>
    <w:rsid w:val="00926503"/>
    <w:rsid w:val="0093379B"/>
    <w:rsid w:val="00972675"/>
    <w:rsid w:val="009726D8"/>
    <w:rsid w:val="00982D35"/>
    <w:rsid w:val="009971D7"/>
    <w:rsid w:val="009D72F3"/>
    <w:rsid w:val="009D7308"/>
    <w:rsid w:val="009E714E"/>
    <w:rsid w:val="009F6F0E"/>
    <w:rsid w:val="009F76DB"/>
    <w:rsid w:val="00A133FC"/>
    <w:rsid w:val="00A138E2"/>
    <w:rsid w:val="00A32C3B"/>
    <w:rsid w:val="00A447E0"/>
    <w:rsid w:val="00A45F4F"/>
    <w:rsid w:val="00A600A9"/>
    <w:rsid w:val="00A87E8F"/>
    <w:rsid w:val="00AA55B7"/>
    <w:rsid w:val="00AA5B9E"/>
    <w:rsid w:val="00AB2407"/>
    <w:rsid w:val="00AB53DF"/>
    <w:rsid w:val="00AB71F2"/>
    <w:rsid w:val="00AD126E"/>
    <w:rsid w:val="00AE3A7B"/>
    <w:rsid w:val="00B07E5C"/>
    <w:rsid w:val="00B32DB6"/>
    <w:rsid w:val="00B73B55"/>
    <w:rsid w:val="00B76BB9"/>
    <w:rsid w:val="00B811F7"/>
    <w:rsid w:val="00B83BA2"/>
    <w:rsid w:val="00B85F3F"/>
    <w:rsid w:val="00BA5BB7"/>
    <w:rsid w:val="00BA5DC6"/>
    <w:rsid w:val="00BA6196"/>
    <w:rsid w:val="00BA7C1E"/>
    <w:rsid w:val="00BC6D8C"/>
    <w:rsid w:val="00BF1E19"/>
    <w:rsid w:val="00C34006"/>
    <w:rsid w:val="00C36B4C"/>
    <w:rsid w:val="00C426B1"/>
    <w:rsid w:val="00C66160"/>
    <w:rsid w:val="00C721AC"/>
    <w:rsid w:val="00C74A8A"/>
    <w:rsid w:val="00C80625"/>
    <w:rsid w:val="00C90D6A"/>
    <w:rsid w:val="00CA247E"/>
    <w:rsid w:val="00CA6D21"/>
    <w:rsid w:val="00CA752A"/>
    <w:rsid w:val="00CC5A9C"/>
    <w:rsid w:val="00CC72B6"/>
    <w:rsid w:val="00CE5BF4"/>
    <w:rsid w:val="00CF2AA9"/>
    <w:rsid w:val="00D0218D"/>
    <w:rsid w:val="00D20DC8"/>
    <w:rsid w:val="00D25FB5"/>
    <w:rsid w:val="00D26A9E"/>
    <w:rsid w:val="00D33E46"/>
    <w:rsid w:val="00D44223"/>
    <w:rsid w:val="00D46AA1"/>
    <w:rsid w:val="00D54E72"/>
    <w:rsid w:val="00D77547"/>
    <w:rsid w:val="00DA2529"/>
    <w:rsid w:val="00DB130A"/>
    <w:rsid w:val="00DB138B"/>
    <w:rsid w:val="00DB2EBB"/>
    <w:rsid w:val="00DB3243"/>
    <w:rsid w:val="00DB4AEC"/>
    <w:rsid w:val="00DB58F8"/>
    <w:rsid w:val="00DC10A1"/>
    <w:rsid w:val="00DC300A"/>
    <w:rsid w:val="00DC655F"/>
    <w:rsid w:val="00DD0B59"/>
    <w:rsid w:val="00DD7EBD"/>
    <w:rsid w:val="00DF62B6"/>
    <w:rsid w:val="00E015BA"/>
    <w:rsid w:val="00E07225"/>
    <w:rsid w:val="00E342E6"/>
    <w:rsid w:val="00E5409F"/>
    <w:rsid w:val="00E9403B"/>
    <w:rsid w:val="00EB19A2"/>
    <w:rsid w:val="00EE6488"/>
    <w:rsid w:val="00EF3395"/>
    <w:rsid w:val="00F021FA"/>
    <w:rsid w:val="00F053DA"/>
    <w:rsid w:val="00F16BEA"/>
    <w:rsid w:val="00F22472"/>
    <w:rsid w:val="00F226D9"/>
    <w:rsid w:val="00F576B9"/>
    <w:rsid w:val="00F61D10"/>
    <w:rsid w:val="00F62E97"/>
    <w:rsid w:val="00F64209"/>
    <w:rsid w:val="00F75885"/>
    <w:rsid w:val="00F93BF5"/>
    <w:rsid w:val="00F97D24"/>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