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901EA" w:rsidP="004901EA" w14:paraId="65CEEDE1" w14:textId="6C1600A9">
      <w:pPr>
        <w:rPr>
          <w:b/>
          <w:kern w:val="0"/>
          <w:szCs w:val="22"/>
        </w:rPr>
      </w:pPr>
    </w:p>
    <w:p w:rsidR="00906FEF" w:rsidRPr="00731783" w14:paraId="29543894" w14:textId="3DAB0AED">
      <w:pPr>
        <w:jc w:val="center"/>
        <w:rPr>
          <w:b/>
          <w:szCs w:val="22"/>
        </w:rPr>
      </w:pPr>
      <w:r w:rsidRPr="00731783">
        <w:rPr>
          <w:b/>
          <w:kern w:val="0"/>
          <w:szCs w:val="22"/>
        </w:rPr>
        <w:t>Before</w:t>
      </w:r>
      <w:r w:rsidRPr="00731783">
        <w:rPr>
          <w:b/>
          <w:szCs w:val="22"/>
        </w:rPr>
        <w:t xml:space="preserve"> the</w:t>
      </w:r>
    </w:p>
    <w:p w:rsidR="00906FEF" w:rsidRPr="00731783" w:rsidP="00906FEF" w14:paraId="1F0B53EB" w14:textId="77777777">
      <w:pPr>
        <w:pStyle w:val="StyleBoldCentered"/>
        <w:rPr>
          <w:rFonts w:ascii="Times New Roman" w:hAnsi="Times New Roman"/>
        </w:rPr>
      </w:pPr>
      <w:r w:rsidRPr="00731783">
        <w:rPr>
          <w:rFonts w:ascii="Times New Roman" w:hAnsi="Times New Roman"/>
        </w:rPr>
        <w:t>F</w:t>
      </w:r>
      <w:r w:rsidRPr="00731783">
        <w:rPr>
          <w:rFonts w:ascii="Times New Roman" w:hAnsi="Times New Roman"/>
          <w:caps w:val="0"/>
        </w:rPr>
        <w:t>ederal Communications Commission</w:t>
      </w:r>
    </w:p>
    <w:p w:rsidR="00906FEF" w:rsidRPr="00731783" w:rsidP="00906FEF" w14:paraId="109F2329" w14:textId="77777777">
      <w:pPr>
        <w:pStyle w:val="StyleBoldCentered"/>
        <w:rPr>
          <w:rFonts w:ascii="Times New Roman" w:hAnsi="Times New Roman"/>
        </w:rPr>
      </w:pPr>
      <w:r w:rsidRPr="00731783">
        <w:rPr>
          <w:rFonts w:ascii="Times New Roman" w:hAnsi="Times New Roman"/>
          <w:caps w:val="0"/>
        </w:rPr>
        <w:t>Washington, D.C. 20554</w:t>
      </w:r>
    </w:p>
    <w:p w:rsidR="00906FEF" w:rsidRPr="00731783" w:rsidP="00906FEF" w14:paraId="441485A1" w14:textId="77777777">
      <w:pPr>
        <w:rPr>
          <w:szCs w:val="22"/>
        </w:rPr>
      </w:pPr>
    </w:p>
    <w:p w:rsidR="00906FEF" w:rsidRPr="00731783" w:rsidP="00906FEF" w14:paraId="625751FF" w14:textId="77777777">
      <w:pPr>
        <w:rPr>
          <w:szCs w:val="22"/>
        </w:rPr>
      </w:pPr>
    </w:p>
    <w:tbl>
      <w:tblPr>
        <w:tblW w:w="0" w:type="auto"/>
        <w:tblLayout w:type="fixed"/>
        <w:tblLook w:val="0000"/>
      </w:tblPr>
      <w:tblGrid>
        <w:gridCol w:w="4698"/>
        <w:gridCol w:w="630"/>
        <w:gridCol w:w="4248"/>
      </w:tblGrid>
      <w:tr w14:paraId="325B2E2C" w14:textId="77777777">
        <w:tblPrEx>
          <w:tblW w:w="0" w:type="auto"/>
          <w:tblLayout w:type="fixed"/>
          <w:tblLook w:val="0000"/>
        </w:tblPrEx>
        <w:tc>
          <w:tcPr>
            <w:tcW w:w="4698" w:type="dxa"/>
          </w:tcPr>
          <w:p w:rsidR="00906FEF" w:rsidRPr="00731783" w14:paraId="4AF17BAD" w14:textId="77777777">
            <w:pPr>
              <w:tabs>
                <w:tab w:val="center" w:pos="4680"/>
              </w:tabs>
              <w:suppressAutoHyphens/>
              <w:rPr>
                <w:spacing w:val="-2"/>
                <w:szCs w:val="22"/>
              </w:rPr>
            </w:pPr>
            <w:r w:rsidRPr="00731783">
              <w:rPr>
                <w:spacing w:val="-2"/>
                <w:szCs w:val="22"/>
              </w:rPr>
              <w:t>In the Matter of</w:t>
            </w:r>
          </w:p>
          <w:p w:rsidR="00906FEF" w:rsidRPr="00731783" w14:paraId="2D228619" w14:textId="77777777">
            <w:pPr>
              <w:tabs>
                <w:tab w:val="center" w:pos="4680"/>
              </w:tabs>
              <w:suppressAutoHyphens/>
              <w:rPr>
                <w:spacing w:val="-2"/>
                <w:szCs w:val="22"/>
              </w:rPr>
            </w:pPr>
          </w:p>
          <w:p w:rsidR="00661651" w:rsidRPr="00731783" w:rsidP="00A642C6" w14:paraId="207F364A" w14:textId="77777777">
            <w:pPr>
              <w:tabs>
                <w:tab w:val="center" w:pos="4680"/>
              </w:tabs>
              <w:suppressAutoHyphens/>
              <w:rPr>
                <w:spacing w:val="-2"/>
                <w:szCs w:val="22"/>
              </w:rPr>
            </w:pPr>
            <w:r w:rsidRPr="00731783">
              <w:rPr>
                <w:spacing w:val="-2"/>
                <w:szCs w:val="22"/>
              </w:rPr>
              <w:t>Connect America Fund</w:t>
            </w:r>
          </w:p>
          <w:p w:rsidR="005C7AB6" w:rsidRPr="00731783" w:rsidP="00A642C6" w14:paraId="4B527A1E" w14:textId="77777777">
            <w:pPr>
              <w:tabs>
                <w:tab w:val="center" w:pos="4680"/>
              </w:tabs>
              <w:suppressAutoHyphens/>
              <w:rPr>
                <w:spacing w:val="-2"/>
                <w:szCs w:val="22"/>
              </w:rPr>
            </w:pPr>
          </w:p>
          <w:p w:rsidR="005C7AB6" w:rsidRPr="00731783" w:rsidP="00A642C6" w14:paraId="3623A472" w14:textId="77777777">
            <w:pPr>
              <w:tabs>
                <w:tab w:val="center" w:pos="4680"/>
              </w:tabs>
              <w:suppressAutoHyphens/>
              <w:rPr>
                <w:spacing w:val="-2"/>
                <w:szCs w:val="22"/>
              </w:rPr>
            </w:pPr>
            <w:r w:rsidRPr="00731783">
              <w:rPr>
                <w:szCs w:val="22"/>
              </w:rPr>
              <w:t>ETC Annual Reports and Certifications</w:t>
            </w:r>
          </w:p>
          <w:p w:rsidR="00661651" w:rsidRPr="00731783" w:rsidP="00A642C6" w14:paraId="10687133" w14:textId="77777777">
            <w:pPr>
              <w:tabs>
                <w:tab w:val="center" w:pos="4680"/>
              </w:tabs>
              <w:suppressAutoHyphens/>
              <w:rPr>
                <w:spacing w:val="-2"/>
                <w:szCs w:val="22"/>
              </w:rPr>
            </w:pPr>
          </w:p>
          <w:p w:rsidR="00661651" w:rsidRPr="00731783" w:rsidP="00A642C6" w14:paraId="11CB6575" w14:textId="77777777">
            <w:pPr>
              <w:tabs>
                <w:tab w:val="center" w:pos="4680"/>
              </w:tabs>
              <w:suppressAutoHyphens/>
              <w:rPr>
                <w:spacing w:val="-2"/>
                <w:szCs w:val="22"/>
              </w:rPr>
            </w:pPr>
            <w:r w:rsidRPr="00731783">
              <w:rPr>
                <w:spacing w:val="-2"/>
                <w:szCs w:val="22"/>
              </w:rPr>
              <w:t xml:space="preserve">Petition of Allamakee-Clayton Electric Cooperative for Waiver of Rural Broadband </w:t>
            </w:r>
            <w:r w:rsidRPr="00731783">
              <w:rPr>
                <w:spacing w:val="-2"/>
                <w:szCs w:val="22"/>
              </w:rPr>
              <w:t>Experiments Defined Deployment Obligations</w:t>
            </w:r>
          </w:p>
          <w:p w:rsidR="00661651" w:rsidRPr="00731783" w:rsidP="00A642C6" w14:paraId="42FFE842" w14:textId="77777777">
            <w:pPr>
              <w:tabs>
                <w:tab w:val="center" w:pos="4680"/>
              </w:tabs>
              <w:suppressAutoHyphens/>
              <w:rPr>
                <w:spacing w:val="-2"/>
                <w:szCs w:val="22"/>
              </w:rPr>
            </w:pPr>
          </w:p>
          <w:p w:rsidR="00A642C6" w:rsidRPr="00731783" w:rsidP="00A642C6" w14:paraId="6E7E1300" w14:textId="77777777">
            <w:pPr>
              <w:tabs>
                <w:tab w:val="center" w:pos="4680"/>
              </w:tabs>
              <w:suppressAutoHyphens/>
              <w:rPr>
                <w:spacing w:val="-2"/>
                <w:szCs w:val="22"/>
              </w:rPr>
            </w:pPr>
            <w:r w:rsidRPr="00731783">
              <w:rPr>
                <w:spacing w:val="-2"/>
                <w:szCs w:val="22"/>
              </w:rPr>
              <w:t>Petition of Consolidated Communications Networks, Inc. for Waiver of Rural Broadband Experiments Defined Deployment Obligation</w:t>
            </w:r>
          </w:p>
          <w:p w:rsidR="00906FEF" w:rsidRPr="00731783" w:rsidP="00906FEF" w14:paraId="75ABDDD5" w14:textId="77777777">
            <w:pPr>
              <w:rPr>
                <w:szCs w:val="22"/>
              </w:rPr>
            </w:pPr>
          </w:p>
          <w:p w:rsidR="00906FEF" w:rsidRPr="00731783" w:rsidP="00906FEF" w14:paraId="5D6A37E0" w14:textId="77777777">
            <w:pPr>
              <w:rPr>
                <w:szCs w:val="22"/>
              </w:rPr>
            </w:pPr>
          </w:p>
        </w:tc>
        <w:tc>
          <w:tcPr>
            <w:tcW w:w="630" w:type="dxa"/>
          </w:tcPr>
          <w:p w:rsidR="00906FEF" w:rsidRPr="00731783" w14:paraId="4EEE842F" w14:textId="77777777">
            <w:pPr>
              <w:tabs>
                <w:tab w:val="center" w:pos="4680"/>
              </w:tabs>
              <w:suppressAutoHyphens/>
              <w:rPr>
                <w:b/>
                <w:spacing w:val="-2"/>
                <w:szCs w:val="22"/>
              </w:rPr>
            </w:pPr>
            <w:r w:rsidRPr="00731783">
              <w:rPr>
                <w:b/>
                <w:spacing w:val="-2"/>
                <w:szCs w:val="22"/>
              </w:rPr>
              <w:t>)</w:t>
            </w:r>
          </w:p>
          <w:p w:rsidR="00906FEF" w:rsidRPr="00731783" w14:paraId="2F51E9EC" w14:textId="77777777">
            <w:pPr>
              <w:tabs>
                <w:tab w:val="center" w:pos="4680"/>
              </w:tabs>
              <w:suppressAutoHyphens/>
              <w:rPr>
                <w:b/>
                <w:spacing w:val="-2"/>
                <w:szCs w:val="22"/>
              </w:rPr>
            </w:pPr>
            <w:r w:rsidRPr="00731783">
              <w:rPr>
                <w:b/>
                <w:spacing w:val="-2"/>
                <w:szCs w:val="22"/>
              </w:rPr>
              <w:t>)</w:t>
            </w:r>
          </w:p>
          <w:p w:rsidR="00906FEF" w:rsidRPr="00731783" w14:paraId="7487DD52" w14:textId="77777777">
            <w:pPr>
              <w:tabs>
                <w:tab w:val="center" w:pos="4680"/>
              </w:tabs>
              <w:suppressAutoHyphens/>
              <w:rPr>
                <w:b/>
                <w:spacing w:val="-2"/>
                <w:szCs w:val="22"/>
              </w:rPr>
            </w:pPr>
            <w:r w:rsidRPr="00731783">
              <w:rPr>
                <w:b/>
                <w:spacing w:val="-2"/>
                <w:szCs w:val="22"/>
              </w:rPr>
              <w:t>)</w:t>
            </w:r>
          </w:p>
          <w:p w:rsidR="00906FEF" w:rsidRPr="00731783" w14:paraId="1B4283C9" w14:textId="77777777">
            <w:pPr>
              <w:tabs>
                <w:tab w:val="center" w:pos="4680"/>
              </w:tabs>
              <w:suppressAutoHyphens/>
              <w:rPr>
                <w:b/>
                <w:spacing w:val="-2"/>
                <w:szCs w:val="22"/>
              </w:rPr>
            </w:pPr>
            <w:r w:rsidRPr="00731783">
              <w:rPr>
                <w:b/>
                <w:spacing w:val="-2"/>
                <w:szCs w:val="22"/>
              </w:rPr>
              <w:t>)</w:t>
            </w:r>
          </w:p>
          <w:p w:rsidR="00906FEF" w:rsidRPr="00731783" w14:paraId="61C66632" w14:textId="77777777">
            <w:pPr>
              <w:tabs>
                <w:tab w:val="center" w:pos="4680"/>
              </w:tabs>
              <w:suppressAutoHyphens/>
              <w:rPr>
                <w:b/>
                <w:spacing w:val="-2"/>
                <w:szCs w:val="22"/>
              </w:rPr>
            </w:pPr>
            <w:r w:rsidRPr="00731783">
              <w:rPr>
                <w:b/>
                <w:spacing w:val="-2"/>
                <w:szCs w:val="22"/>
              </w:rPr>
              <w:t>)</w:t>
            </w:r>
          </w:p>
          <w:p w:rsidR="00906FEF" w:rsidRPr="00731783" w14:paraId="134B8480" w14:textId="77777777">
            <w:pPr>
              <w:tabs>
                <w:tab w:val="center" w:pos="4680"/>
              </w:tabs>
              <w:suppressAutoHyphens/>
              <w:rPr>
                <w:b/>
                <w:spacing w:val="-2"/>
                <w:szCs w:val="22"/>
              </w:rPr>
            </w:pPr>
            <w:r w:rsidRPr="00731783">
              <w:rPr>
                <w:b/>
                <w:spacing w:val="-2"/>
                <w:szCs w:val="22"/>
              </w:rPr>
              <w:t>)</w:t>
            </w:r>
          </w:p>
          <w:p w:rsidR="00906FEF" w:rsidRPr="00731783" w14:paraId="5326F166" w14:textId="77777777">
            <w:pPr>
              <w:tabs>
                <w:tab w:val="center" w:pos="4680"/>
              </w:tabs>
              <w:suppressAutoHyphens/>
              <w:rPr>
                <w:b/>
                <w:spacing w:val="-2"/>
                <w:szCs w:val="22"/>
              </w:rPr>
            </w:pPr>
            <w:r w:rsidRPr="00731783">
              <w:rPr>
                <w:b/>
                <w:spacing w:val="-2"/>
                <w:szCs w:val="22"/>
              </w:rPr>
              <w:t>)</w:t>
            </w:r>
          </w:p>
          <w:p w:rsidR="00906FEF" w:rsidRPr="00731783" w14:paraId="1807BA29" w14:textId="77777777">
            <w:pPr>
              <w:tabs>
                <w:tab w:val="center" w:pos="4680"/>
              </w:tabs>
              <w:suppressAutoHyphens/>
              <w:rPr>
                <w:b/>
                <w:spacing w:val="-2"/>
                <w:szCs w:val="22"/>
              </w:rPr>
            </w:pPr>
            <w:r w:rsidRPr="00731783">
              <w:rPr>
                <w:b/>
                <w:spacing w:val="-2"/>
                <w:szCs w:val="22"/>
              </w:rPr>
              <w:t>)</w:t>
            </w:r>
          </w:p>
          <w:p w:rsidR="00906FEF" w:rsidRPr="00731783" w14:paraId="7B7D8424" w14:textId="77777777">
            <w:pPr>
              <w:tabs>
                <w:tab w:val="center" w:pos="4680"/>
              </w:tabs>
              <w:suppressAutoHyphens/>
              <w:rPr>
                <w:b/>
                <w:spacing w:val="-2"/>
                <w:szCs w:val="22"/>
              </w:rPr>
            </w:pPr>
            <w:r w:rsidRPr="00731783">
              <w:rPr>
                <w:b/>
                <w:spacing w:val="-2"/>
                <w:szCs w:val="22"/>
              </w:rPr>
              <w:t>)</w:t>
            </w:r>
          </w:p>
          <w:p w:rsidR="00661651" w:rsidRPr="00731783" w14:paraId="194363B3" w14:textId="77777777">
            <w:pPr>
              <w:tabs>
                <w:tab w:val="center" w:pos="4680"/>
              </w:tabs>
              <w:suppressAutoHyphens/>
              <w:rPr>
                <w:b/>
                <w:spacing w:val="-2"/>
                <w:szCs w:val="22"/>
              </w:rPr>
            </w:pPr>
            <w:r w:rsidRPr="00731783">
              <w:rPr>
                <w:b/>
                <w:spacing w:val="-2"/>
                <w:szCs w:val="22"/>
              </w:rPr>
              <w:t>)</w:t>
            </w:r>
          </w:p>
          <w:p w:rsidR="00661651" w:rsidRPr="00731783" w14:paraId="49547F00" w14:textId="77777777">
            <w:pPr>
              <w:tabs>
                <w:tab w:val="center" w:pos="4680"/>
              </w:tabs>
              <w:suppressAutoHyphens/>
              <w:rPr>
                <w:b/>
                <w:spacing w:val="-2"/>
                <w:szCs w:val="22"/>
              </w:rPr>
            </w:pPr>
            <w:r w:rsidRPr="00731783">
              <w:rPr>
                <w:b/>
                <w:spacing w:val="-2"/>
                <w:szCs w:val="22"/>
              </w:rPr>
              <w:t>)</w:t>
            </w:r>
          </w:p>
          <w:p w:rsidR="005C7AB6" w:rsidRPr="00731783" w14:paraId="49990CF3" w14:textId="77777777">
            <w:pPr>
              <w:tabs>
                <w:tab w:val="center" w:pos="4680"/>
              </w:tabs>
              <w:suppressAutoHyphens/>
              <w:rPr>
                <w:b/>
                <w:spacing w:val="-2"/>
                <w:szCs w:val="22"/>
              </w:rPr>
            </w:pPr>
            <w:r w:rsidRPr="00731783">
              <w:rPr>
                <w:b/>
                <w:spacing w:val="-2"/>
                <w:szCs w:val="22"/>
              </w:rPr>
              <w:t>)</w:t>
            </w:r>
          </w:p>
          <w:p w:rsidR="005C7AB6" w14:paraId="01BE5860" w14:textId="77777777">
            <w:pPr>
              <w:tabs>
                <w:tab w:val="center" w:pos="4680"/>
              </w:tabs>
              <w:suppressAutoHyphens/>
              <w:rPr>
                <w:b/>
                <w:spacing w:val="-2"/>
                <w:szCs w:val="22"/>
              </w:rPr>
            </w:pPr>
            <w:r w:rsidRPr="00731783">
              <w:rPr>
                <w:b/>
                <w:spacing w:val="-2"/>
                <w:szCs w:val="22"/>
              </w:rPr>
              <w:t>)</w:t>
            </w:r>
          </w:p>
          <w:p w:rsidR="00A4313D" w:rsidRPr="00731783" w14:paraId="0F9299FA" w14:textId="21422627">
            <w:pPr>
              <w:tabs>
                <w:tab w:val="center" w:pos="4680"/>
              </w:tabs>
              <w:suppressAutoHyphens/>
              <w:rPr>
                <w:b/>
                <w:spacing w:val="-2"/>
                <w:szCs w:val="22"/>
              </w:rPr>
            </w:pPr>
          </w:p>
        </w:tc>
        <w:tc>
          <w:tcPr>
            <w:tcW w:w="4248" w:type="dxa"/>
          </w:tcPr>
          <w:p w:rsidR="0025324F" w:rsidRPr="00731783" w14:paraId="0629BB2E" w14:textId="77777777">
            <w:pPr>
              <w:tabs>
                <w:tab w:val="center" w:pos="4680"/>
              </w:tabs>
              <w:suppressAutoHyphens/>
              <w:rPr>
                <w:spacing w:val="-2"/>
                <w:szCs w:val="22"/>
              </w:rPr>
            </w:pPr>
          </w:p>
          <w:p w:rsidR="0025324F" w:rsidRPr="00731783" w14:paraId="09FE7F66" w14:textId="77777777">
            <w:pPr>
              <w:tabs>
                <w:tab w:val="center" w:pos="4680"/>
              </w:tabs>
              <w:suppressAutoHyphens/>
              <w:rPr>
                <w:spacing w:val="-2"/>
                <w:szCs w:val="22"/>
              </w:rPr>
            </w:pPr>
          </w:p>
          <w:p w:rsidR="00906FEF" w:rsidRPr="008E1C3F" w14:paraId="036A1B90" w14:textId="77777777">
            <w:pPr>
              <w:tabs>
                <w:tab w:val="center" w:pos="4680"/>
              </w:tabs>
              <w:suppressAutoHyphens/>
              <w:rPr>
                <w:spacing w:val="-2"/>
                <w:szCs w:val="22"/>
              </w:rPr>
            </w:pPr>
            <w:r w:rsidRPr="008E1C3F">
              <w:rPr>
                <w:spacing w:val="-2"/>
                <w:szCs w:val="22"/>
              </w:rPr>
              <w:t>WC Docket No. 10-90</w:t>
            </w:r>
          </w:p>
          <w:p w:rsidR="005C7AB6" w:rsidRPr="008E1C3F" w:rsidP="00E21F70" w14:paraId="18B01CEF" w14:textId="77777777">
            <w:pPr>
              <w:jc w:val="center"/>
              <w:rPr>
                <w:szCs w:val="22"/>
              </w:rPr>
            </w:pPr>
          </w:p>
          <w:p w:rsidR="00E21F70" w:rsidRPr="008E1C3F" w:rsidP="005C7AB6" w14:paraId="3752CA73" w14:textId="024B2255">
            <w:pPr>
              <w:rPr>
                <w:szCs w:val="22"/>
              </w:rPr>
            </w:pPr>
            <w:r w:rsidRPr="008E1C3F">
              <w:rPr>
                <w:szCs w:val="22"/>
              </w:rPr>
              <w:t>WC Docket No. 14-</w:t>
            </w:r>
            <w:r w:rsidRPr="008E1C3F" w:rsidR="001623C0">
              <w:rPr>
                <w:szCs w:val="22"/>
              </w:rPr>
              <w:t>58</w:t>
            </w:r>
          </w:p>
          <w:p w:rsidR="00E21F70" w:rsidRPr="00731783" w14:paraId="7E2D7E82" w14:textId="77777777">
            <w:pPr>
              <w:tabs>
                <w:tab w:val="center" w:pos="4680"/>
              </w:tabs>
              <w:suppressAutoHyphens/>
              <w:rPr>
                <w:spacing w:val="-2"/>
                <w:szCs w:val="22"/>
              </w:rPr>
            </w:pPr>
          </w:p>
        </w:tc>
      </w:tr>
    </w:tbl>
    <w:p w:rsidR="00906FEF" w:rsidRPr="00731783" w:rsidP="00906FEF" w14:paraId="01309416" w14:textId="3FE95028">
      <w:pPr>
        <w:pStyle w:val="StyleBoldCentered"/>
        <w:rPr>
          <w:rFonts w:ascii="Times New Roman" w:hAnsi="Times New Roman"/>
        </w:rPr>
      </w:pPr>
      <w:r w:rsidRPr="00731783">
        <w:rPr>
          <w:rFonts w:ascii="Times New Roman" w:hAnsi="Times New Roman"/>
        </w:rPr>
        <w:t>ORDER</w:t>
      </w:r>
    </w:p>
    <w:p w:rsidR="00AB105D" w:rsidP="00906FEF" w14:paraId="422274BE" w14:textId="77777777">
      <w:pPr>
        <w:tabs>
          <w:tab w:val="left" w:pos="720"/>
          <w:tab w:val="right" w:pos="9360"/>
        </w:tabs>
        <w:suppressAutoHyphens/>
        <w:spacing w:line="227" w:lineRule="auto"/>
        <w:rPr>
          <w:b/>
          <w:spacing w:val="-2"/>
        </w:rPr>
      </w:pPr>
    </w:p>
    <w:p w:rsidR="00906FEF" w:rsidRPr="00BC14D7" w:rsidP="00906FEF" w14:paraId="080E25D3" w14:textId="2827C029">
      <w:pPr>
        <w:tabs>
          <w:tab w:val="left" w:pos="720"/>
          <w:tab w:val="right" w:pos="9360"/>
        </w:tabs>
        <w:suppressAutoHyphens/>
        <w:spacing w:line="227" w:lineRule="auto"/>
        <w:rPr>
          <w:spacing w:val="-2"/>
        </w:rPr>
      </w:pPr>
      <w:r w:rsidRPr="00BC14D7">
        <w:rPr>
          <w:b/>
          <w:spacing w:val="-2"/>
        </w:rPr>
        <w:t xml:space="preserve">Adopted:  </w:t>
      </w:r>
      <w:r w:rsidR="00F44FDA">
        <w:rPr>
          <w:b/>
          <w:spacing w:val="-2"/>
        </w:rPr>
        <w:t xml:space="preserve">November </w:t>
      </w:r>
      <w:r w:rsidR="001D3549">
        <w:rPr>
          <w:b/>
          <w:spacing w:val="-2"/>
        </w:rPr>
        <w:t>7</w:t>
      </w:r>
      <w:r w:rsidRPr="00BC14D7">
        <w:rPr>
          <w:b/>
          <w:spacing w:val="-2"/>
        </w:rPr>
        <w:t>, 201</w:t>
      </w:r>
      <w:r w:rsidRPr="00BC14D7" w:rsidR="00412CF4">
        <w:rPr>
          <w:b/>
          <w:spacing w:val="-2"/>
        </w:rPr>
        <w:t>9</w:t>
      </w:r>
      <w:r w:rsidRPr="00BC14D7">
        <w:rPr>
          <w:b/>
          <w:spacing w:val="-2"/>
        </w:rPr>
        <w:tab/>
        <w:t xml:space="preserve">Released:  </w:t>
      </w:r>
      <w:r w:rsidR="00F44FDA">
        <w:rPr>
          <w:b/>
          <w:spacing w:val="-2"/>
        </w:rPr>
        <w:t xml:space="preserve">November </w:t>
      </w:r>
      <w:r w:rsidR="001D3549">
        <w:rPr>
          <w:b/>
          <w:spacing w:val="-2"/>
        </w:rPr>
        <w:t>7</w:t>
      </w:r>
      <w:r w:rsidRPr="00BC14D7">
        <w:rPr>
          <w:b/>
          <w:spacing w:val="-2"/>
        </w:rPr>
        <w:t>, 201</w:t>
      </w:r>
      <w:r w:rsidRPr="00BC14D7" w:rsidR="00412CF4">
        <w:rPr>
          <w:b/>
          <w:spacing w:val="-2"/>
        </w:rPr>
        <w:t>9</w:t>
      </w:r>
    </w:p>
    <w:p w:rsidR="00906FEF" w:rsidRPr="00BC14D7" w14:paraId="21CDB2DF" w14:textId="77777777"/>
    <w:p w:rsidR="00906FEF" w:rsidRPr="00BC14D7" w14:paraId="6B53D6B9" w14:textId="77777777">
      <w:pPr>
        <w:rPr>
          <w:spacing w:val="-2"/>
        </w:rPr>
      </w:pPr>
      <w:r w:rsidRPr="00BC14D7">
        <w:t xml:space="preserve">By the </w:t>
      </w:r>
      <w:r w:rsidRPr="00BC14D7">
        <w:rPr>
          <w:spacing w:val="-2"/>
        </w:rPr>
        <w:t>Chief</w:t>
      </w:r>
      <w:r w:rsidRPr="00BC14D7" w:rsidR="00412CF4">
        <w:rPr>
          <w:spacing w:val="-2"/>
        </w:rPr>
        <w:t>,</w:t>
      </w:r>
      <w:r w:rsidRPr="00BC14D7">
        <w:rPr>
          <w:spacing w:val="-2"/>
        </w:rPr>
        <w:t xml:space="preserve"> </w:t>
      </w:r>
      <w:r w:rsidRPr="00BC14D7">
        <w:t>Wireline Competition Bureau</w:t>
      </w:r>
      <w:r w:rsidRPr="00BC14D7">
        <w:rPr>
          <w:spacing w:val="-2"/>
        </w:rPr>
        <w:t>:</w:t>
      </w:r>
    </w:p>
    <w:p w:rsidR="00906FEF" w:rsidRPr="00BC14D7" w14:paraId="0A615C84" w14:textId="77777777">
      <w:pPr>
        <w:rPr>
          <w:spacing w:val="-2"/>
        </w:rPr>
      </w:pPr>
    </w:p>
    <w:p w:rsidR="00906FEF" w:rsidRPr="00BC14D7" w:rsidP="00906FEF" w14:paraId="5426D73E" w14:textId="77777777">
      <w:pPr>
        <w:pStyle w:val="Heading1"/>
        <w:rPr>
          <w:rFonts w:ascii="Times New Roman" w:hAnsi="Times New Roman"/>
        </w:rPr>
      </w:pPr>
      <w:r w:rsidRPr="00BC14D7">
        <w:rPr>
          <w:rFonts w:ascii="Times New Roman" w:hAnsi="Times New Roman"/>
        </w:rPr>
        <w:t>INTRODUCTION</w:t>
      </w:r>
    </w:p>
    <w:p w:rsidR="00FA644E" w:rsidRPr="00EC31AA" w:rsidP="00BC14D7" w14:paraId="361149F7" w14:textId="30F34BF7">
      <w:pPr>
        <w:pStyle w:val="ParaNum"/>
        <w:tabs>
          <w:tab w:val="clear" w:pos="1080"/>
          <w:tab w:val="num" w:pos="1440"/>
        </w:tabs>
        <w:rPr>
          <w:szCs w:val="22"/>
        </w:rPr>
      </w:pPr>
      <w:r w:rsidRPr="00EC31AA">
        <w:rPr>
          <w:szCs w:val="22"/>
        </w:rPr>
        <w:t>In this Order, we</w:t>
      </w:r>
      <w:r w:rsidRPr="00EC31AA" w:rsidR="003A42A3">
        <w:rPr>
          <w:szCs w:val="22"/>
        </w:rPr>
        <w:t xml:space="preserve"> </w:t>
      </w:r>
      <w:r w:rsidRPr="00EC31AA">
        <w:rPr>
          <w:szCs w:val="22"/>
        </w:rPr>
        <w:t xml:space="preserve">grant </w:t>
      </w:r>
      <w:r w:rsidRPr="00EC31AA" w:rsidR="00661651">
        <w:rPr>
          <w:szCs w:val="22"/>
        </w:rPr>
        <w:t>two</w:t>
      </w:r>
      <w:r w:rsidRPr="00EC31AA" w:rsidR="00AE1410">
        <w:rPr>
          <w:szCs w:val="22"/>
        </w:rPr>
        <w:t xml:space="preserve"> petitions</w:t>
      </w:r>
      <w:r w:rsidRPr="00EC31AA" w:rsidR="00661651">
        <w:rPr>
          <w:szCs w:val="22"/>
        </w:rPr>
        <w:t xml:space="preserve">, separately filed by </w:t>
      </w:r>
      <w:r w:rsidRPr="00EC31AA" w:rsidR="0025324F">
        <w:rPr>
          <w:spacing w:val="-2"/>
          <w:szCs w:val="22"/>
        </w:rPr>
        <w:t>Allamakee-Clayton Electric Cooperative</w:t>
      </w:r>
      <w:r w:rsidRPr="00EC31AA" w:rsidR="00AE1410">
        <w:rPr>
          <w:szCs w:val="22"/>
        </w:rPr>
        <w:t xml:space="preserve"> (ACEC) and Consolidated</w:t>
      </w:r>
      <w:r w:rsidRPr="00EC31AA" w:rsidR="00661651">
        <w:rPr>
          <w:szCs w:val="22"/>
        </w:rPr>
        <w:t xml:space="preserve"> Communications Networks Inc.</w:t>
      </w:r>
      <w:r w:rsidRPr="00EC31AA" w:rsidR="00AE1410">
        <w:rPr>
          <w:szCs w:val="22"/>
        </w:rPr>
        <w:t xml:space="preserve"> (Consolidated</w:t>
      </w:r>
      <w:r w:rsidRPr="00EC31AA">
        <w:rPr>
          <w:szCs w:val="22"/>
        </w:rPr>
        <w:t>) (collectively, petitioners)</w:t>
      </w:r>
      <w:r w:rsidRPr="00EC31AA" w:rsidR="003A42A3">
        <w:rPr>
          <w:szCs w:val="22"/>
        </w:rPr>
        <w:t>,</w:t>
      </w:r>
      <w:r w:rsidRPr="00EC31AA" w:rsidR="00661651">
        <w:rPr>
          <w:szCs w:val="22"/>
        </w:rPr>
        <w:t xml:space="preserve"> seeking</w:t>
      </w:r>
      <w:r w:rsidRPr="00EC31AA" w:rsidR="00AE1410">
        <w:rPr>
          <w:szCs w:val="22"/>
        </w:rPr>
        <w:t xml:space="preserve"> waiver of</w:t>
      </w:r>
      <w:r w:rsidRPr="00EC31AA" w:rsidR="00843079">
        <w:rPr>
          <w:szCs w:val="22"/>
        </w:rPr>
        <w:t xml:space="preserve"> </w:t>
      </w:r>
      <w:r w:rsidRPr="00EC31AA" w:rsidR="003A42A3">
        <w:rPr>
          <w:szCs w:val="22"/>
        </w:rPr>
        <w:t xml:space="preserve">their </w:t>
      </w:r>
      <w:r w:rsidRPr="00EC31AA" w:rsidR="005B6725">
        <w:rPr>
          <w:szCs w:val="22"/>
        </w:rPr>
        <w:t>obligation</w:t>
      </w:r>
      <w:r w:rsidRPr="00EC31AA" w:rsidR="00DB0B3D">
        <w:rPr>
          <w:szCs w:val="22"/>
        </w:rPr>
        <w:t>s</w:t>
      </w:r>
      <w:r w:rsidRPr="00EC31AA" w:rsidR="005B6725">
        <w:rPr>
          <w:szCs w:val="22"/>
        </w:rPr>
        <w:t xml:space="preserve"> </w:t>
      </w:r>
      <w:r w:rsidR="009674AF">
        <w:rPr>
          <w:szCs w:val="22"/>
        </w:rPr>
        <w:t>to provide service to a specific number of locations as part of the rural broadband experiments (RBE) program.</w:t>
      </w:r>
      <w:r>
        <w:rPr>
          <w:rStyle w:val="FootnoteReference"/>
          <w:sz w:val="22"/>
          <w:szCs w:val="22"/>
        </w:rPr>
        <w:footnoteReference w:id="3"/>
      </w:r>
      <w:r w:rsidR="009674AF">
        <w:rPr>
          <w:szCs w:val="22"/>
        </w:rPr>
        <w:t xml:space="preserve">  Petitioners demonstrate that the required number of locations </w:t>
      </w:r>
      <w:r w:rsidRPr="00EC31AA" w:rsidR="00501187">
        <w:rPr>
          <w:szCs w:val="22"/>
        </w:rPr>
        <w:t xml:space="preserve">exceeds the actual number of locations that the petitioners have been able to identify within their </w:t>
      </w:r>
      <w:r w:rsidR="00073E04">
        <w:rPr>
          <w:szCs w:val="22"/>
        </w:rPr>
        <w:t>respective</w:t>
      </w:r>
      <w:r w:rsidRPr="00EC31AA" w:rsidR="00073E04">
        <w:rPr>
          <w:szCs w:val="22"/>
        </w:rPr>
        <w:t xml:space="preserve"> </w:t>
      </w:r>
      <w:r w:rsidRPr="00EC31AA" w:rsidR="00501187">
        <w:rPr>
          <w:szCs w:val="22"/>
        </w:rPr>
        <w:t xml:space="preserve">study areas. </w:t>
      </w:r>
      <w:r w:rsidR="00C52FE5">
        <w:rPr>
          <w:szCs w:val="22"/>
        </w:rPr>
        <w:t xml:space="preserve"> </w:t>
      </w:r>
      <w:r w:rsidRPr="00EC31AA" w:rsidR="00501187">
        <w:rPr>
          <w:szCs w:val="22"/>
        </w:rPr>
        <w:t>In granting th</w:t>
      </w:r>
      <w:r w:rsidR="008C4E19">
        <w:rPr>
          <w:szCs w:val="22"/>
        </w:rPr>
        <w:t>ese</w:t>
      </w:r>
      <w:r w:rsidRPr="00EC31AA" w:rsidR="00501187">
        <w:rPr>
          <w:szCs w:val="22"/>
        </w:rPr>
        <w:t xml:space="preserve"> waiver request</w:t>
      </w:r>
      <w:r w:rsidR="008C4E19">
        <w:rPr>
          <w:szCs w:val="22"/>
        </w:rPr>
        <w:t>s</w:t>
      </w:r>
      <w:r w:rsidRPr="00EC31AA" w:rsidR="00501187">
        <w:rPr>
          <w:szCs w:val="22"/>
        </w:rPr>
        <w:t xml:space="preserve">, we </w:t>
      </w:r>
      <w:r w:rsidRPr="00EC31AA" w:rsidR="0098498D">
        <w:rPr>
          <w:szCs w:val="22"/>
        </w:rPr>
        <w:t>make pro-rata adjustments to th</w:t>
      </w:r>
      <w:r w:rsidR="006D2934">
        <w:rPr>
          <w:szCs w:val="22"/>
        </w:rPr>
        <w:t>e</w:t>
      </w:r>
      <w:r w:rsidR="00B251ED">
        <w:rPr>
          <w:szCs w:val="22"/>
        </w:rPr>
        <w:t xml:space="preserve"> petitioners’</w:t>
      </w:r>
      <w:r w:rsidRPr="00EC31AA" w:rsidR="0098498D">
        <w:rPr>
          <w:szCs w:val="22"/>
        </w:rPr>
        <w:t xml:space="preserve"> support amounts and </w:t>
      </w:r>
      <w:r w:rsidR="00876255">
        <w:rPr>
          <w:szCs w:val="22"/>
        </w:rPr>
        <w:t xml:space="preserve">direct </w:t>
      </w:r>
      <w:r w:rsidRPr="00EC31AA" w:rsidR="0098498D">
        <w:rPr>
          <w:szCs w:val="22"/>
        </w:rPr>
        <w:t xml:space="preserve">the </w:t>
      </w:r>
      <w:r w:rsidRPr="00EC31AA" w:rsidR="007D56AA">
        <w:rPr>
          <w:szCs w:val="22"/>
        </w:rPr>
        <w:t xml:space="preserve">Universal Service Administrative Company (USAC) </w:t>
      </w:r>
      <w:r w:rsidRPr="00EC31AA" w:rsidR="0098498D">
        <w:rPr>
          <w:szCs w:val="22"/>
        </w:rPr>
        <w:t>to prorate reductions in future payments for the remainder of the support term</w:t>
      </w:r>
      <w:r w:rsidRPr="00EC31AA" w:rsidR="007D56AA">
        <w:rPr>
          <w:szCs w:val="22"/>
        </w:rPr>
        <w:t xml:space="preserve">.  </w:t>
      </w:r>
    </w:p>
    <w:p w:rsidR="00C507D1" w:rsidRPr="00BC14D7" w:rsidP="00FC35E3" w14:paraId="66E51FDB" w14:textId="77777777">
      <w:pPr>
        <w:pStyle w:val="Heading1"/>
        <w:tabs>
          <w:tab w:val="left" w:pos="720"/>
        </w:tabs>
        <w:rPr>
          <w:rFonts w:ascii="Times New Roman" w:hAnsi="Times New Roman"/>
        </w:rPr>
      </w:pPr>
      <w:r w:rsidRPr="00BC14D7">
        <w:rPr>
          <w:rFonts w:ascii="Times New Roman" w:hAnsi="Times New Roman"/>
        </w:rPr>
        <w:t>BACKGROUND</w:t>
      </w:r>
    </w:p>
    <w:p w:rsidR="00144CB4" w:rsidRPr="00EC31AA" w:rsidP="009D2152" w14:paraId="4FCCAE40" w14:textId="49E13652">
      <w:pPr>
        <w:pStyle w:val="ParaNum"/>
        <w:tabs>
          <w:tab w:val="clear" w:pos="1080"/>
          <w:tab w:val="num" w:pos="1440"/>
        </w:tabs>
        <w:rPr>
          <w:szCs w:val="22"/>
        </w:rPr>
      </w:pPr>
      <w:r w:rsidRPr="00EC31AA">
        <w:rPr>
          <w:szCs w:val="22"/>
        </w:rPr>
        <w:t xml:space="preserve">On July 14, 2014, the Commission released an order </w:t>
      </w:r>
      <w:r w:rsidRPr="00EC31AA" w:rsidR="00177EAB">
        <w:rPr>
          <w:szCs w:val="22"/>
        </w:rPr>
        <w:t>establish</w:t>
      </w:r>
      <w:r w:rsidRPr="00EC31AA">
        <w:rPr>
          <w:szCs w:val="22"/>
        </w:rPr>
        <w:t>ing</w:t>
      </w:r>
      <w:r w:rsidRPr="00EC31AA" w:rsidR="00177EAB">
        <w:rPr>
          <w:szCs w:val="22"/>
        </w:rPr>
        <w:t xml:space="preserve"> the </w:t>
      </w:r>
      <w:r w:rsidRPr="00EC31AA" w:rsidR="00543C28">
        <w:rPr>
          <w:szCs w:val="22"/>
        </w:rPr>
        <w:t>RBE</w:t>
      </w:r>
      <w:r w:rsidR="00094258">
        <w:rPr>
          <w:szCs w:val="22"/>
        </w:rPr>
        <w:t xml:space="preserve"> </w:t>
      </w:r>
      <w:r w:rsidRPr="00EC31AA" w:rsidR="00AE1410">
        <w:rPr>
          <w:szCs w:val="22"/>
        </w:rPr>
        <w:t>program</w:t>
      </w:r>
      <w:r w:rsidR="009674AF">
        <w:rPr>
          <w:szCs w:val="22"/>
        </w:rPr>
        <w:t xml:space="preserve"> as part of its universal service high-cost program</w:t>
      </w:r>
      <w:r w:rsidRPr="00EC31AA">
        <w:rPr>
          <w:szCs w:val="22"/>
        </w:rPr>
        <w:t>.</w:t>
      </w:r>
      <w:r>
        <w:rPr>
          <w:rStyle w:val="FootnoteReference"/>
          <w:sz w:val="22"/>
          <w:szCs w:val="22"/>
        </w:rPr>
        <w:footnoteReference w:id="4"/>
      </w:r>
      <w:r w:rsidRPr="00EC31AA">
        <w:rPr>
          <w:szCs w:val="22"/>
        </w:rPr>
        <w:t xml:space="preserve">  The Commission designed this program to </w:t>
      </w:r>
      <w:r w:rsidRPr="00EC31AA" w:rsidR="00AE1410">
        <w:rPr>
          <w:szCs w:val="22"/>
        </w:rPr>
        <w:t>test</w:t>
      </w:r>
      <w:r w:rsidRPr="00EC31AA" w:rsidR="00512AE9">
        <w:rPr>
          <w:szCs w:val="22"/>
        </w:rPr>
        <w:t xml:space="preserve"> future Connect America Fund (CAF)</w:t>
      </w:r>
      <w:r w:rsidRPr="00EC31AA" w:rsidR="00AE1410">
        <w:rPr>
          <w:szCs w:val="22"/>
        </w:rPr>
        <w:t xml:space="preserve"> auction processes</w:t>
      </w:r>
      <w:r w:rsidRPr="00EC31AA">
        <w:rPr>
          <w:szCs w:val="22"/>
        </w:rPr>
        <w:t xml:space="preserve"> </w:t>
      </w:r>
      <w:r w:rsidRPr="00EC31AA" w:rsidR="00735243">
        <w:rPr>
          <w:szCs w:val="22"/>
        </w:rPr>
        <w:t>that would allocate support in p</w:t>
      </w:r>
      <w:r w:rsidRPr="00EC31AA" w:rsidR="00177EAB">
        <w:rPr>
          <w:szCs w:val="22"/>
        </w:rPr>
        <w:t>rice</w:t>
      </w:r>
      <w:r w:rsidR="00DC2E16">
        <w:rPr>
          <w:szCs w:val="22"/>
        </w:rPr>
        <w:t xml:space="preserve"> </w:t>
      </w:r>
      <w:r w:rsidRPr="00EC31AA" w:rsidR="00177EAB">
        <w:rPr>
          <w:szCs w:val="22"/>
        </w:rPr>
        <w:t xml:space="preserve">cap territories where the </w:t>
      </w:r>
      <w:r w:rsidRPr="00EC31AA" w:rsidR="00512AE9">
        <w:rPr>
          <w:szCs w:val="22"/>
        </w:rPr>
        <w:t xml:space="preserve">average </w:t>
      </w:r>
      <w:r w:rsidRPr="00EC31AA" w:rsidR="00177EAB">
        <w:rPr>
          <w:szCs w:val="22"/>
        </w:rPr>
        <w:t>cost of service exceed</w:t>
      </w:r>
      <w:r w:rsidRPr="00EC31AA" w:rsidR="007D56AA">
        <w:rPr>
          <w:szCs w:val="22"/>
        </w:rPr>
        <w:t>ed</w:t>
      </w:r>
      <w:r w:rsidRPr="00EC31AA" w:rsidR="00177EAB">
        <w:rPr>
          <w:szCs w:val="22"/>
        </w:rPr>
        <w:t xml:space="preserve"> a certain high-cost threshold</w:t>
      </w:r>
      <w:r w:rsidRPr="00EC31AA" w:rsidR="004F47FC">
        <w:rPr>
          <w:szCs w:val="22"/>
        </w:rPr>
        <w:t xml:space="preserve">, as </w:t>
      </w:r>
      <w:r w:rsidRPr="00EC31AA" w:rsidR="006F10CB">
        <w:rPr>
          <w:szCs w:val="22"/>
        </w:rPr>
        <w:t xml:space="preserve">determined by the Connect America </w:t>
      </w:r>
      <w:r w:rsidRPr="00EC31AA" w:rsidR="006F10CB">
        <w:rPr>
          <w:szCs w:val="22"/>
        </w:rPr>
        <w:t>Model (CAM)</w:t>
      </w:r>
      <w:r w:rsidRPr="00EC31AA" w:rsidR="00512AE9">
        <w:rPr>
          <w:szCs w:val="22"/>
        </w:rPr>
        <w:t xml:space="preserve"> (exclusive of areas already served by an unsubsidized competitor)</w:t>
      </w:r>
      <w:r w:rsidRPr="00EC31AA" w:rsidR="00177EAB">
        <w:rPr>
          <w:szCs w:val="22"/>
        </w:rPr>
        <w:t>.</w:t>
      </w:r>
      <w:r>
        <w:rPr>
          <w:rStyle w:val="FootnoteReference"/>
          <w:sz w:val="22"/>
          <w:szCs w:val="22"/>
        </w:rPr>
        <w:footnoteReference w:id="5"/>
      </w:r>
      <w:r w:rsidRPr="00EC31AA" w:rsidR="0089414B">
        <w:rPr>
          <w:szCs w:val="22"/>
        </w:rPr>
        <w:t xml:space="preserve"> </w:t>
      </w:r>
      <w:r w:rsidRPr="00EC31AA" w:rsidR="006F10CB">
        <w:rPr>
          <w:szCs w:val="22"/>
        </w:rPr>
        <w:t xml:space="preserve"> </w:t>
      </w:r>
      <w:r w:rsidRPr="00EC31AA">
        <w:rPr>
          <w:szCs w:val="22"/>
        </w:rPr>
        <w:t>For this program, the Commission set</w:t>
      </w:r>
      <w:r w:rsidRPr="00EC31AA" w:rsidR="006F10CB">
        <w:rPr>
          <w:szCs w:val="22"/>
        </w:rPr>
        <w:t xml:space="preserve"> </w:t>
      </w:r>
      <w:r w:rsidRPr="00EC31AA" w:rsidR="008A59A5">
        <w:rPr>
          <w:szCs w:val="22"/>
        </w:rPr>
        <w:t xml:space="preserve">bidding areas based on census </w:t>
      </w:r>
      <w:r w:rsidRPr="00EC31AA" w:rsidR="003E3EB8">
        <w:rPr>
          <w:szCs w:val="22"/>
        </w:rPr>
        <w:t>block</w:t>
      </w:r>
      <w:r w:rsidRPr="00EC31AA" w:rsidR="008A59A5">
        <w:rPr>
          <w:szCs w:val="22"/>
        </w:rPr>
        <w:t xml:space="preserve"> </w:t>
      </w:r>
      <w:r w:rsidRPr="00EC31AA" w:rsidR="006F10CB">
        <w:rPr>
          <w:szCs w:val="22"/>
        </w:rPr>
        <w:t>and</w:t>
      </w:r>
      <w:r w:rsidRPr="00EC31AA" w:rsidR="008A59A5">
        <w:rPr>
          <w:szCs w:val="22"/>
        </w:rPr>
        <w:t xml:space="preserve"> </w:t>
      </w:r>
      <w:r w:rsidRPr="00EC31AA" w:rsidR="006F10CB">
        <w:rPr>
          <w:szCs w:val="22"/>
        </w:rPr>
        <w:t>limited available</w:t>
      </w:r>
      <w:r w:rsidRPr="00EC31AA" w:rsidR="008A59A5">
        <w:rPr>
          <w:szCs w:val="22"/>
        </w:rPr>
        <w:t xml:space="preserve"> funding only to </w:t>
      </w:r>
      <w:r w:rsidRPr="00EC31AA" w:rsidR="006F10CB">
        <w:rPr>
          <w:szCs w:val="22"/>
        </w:rPr>
        <w:t xml:space="preserve">residential and small business </w:t>
      </w:r>
      <w:r w:rsidRPr="00EC31AA" w:rsidR="008A59A5">
        <w:rPr>
          <w:szCs w:val="22"/>
        </w:rPr>
        <w:t>locations</w:t>
      </w:r>
      <w:r w:rsidRPr="00EC31AA" w:rsidR="00FE2D83">
        <w:rPr>
          <w:szCs w:val="22"/>
        </w:rPr>
        <w:t xml:space="preserve"> </w:t>
      </w:r>
      <w:r w:rsidRPr="00EC31AA" w:rsidR="008A59A5">
        <w:rPr>
          <w:szCs w:val="22"/>
        </w:rPr>
        <w:t xml:space="preserve">in eligible </w:t>
      </w:r>
      <w:r w:rsidRPr="00EC31AA" w:rsidR="005B59AD">
        <w:rPr>
          <w:szCs w:val="22"/>
        </w:rPr>
        <w:t xml:space="preserve">high-cost </w:t>
      </w:r>
      <w:r w:rsidRPr="00EC31AA" w:rsidR="008A59A5">
        <w:rPr>
          <w:szCs w:val="22"/>
        </w:rPr>
        <w:t>census blocks.</w:t>
      </w:r>
      <w:r>
        <w:rPr>
          <w:rStyle w:val="FootnoteReference"/>
          <w:sz w:val="22"/>
          <w:szCs w:val="22"/>
        </w:rPr>
        <w:footnoteReference w:id="6"/>
      </w:r>
      <w:r w:rsidRPr="00EC31AA" w:rsidR="008A59A5">
        <w:rPr>
          <w:szCs w:val="22"/>
        </w:rPr>
        <w:t xml:space="preserve">  The Commission</w:t>
      </w:r>
      <w:r w:rsidRPr="00EC31AA" w:rsidR="00FE2D83">
        <w:rPr>
          <w:szCs w:val="22"/>
        </w:rPr>
        <w:t xml:space="preserve"> </w:t>
      </w:r>
      <w:r w:rsidRPr="00EC31AA" w:rsidR="008A59A5">
        <w:rPr>
          <w:szCs w:val="22"/>
        </w:rPr>
        <w:t>required successful bidders</w:t>
      </w:r>
      <w:r w:rsidRPr="00EC31AA" w:rsidR="002D0610">
        <w:rPr>
          <w:szCs w:val="22"/>
        </w:rPr>
        <w:t xml:space="preserve"> </w:t>
      </w:r>
      <w:r w:rsidRPr="00EC31AA" w:rsidR="008A59A5">
        <w:rPr>
          <w:szCs w:val="22"/>
        </w:rPr>
        <w:t xml:space="preserve">to serve every </w:t>
      </w:r>
      <w:r w:rsidRPr="00EC31AA" w:rsidR="007D56AA">
        <w:rPr>
          <w:szCs w:val="22"/>
        </w:rPr>
        <w:t>CA</w:t>
      </w:r>
      <w:r w:rsidRPr="00EC31AA" w:rsidR="000B6B95">
        <w:rPr>
          <w:szCs w:val="22"/>
        </w:rPr>
        <w:t>M</w:t>
      </w:r>
      <w:r w:rsidRPr="00EC31AA" w:rsidR="00FC35E3">
        <w:rPr>
          <w:szCs w:val="22"/>
        </w:rPr>
        <w:t xml:space="preserve">-determined </w:t>
      </w:r>
      <w:r w:rsidRPr="00EC31AA" w:rsidR="008A59A5">
        <w:rPr>
          <w:szCs w:val="22"/>
        </w:rPr>
        <w:t>location wi</w:t>
      </w:r>
      <w:r w:rsidRPr="00EC31AA" w:rsidR="005B59AD">
        <w:rPr>
          <w:szCs w:val="22"/>
        </w:rPr>
        <w:t>thin their winning bid areas</w:t>
      </w:r>
      <w:r w:rsidRPr="00EC31AA" w:rsidR="00735243">
        <w:rPr>
          <w:szCs w:val="22"/>
        </w:rPr>
        <w:t xml:space="preserve"> (</w:t>
      </w:r>
      <w:r w:rsidRPr="00EC31AA" w:rsidR="006F10CB">
        <w:rPr>
          <w:szCs w:val="22"/>
        </w:rPr>
        <w:t>including locations for which no support had been allocated</w:t>
      </w:r>
      <w:r w:rsidRPr="00EC31AA" w:rsidR="00881039">
        <w:rPr>
          <w:szCs w:val="22"/>
        </w:rPr>
        <w:t>)</w:t>
      </w:r>
      <w:r w:rsidRPr="00EC31AA" w:rsidR="00E27029">
        <w:rPr>
          <w:szCs w:val="22"/>
        </w:rPr>
        <w:t>.</w:t>
      </w:r>
      <w:r>
        <w:rPr>
          <w:rStyle w:val="FootnoteReference"/>
          <w:sz w:val="22"/>
          <w:szCs w:val="22"/>
        </w:rPr>
        <w:footnoteReference w:id="7"/>
      </w:r>
      <w:r w:rsidRPr="00EC31AA" w:rsidR="008A59A5">
        <w:rPr>
          <w:szCs w:val="22"/>
        </w:rPr>
        <w:t xml:space="preserve"> </w:t>
      </w:r>
      <w:r w:rsidRPr="00EC31AA">
        <w:rPr>
          <w:szCs w:val="22"/>
        </w:rPr>
        <w:t xml:space="preserve"> </w:t>
      </w:r>
      <w:r w:rsidRPr="00EC31AA">
        <w:rPr>
          <w:szCs w:val="22"/>
        </w:rPr>
        <w:t xml:space="preserve">In addition, </w:t>
      </w:r>
      <w:r w:rsidRPr="00EC31AA" w:rsidR="00E27029">
        <w:rPr>
          <w:szCs w:val="22"/>
        </w:rPr>
        <w:t xml:space="preserve">RBE support recipients </w:t>
      </w:r>
      <w:r w:rsidRPr="00EC31AA">
        <w:rPr>
          <w:szCs w:val="22"/>
        </w:rPr>
        <w:t xml:space="preserve">were required to </w:t>
      </w:r>
      <w:r w:rsidRPr="00EC31AA" w:rsidR="00E27029">
        <w:rPr>
          <w:szCs w:val="22"/>
        </w:rPr>
        <w:t xml:space="preserve">submit information about their </w:t>
      </w:r>
      <w:r w:rsidRPr="00EC31AA" w:rsidR="003A42A3">
        <w:rPr>
          <w:szCs w:val="22"/>
        </w:rPr>
        <w:t>served locations</w:t>
      </w:r>
      <w:r w:rsidRPr="00EC31AA" w:rsidR="00E27029">
        <w:rPr>
          <w:szCs w:val="22"/>
        </w:rPr>
        <w:t xml:space="preserve"> on an annual basis and to certify</w:t>
      </w:r>
      <w:r w:rsidRPr="00EC31AA" w:rsidR="003A42A3">
        <w:rPr>
          <w:szCs w:val="22"/>
        </w:rPr>
        <w:t>, by certain deadlines, incremental progress in meeting their defined deployment obligations, measured as a percentage of their full obligation (</w:t>
      </w:r>
      <w:r w:rsidRPr="00EC31AA" w:rsidR="00E27029">
        <w:rPr>
          <w:szCs w:val="22"/>
        </w:rPr>
        <w:t>build-out milestone</w:t>
      </w:r>
      <w:r w:rsidRPr="00EC31AA" w:rsidR="003A42A3">
        <w:rPr>
          <w:szCs w:val="22"/>
        </w:rPr>
        <w:t>s)</w:t>
      </w:r>
      <w:r w:rsidRPr="00EC31AA" w:rsidR="00735243">
        <w:rPr>
          <w:szCs w:val="22"/>
        </w:rPr>
        <w:t>.</w:t>
      </w:r>
      <w:r>
        <w:rPr>
          <w:rStyle w:val="FootnoteReference"/>
          <w:sz w:val="22"/>
          <w:szCs w:val="22"/>
        </w:rPr>
        <w:footnoteReference w:id="8"/>
      </w:r>
    </w:p>
    <w:p w:rsidR="00144CB4" w:rsidP="00F44FDA" w14:paraId="551D84AA" w14:textId="0540A574">
      <w:pPr>
        <w:pStyle w:val="ParaNum"/>
        <w:widowControl/>
        <w:tabs>
          <w:tab w:val="clear" w:pos="1080"/>
          <w:tab w:val="num" w:pos="1440"/>
        </w:tabs>
      </w:pPr>
      <w:r w:rsidRPr="00EC31AA">
        <w:rPr>
          <w:szCs w:val="22"/>
        </w:rPr>
        <w:t xml:space="preserve">The Commission indicated that the failure to meet a </w:t>
      </w:r>
      <w:r w:rsidRPr="00EC31AA" w:rsidR="003A42A3">
        <w:rPr>
          <w:szCs w:val="22"/>
        </w:rPr>
        <w:t xml:space="preserve">build-out </w:t>
      </w:r>
      <w:r w:rsidRPr="00EC31AA">
        <w:rPr>
          <w:szCs w:val="22"/>
        </w:rPr>
        <w:t xml:space="preserve">milestone was a performance default, triggering </w:t>
      </w:r>
      <w:r w:rsidRPr="00EC31AA" w:rsidR="00BB4C84">
        <w:rPr>
          <w:szCs w:val="22"/>
        </w:rPr>
        <w:t xml:space="preserve">default </w:t>
      </w:r>
      <w:r w:rsidRPr="00EC31AA" w:rsidR="00FE2D83">
        <w:rPr>
          <w:szCs w:val="22"/>
        </w:rPr>
        <w:t xml:space="preserve">measures that included a 12-month withholding period (with an increase in withholding after the </w:t>
      </w:r>
      <w:r w:rsidR="001E1478">
        <w:rPr>
          <w:szCs w:val="22"/>
        </w:rPr>
        <w:t xml:space="preserve">first </w:t>
      </w:r>
      <w:r w:rsidRPr="00EC31AA" w:rsidR="00FE2D83">
        <w:rPr>
          <w:szCs w:val="22"/>
        </w:rPr>
        <w:t>sixth month</w:t>
      </w:r>
      <w:r w:rsidR="001E1478">
        <w:rPr>
          <w:szCs w:val="22"/>
        </w:rPr>
        <w:t>s</w:t>
      </w:r>
      <w:r w:rsidRPr="00EC31AA" w:rsidR="00FE2D83">
        <w:rPr>
          <w:szCs w:val="22"/>
        </w:rPr>
        <w:t>) and a subsequent draw on a letter of credit securing the full award amount</w:t>
      </w:r>
      <w:r w:rsidRPr="00EC31AA" w:rsidR="00BB4C84">
        <w:rPr>
          <w:szCs w:val="22"/>
        </w:rPr>
        <w:t>.</w:t>
      </w:r>
      <w:r>
        <w:rPr>
          <w:rStyle w:val="FootnoteReference"/>
          <w:sz w:val="22"/>
          <w:szCs w:val="22"/>
        </w:rPr>
        <w:footnoteReference w:id="9"/>
      </w:r>
      <w:r w:rsidRPr="00EC31AA">
        <w:rPr>
          <w:szCs w:val="22"/>
        </w:rPr>
        <w:t xml:space="preserve">  </w:t>
      </w:r>
      <w:r w:rsidRPr="00EC31AA" w:rsidR="00932280">
        <w:rPr>
          <w:szCs w:val="22"/>
        </w:rPr>
        <w:t>The</w:t>
      </w:r>
      <w:r w:rsidRPr="00EC31AA" w:rsidR="00CA3621">
        <w:rPr>
          <w:szCs w:val="22"/>
        </w:rPr>
        <w:t xml:space="preserve"> Commission</w:t>
      </w:r>
      <w:r w:rsidRPr="00EC31AA" w:rsidR="005B59AD">
        <w:rPr>
          <w:szCs w:val="22"/>
        </w:rPr>
        <w:t xml:space="preserve"> </w:t>
      </w:r>
      <w:r w:rsidRPr="00EC31AA" w:rsidR="00CA3621">
        <w:rPr>
          <w:szCs w:val="22"/>
        </w:rPr>
        <w:t xml:space="preserve">invited </w:t>
      </w:r>
      <w:r w:rsidRPr="00EC31AA" w:rsidR="00FE2D83">
        <w:rPr>
          <w:szCs w:val="22"/>
        </w:rPr>
        <w:t>RBE support recipients</w:t>
      </w:r>
      <w:r w:rsidRPr="00EC31AA" w:rsidR="005B59AD">
        <w:rPr>
          <w:szCs w:val="22"/>
        </w:rPr>
        <w:t xml:space="preserve"> to</w:t>
      </w:r>
      <w:r w:rsidRPr="00EC31AA" w:rsidR="00CA3621">
        <w:rPr>
          <w:szCs w:val="22"/>
        </w:rPr>
        <w:t xml:space="preserve"> submit petitions for waiver</w:t>
      </w:r>
      <w:r w:rsidRPr="00EC31AA">
        <w:rPr>
          <w:szCs w:val="22"/>
        </w:rPr>
        <w:t xml:space="preserve"> of their build-out obligations</w:t>
      </w:r>
      <w:r w:rsidRPr="00EC31AA" w:rsidR="00CA3621">
        <w:rPr>
          <w:szCs w:val="22"/>
        </w:rPr>
        <w:t xml:space="preserve"> </w:t>
      </w:r>
      <w:r w:rsidRPr="00EC31AA">
        <w:rPr>
          <w:szCs w:val="22"/>
        </w:rPr>
        <w:t>when circumstance</w:t>
      </w:r>
      <w:r w:rsidRPr="00EC31AA" w:rsidR="00480DE2">
        <w:rPr>
          <w:szCs w:val="22"/>
        </w:rPr>
        <w:t>s</w:t>
      </w:r>
      <w:r w:rsidRPr="00EC31AA">
        <w:rPr>
          <w:szCs w:val="22"/>
        </w:rPr>
        <w:t xml:space="preserve"> outside of their control prevented them from meeting their </w:t>
      </w:r>
      <w:r w:rsidRPr="00EC31AA">
        <w:rPr>
          <w:szCs w:val="22"/>
        </w:rPr>
        <w:t>obligations</w:t>
      </w:r>
      <w:r w:rsidRPr="00EC31AA" w:rsidR="00AB105D">
        <w:rPr>
          <w:szCs w:val="22"/>
        </w:rPr>
        <w:t xml:space="preserve"> </w:t>
      </w:r>
      <w:r>
        <w:rPr>
          <w:rStyle w:val="FootnoteReference"/>
          <w:sz w:val="22"/>
        </w:rPr>
        <w:footnoteReference w:id="10"/>
      </w:r>
      <w:r w:rsidRPr="00BC14D7" w:rsidR="00D97C96">
        <w:t xml:space="preserve"> </w:t>
      </w:r>
      <w:r w:rsidRPr="00BC14D7" w:rsidR="00C4691E">
        <w:t xml:space="preserve"> </w:t>
      </w:r>
      <w:r w:rsidRPr="00BC14D7" w:rsidR="00480DE2">
        <w:t xml:space="preserve">In November </w:t>
      </w:r>
      <w:r w:rsidRPr="00EC31AA" w:rsidR="00480DE2">
        <w:rPr>
          <w:szCs w:val="22"/>
        </w:rPr>
        <w:t xml:space="preserve">of </w:t>
      </w:r>
      <w:r w:rsidRPr="00BC14D7" w:rsidR="00480DE2">
        <w:t>2014, RBE bidders placed their bids</w:t>
      </w:r>
      <w:r w:rsidR="001E1478">
        <w:t>,</w:t>
      </w:r>
      <w:r w:rsidRPr="00BC14D7" w:rsidR="00864AEA">
        <w:t xml:space="preserve"> and on December 5, 2014, the Bureau selected the first round of winning RBE bidders.</w:t>
      </w:r>
      <w:r>
        <w:rPr>
          <w:rStyle w:val="FootnoteReference"/>
          <w:sz w:val="22"/>
        </w:rPr>
        <w:footnoteReference w:id="11"/>
      </w:r>
    </w:p>
    <w:p w:rsidR="00EF1F4C" w:rsidP="009E6C7E" w14:paraId="3377DC33" w14:textId="43A0DADC">
      <w:pPr>
        <w:pStyle w:val="ParaNum"/>
        <w:widowControl/>
        <w:tabs>
          <w:tab w:val="clear" w:pos="1080"/>
          <w:tab w:val="num" w:pos="1440"/>
        </w:tabs>
      </w:pPr>
      <w:r>
        <w:t>In two high-cost programs</w:t>
      </w:r>
      <w:r w:rsidR="00281B4B">
        <w:t xml:space="preserve"> </w:t>
      </w:r>
      <w:r>
        <w:t xml:space="preserve">that followed the Commission’s adoption of the </w:t>
      </w:r>
      <w:r w:rsidR="000F27D4">
        <w:rPr>
          <w:i/>
        </w:rPr>
        <w:t>Rural Broadband Experiments Order</w:t>
      </w:r>
      <w:r w:rsidR="00DA714F">
        <w:t>—</w:t>
      </w:r>
      <w:r w:rsidR="00A544F4">
        <w:t xml:space="preserve">first, </w:t>
      </w:r>
      <w:r w:rsidR="00281B4B">
        <w:t>the offer of model-based support to price</w:t>
      </w:r>
      <w:r w:rsidR="00DC2E16">
        <w:t xml:space="preserve"> </w:t>
      </w:r>
      <w:r w:rsidR="00281B4B">
        <w:t xml:space="preserve">cap carriers (Phase II model-based offer) and </w:t>
      </w:r>
      <w:r w:rsidR="00A544F4">
        <w:t xml:space="preserve">second, </w:t>
      </w:r>
      <w:r w:rsidR="00281B4B">
        <w:t>the CAF Phase II auction—</w:t>
      </w:r>
      <w:r>
        <w:t>the Commission recognized</w:t>
      </w:r>
      <w:r w:rsidR="0046297E">
        <w:t xml:space="preserve"> </w:t>
      </w:r>
      <w:r>
        <w:t>and adopted compensatory strategies for addressing the unique limitations of setting defined deployment obligations</w:t>
      </w:r>
      <w:r w:rsidR="00DA714F">
        <w:t xml:space="preserve"> based on the CAM model</w:t>
      </w:r>
      <w:r>
        <w:t xml:space="preserve">. </w:t>
      </w:r>
      <w:r w:rsidR="00DA714F">
        <w:t xml:space="preserve"> </w:t>
      </w:r>
      <w:r w:rsidR="004633BA">
        <w:t>I</w:t>
      </w:r>
      <w:r w:rsidR="00DA714F">
        <w:t>n</w:t>
      </w:r>
      <w:r>
        <w:t xml:space="preserve"> </w:t>
      </w:r>
      <w:r w:rsidR="00DA714F">
        <w:t xml:space="preserve">its </w:t>
      </w:r>
      <w:r w:rsidRPr="009E6C7E">
        <w:rPr>
          <w:i/>
        </w:rPr>
        <w:t>December 2014 Connect America Order</w:t>
      </w:r>
      <w:r w:rsidRPr="009E6C7E" w:rsidR="00DA714F">
        <w:rPr>
          <w:i/>
        </w:rPr>
        <w:t xml:space="preserve">, </w:t>
      </w:r>
      <w:r w:rsidR="00F402B9">
        <w:t>as it</w:t>
      </w:r>
      <w:r w:rsidR="00DA714F">
        <w:t xml:space="preserve"> was finalizing requirements and conditions for the Phase II model-based offer, </w:t>
      </w:r>
      <w:r>
        <w:t xml:space="preserve">the Commission </w:t>
      </w:r>
      <w:r w:rsidRPr="00BC14D7">
        <w:t>acknowledged that, due to certain limitations in the CAM’s underlying data inputs (i.e., 2010 Census population statistics, FCC study area boundary maps, commercial proprietary data) and demographic changes over time, the number of model-determined locations could exceed the number of actual locations.</w:t>
      </w:r>
      <w:r>
        <w:rPr>
          <w:rStyle w:val="FootnoteReference"/>
          <w:sz w:val="22"/>
        </w:rPr>
        <w:footnoteReference w:id="12"/>
      </w:r>
      <w:r w:rsidRPr="00BC14D7">
        <w:t xml:space="preserve">  </w:t>
      </w:r>
      <w:r w:rsidRPr="00055C09" w:rsidR="00846856">
        <w:t xml:space="preserve">In most instances, the Commission explained, these inaccuracies were likely to be minor and cancel each other out across the multiple census blocks in </w:t>
      </w:r>
      <w:r w:rsidR="0046297E">
        <w:t xml:space="preserve">eligible areas in </w:t>
      </w:r>
      <w:r w:rsidRPr="00055C09" w:rsidR="00846856">
        <w:t>a state.</w:t>
      </w:r>
      <w:r>
        <w:rPr>
          <w:rStyle w:val="FootnoteReference"/>
          <w:color w:val="000000"/>
          <w:szCs w:val="22"/>
        </w:rPr>
        <w:footnoteReference w:id="13"/>
      </w:r>
      <w:r w:rsidRPr="00055C09" w:rsidR="00846856">
        <w:t xml:space="preserve">  The Commission recognized, however, that in particular cases, “the total number of locations assigned to a particular price cap carrier in a given state according to the model simply does not necessarily reflect the actual number of locations.”</w:t>
      </w:r>
      <w:r>
        <w:rPr>
          <w:rStyle w:val="FootnoteReference"/>
          <w:color w:val="000000"/>
          <w:szCs w:val="22"/>
        </w:rPr>
        <w:footnoteReference w:id="14"/>
      </w:r>
      <w:r w:rsidRPr="00055C09" w:rsidR="00846856">
        <w:t xml:space="preserve">  The Commission also stressed that </w:t>
      </w:r>
      <w:r w:rsidR="00846856">
        <w:t xml:space="preserve">the </w:t>
      </w:r>
      <w:r w:rsidRPr="00055C09" w:rsidR="00846856">
        <w:t>CAM location estimates are based on data representing conditions at a point in time but are used by the Commission to set obligations extending over the support term,</w:t>
      </w:r>
      <w:r>
        <w:rPr>
          <w:rStyle w:val="FootnoteReference"/>
          <w:color w:val="000000"/>
          <w:szCs w:val="22"/>
        </w:rPr>
        <w:footnoteReference w:id="15"/>
      </w:r>
      <w:r w:rsidRPr="00055C09" w:rsidR="00846856">
        <w:t xml:space="preserve"> and that “a variety of unforeseen factors, after the initial planning stage, [could] cause significant changes as a network is actua</w:t>
      </w:r>
      <w:r w:rsidR="00846856">
        <w:t>lly being deployed in the field</w:t>
      </w:r>
      <w:r w:rsidR="00426E9E">
        <w:t xml:space="preserve"> . . .</w:t>
      </w:r>
      <w:r w:rsidR="00D30436">
        <w:t xml:space="preserve"> </w:t>
      </w:r>
      <w:r w:rsidR="00426E9E">
        <w:t>.</w:t>
      </w:r>
      <w:r w:rsidRPr="00055C09" w:rsidR="00846856">
        <w:t>”</w:t>
      </w:r>
      <w:r>
        <w:rPr>
          <w:rStyle w:val="FootnoteReference"/>
          <w:color w:val="000000"/>
          <w:szCs w:val="22"/>
        </w:rPr>
        <w:footnoteReference w:id="16"/>
      </w:r>
      <w:r w:rsidRPr="00055C09" w:rsidR="00846856">
        <w:t xml:space="preserve">  </w:t>
      </w:r>
      <w:r w:rsidR="009E6C7E">
        <w:t>Accordingly, t</w:t>
      </w:r>
      <w:r w:rsidRPr="00BC14D7">
        <w:t>he Commission encouraged price</w:t>
      </w:r>
      <w:r w:rsidR="00DC2E16">
        <w:t xml:space="preserve"> </w:t>
      </w:r>
      <w:r w:rsidRPr="00BC14D7">
        <w:t>cap carriers electing to receive the offer to “promptly bring any situations involving a known disparity between the number of model-determined locations and the actual number of locations in a state to the Commission’s attention while developing their network plans in that first year.”</w:t>
      </w:r>
      <w:r>
        <w:rPr>
          <w:rStyle w:val="FootnoteReference"/>
          <w:sz w:val="22"/>
        </w:rPr>
        <w:footnoteReference w:id="17"/>
      </w:r>
      <w:r w:rsidRPr="00BC14D7">
        <w:t xml:space="preserve">  The Commission delegated authority to the Bureau to address such situations by appropriately adjusting the number of funded locations in the relevant state and reducing support on a pro rata basis.</w:t>
      </w:r>
      <w:r>
        <w:rPr>
          <w:rStyle w:val="FootnoteReference"/>
          <w:sz w:val="22"/>
        </w:rPr>
        <w:footnoteReference w:id="18"/>
      </w:r>
      <w:r>
        <w:t xml:space="preserve">  </w:t>
      </w:r>
    </w:p>
    <w:p w:rsidR="000E1919" w:rsidRPr="00BC14D7" w:rsidP="0064135D" w14:paraId="56CA5970" w14:textId="5F79B0CA">
      <w:pPr>
        <w:pStyle w:val="ParaNum"/>
        <w:tabs>
          <w:tab w:val="clear" w:pos="1080"/>
          <w:tab w:val="num" w:pos="1440"/>
        </w:tabs>
      </w:pPr>
      <w:r w:rsidRPr="00BC14D7">
        <w:t xml:space="preserve">The Commission also provided these carriers with some flexibility in responding to unforeseen contingencies by permitting deployment to </w:t>
      </w:r>
      <w:r w:rsidRPr="00BC14D7" w:rsidR="00A00731">
        <w:t>95</w:t>
      </w:r>
      <w:r w:rsidR="00873B00">
        <w:t>%</w:t>
      </w:r>
      <w:r w:rsidRPr="00BC14D7" w:rsidR="00A00731">
        <w:t xml:space="preserve"> of the</w:t>
      </w:r>
      <w:r w:rsidRPr="00BC14D7" w:rsidR="00F72CEB">
        <w:t>ir total number of</w:t>
      </w:r>
      <w:r w:rsidRPr="00BC14D7" w:rsidR="00A00731">
        <w:t xml:space="preserve"> funded locations in a </w:t>
      </w:r>
      <w:r w:rsidRPr="00BC14D7" w:rsidR="00A00731">
        <w:t>given</w:t>
      </w:r>
      <w:r w:rsidRPr="00BC14D7" w:rsidR="00F72CEB">
        <w:t xml:space="preserve"> state</w:t>
      </w:r>
      <w:r w:rsidRPr="00BC14D7" w:rsidR="00A00731">
        <w:t>.</w:t>
      </w:r>
      <w:r>
        <w:rPr>
          <w:rStyle w:val="FootnoteReference"/>
          <w:sz w:val="22"/>
        </w:rPr>
        <w:footnoteReference w:id="19"/>
      </w:r>
      <w:r w:rsidRPr="00BC14D7" w:rsidR="00A00731">
        <w:t xml:space="preserve"> </w:t>
      </w:r>
      <w:r w:rsidRPr="00BC14D7" w:rsidR="00E42894">
        <w:t xml:space="preserve"> </w:t>
      </w:r>
      <w:r w:rsidRPr="00BC14D7" w:rsidR="00455976">
        <w:t>At the end of their deployment,</w:t>
      </w:r>
      <w:r w:rsidRPr="00BC14D7">
        <w:t xml:space="preserve"> </w:t>
      </w:r>
      <w:r w:rsidRPr="00BC14D7" w:rsidR="009C4B59">
        <w:t>carriers</w:t>
      </w:r>
      <w:r w:rsidRPr="00BC14D7" w:rsidR="003F2E38">
        <w:t xml:space="preserve"> relying on this flexibility </w:t>
      </w:r>
      <w:r w:rsidRPr="00BC14D7" w:rsidR="00455976">
        <w:t xml:space="preserve">would </w:t>
      </w:r>
      <w:r w:rsidR="00DB1488">
        <w:t xml:space="preserve">be required to </w:t>
      </w:r>
      <w:r w:rsidRPr="00BC14D7" w:rsidR="00A00731">
        <w:t>refund</w:t>
      </w:r>
      <w:r w:rsidRPr="00BC14D7">
        <w:t xml:space="preserve"> support based </w:t>
      </w:r>
      <w:r w:rsidRPr="00BC14D7" w:rsidR="00A00731">
        <w:t xml:space="preserve">on the number of unserved </w:t>
      </w:r>
      <w:r w:rsidRPr="00BC14D7" w:rsidR="005A79D9">
        <w:t>funded locations</w:t>
      </w:r>
      <w:r w:rsidRPr="00BC14D7" w:rsidR="00D25C76">
        <w:t xml:space="preserve"> </w:t>
      </w:r>
      <w:r w:rsidRPr="00BC14D7">
        <w:t xml:space="preserve">multiplied by </w:t>
      </w:r>
      <w:r w:rsidRPr="00BC14D7" w:rsidR="00A00731">
        <w:t xml:space="preserve">one-half the average support of the top </w:t>
      </w:r>
      <w:r w:rsidR="00873B00">
        <w:t>5%</w:t>
      </w:r>
      <w:r w:rsidRPr="00BC14D7" w:rsidR="00A00731">
        <w:t xml:space="preserve"> of the highest cost funded locations nationwide.</w:t>
      </w:r>
      <w:r>
        <w:rPr>
          <w:rStyle w:val="FootnoteReference"/>
          <w:sz w:val="22"/>
        </w:rPr>
        <w:footnoteReference w:id="20"/>
      </w:r>
      <w:r w:rsidRPr="00BC14D7" w:rsidR="00224841">
        <w:t xml:space="preserve"> </w:t>
      </w:r>
      <w:r w:rsidRPr="00BC14D7">
        <w:t xml:space="preserve"> Finally, the Commission stressed that while support recipients might be able to demonstrate good cause for waiver of deployment obligations in limited circumstances,</w:t>
      </w:r>
      <w:r w:rsidR="00873B00">
        <w:t xml:space="preserve"> </w:t>
      </w:r>
      <w:r w:rsidRPr="00BC14D7">
        <w:t>the “failure to plan for some contingencies would counsel against a finding that there is good cause to grant a waiver request.”</w:t>
      </w:r>
      <w:r>
        <w:rPr>
          <w:rStyle w:val="FootnoteReference"/>
          <w:sz w:val="22"/>
        </w:rPr>
        <w:footnoteReference w:id="21"/>
      </w:r>
    </w:p>
    <w:p w:rsidR="00EA1354" w:rsidP="00BC14D7" w14:paraId="1BC330C5" w14:textId="0F0A92DD">
      <w:pPr>
        <w:pStyle w:val="ParaNum"/>
        <w:widowControl/>
        <w:tabs>
          <w:tab w:val="clear" w:pos="1080"/>
          <w:tab w:val="num" w:pos="1440"/>
        </w:tabs>
      </w:pPr>
      <w:r w:rsidRPr="00BC14D7">
        <w:t xml:space="preserve">In the CAF Phase II </w:t>
      </w:r>
      <w:r w:rsidR="008F20A5">
        <w:rPr>
          <w:szCs w:val="22"/>
        </w:rPr>
        <w:t>a</w:t>
      </w:r>
      <w:r w:rsidRPr="00DB0B3D">
        <w:rPr>
          <w:szCs w:val="22"/>
        </w:rPr>
        <w:t>uction</w:t>
      </w:r>
      <w:r w:rsidRPr="00BC14D7">
        <w:t xml:space="preserve"> proceeding, t</w:t>
      </w:r>
      <w:r w:rsidRPr="00BC14D7" w:rsidR="00D25C76">
        <w:t xml:space="preserve">he </w:t>
      </w:r>
      <w:r w:rsidRPr="00BC14D7" w:rsidR="006E7C26">
        <w:t xml:space="preserve">Commission </w:t>
      </w:r>
      <w:r w:rsidRPr="00BC14D7" w:rsidR="005A79D9">
        <w:t xml:space="preserve">extended </w:t>
      </w:r>
      <w:r w:rsidRPr="00BC14D7">
        <w:t xml:space="preserve">the same flexibility </w:t>
      </w:r>
      <w:r w:rsidRPr="00BC14D7" w:rsidR="003A516A">
        <w:t xml:space="preserve">to </w:t>
      </w:r>
      <w:r w:rsidR="008F20A5">
        <w:rPr>
          <w:szCs w:val="22"/>
        </w:rPr>
        <w:t>a</w:t>
      </w:r>
      <w:r w:rsidRPr="00DB0B3D" w:rsidR="003A516A">
        <w:rPr>
          <w:szCs w:val="22"/>
        </w:rPr>
        <w:t>uction</w:t>
      </w:r>
      <w:r w:rsidRPr="00BC14D7" w:rsidR="003A516A">
        <w:t xml:space="preserve"> </w:t>
      </w:r>
      <w:r w:rsidRPr="003318AD" w:rsidR="003A516A">
        <w:rPr>
          <w:szCs w:val="22"/>
        </w:rPr>
        <w:t xml:space="preserve">support recipients </w:t>
      </w:r>
      <w:r w:rsidRPr="003318AD">
        <w:rPr>
          <w:szCs w:val="22"/>
        </w:rPr>
        <w:t xml:space="preserve">in meeting </w:t>
      </w:r>
      <w:r w:rsidRPr="003318AD" w:rsidR="003A516A">
        <w:rPr>
          <w:szCs w:val="22"/>
        </w:rPr>
        <w:t xml:space="preserve">their </w:t>
      </w:r>
      <w:r w:rsidRPr="003318AD">
        <w:rPr>
          <w:szCs w:val="22"/>
        </w:rPr>
        <w:t>deployment obligations</w:t>
      </w:r>
      <w:r w:rsidRPr="003318AD" w:rsidR="003A516A">
        <w:rPr>
          <w:szCs w:val="22"/>
        </w:rPr>
        <w:t xml:space="preserve">, i.e., </w:t>
      </w:r>
      <w:r w:rsidRPr="003318AD" w:rsidR="008F20A5">
        <w:rPr>
          <w:szCs w:val="22"/>
        </w:rPr>
        <w:t>a</w:t>
      </w:r>
      <w:r w:rsidRPr="003318AD" w:rsidR="003A516A">
        <w:rPr>
          <w:szCs w:val="22"/>
        </w:rPr>
        <w:t xml:space="preserve">uction support recipients </w:t>
      </w:r>
      <w:r>
        <w:rPr>
          <w:szCs w:val="22"/>
        </w:rPr>
        <w:t>must</w:t>
      </w:r>
      <w:r w:rsidRPr="003318AD" w:rsidR="003A516A">
        <w:rPr>
          <w:szCs w:val="22"/>
        </w:rPr>
        <w:t xml:space="preserve"> deploy to 95% of their funded locations</w:t>
      </w:r>
      <w:r>
        <w:rPr>
          <w:szCs w:val="22"/>
        </w:rPr>
        <w:t xml:space="preserve"> and must refund support based on the number of unserved locations at the </w:t>
      </w:r>
      <w:r w:rsidRPr="008F34D0">
        <w:t>highest cost funded locations rate</w:t>
      </w:r>
      <w:r w:rsidRPr="003318AD" w:rsidR="003A516A">
        <w:rPr>
          <w:szCs w:val="22"/>
        </w:rPr>
        <w:t>.</w:t>
      </w:r>
      <w:r>
        <w:rPr>
          <w:rStyle w:val="FootnoteReference"/>
          <w:sz w:val="22"/>
          <w:szCs w:val="22"/>
        </w:rPr>
        <w:footnoteReference w:id="22"/>
      </w:r>
      <w:r w:rsidRPr="003318AD" w:rsidR="006E7C26">
        <w:rPr>
          <w:szCs w:val="22"/>
        </w:rPr>
        <w:t xml:space="preserve"> </w:t>
      </w:r>
      <w:r w:rsidRPr="003318AD">
        <w:rPr>
          <w:szCs w:val="22"/>
        </w:rPr>
        <w:t xml:space="preserve"> </w:t>
      </w:r>
      <w:r w:rsidRPr="003318AD" w:rsidR="00115CD3">
        <w:rPr>
          <w:szCs w:val="22"/>
        </w:rPr>
        <w:t>The Commission</w:t>
      </w:r>
      <w:r w:rsidRPr="00BC14D7" w:rsidR="00115CD3">
        <w:t xml:space="preserve">, however, also </w:t>
      </w:r>
      <w:r w:rsidRPr="00BC14D7" w:rsidR="003A516A">
        <w:t>stress</w:t>
      </w:r>
      <w:r>
        <w:t>ed</w:t>
      </w:r>
      <w:r w:rsidRPr="00BC14D7" w:rsidR="003A516A">
        <w:t xml:space="preserve"> that carriers awarded support </w:t>
      </w:r>
      <w:r w:rsidRPr="00BC14D7" w:rsidR="00115CD3">
        <w:t xml:space="preserve">through competitive bidding processes have significant control over </w:t>
      </w:r>
      <w:r w:rsidRPr="00BC14D7" w:rsidR="009C0A5C">
        <w:t>project area</w:t>
      </w:r>
      <w:r w:rsidRPr="00BC14D7" w:rsidR="00115CD3">
        <w:t xml:space="preserve"> and </w:t>
      </w:r>
      <w:r w:rsidRPr="00BC14D7" w:rsidR="009C0A5C">
        <w:t xml:space="preserve">size </w:t>
      </w:r>
      <w:r w:rsidRPr="00BC14D7" w:rsidR="00115CD3">
        <w:t>as well as support amounts</w:t>
      </w:r>
      <w:r w:rsidRPr="00BC14D7" w:rsidR="003C7ACF">
        <w:t>.</w:t>
      </w:r>
      <w:r>
        <w:rPr>
          <w:rStyle w:val="FootnoteReference"/>
          <w:sz w:val="22"/>
        </w:rPr>
        <w:footnoteReference w:id="23"/>
      </w:r>
      <w:r w:rsidRPr="00BC14D7" w:rsidR="006E7C26">
        <w:t xml:space="preserve"> </w:t>
      </w:r>
      <w:r w:rsidRPr="00BC14D7" w:rsidR="003C7ACF">
        <w:t xml:space="preserve"> </w:t>
      </w:r>
      <w:r w:rsidRPr="00BC14D7" w:rsidR="00115CD3">
        <w:t>For this reason, t</w:t>
      </w:r>
      <w:r w:rsidRPr="00BC14D7" w:rsidR="00377BE2">
        <w:t>he Commission</w:t>
      </w:r>
      <w:r w:rsidRPr="00BC14D7" w:rsidR="003C7ACF">
        <w:t xml:space="preserve"> </w:t>
      </w:r>
      <w:r w:rsidRPr="00BC14D7" w:rsidR="00F72CEB">
        <w:t>warned</w:t>
      </w:r>
      <w:r w:rsidRPr="00BC14D7" w:rsidR="00D974CF">
        <w:t>,</w:t>
      </w:r>
      <w:r w:rsidRPr="00BC14D7" w:rsidR="00F72CEB">
        <w:t xml:space="preserve"> bidders </w:t>
      </w:r>
      <w:r w:rsidRPr="00BC14D7" w:rsidR="00377BE2">
        <w:t>would have difficulty justifying waiver of their final milestone</w:t>
      </w:r>
      <w:r w:rsidRPr="00BC14D7" w:rsidR="00115CD3">
        <w:t xml:space="preserve"> based on unforeseeable circumstances</w:t>
      </w:r>
      <w:r w:rsidRPr="00BC14D7" w:rsidR="00377BE2">
        <w:t xml:space="preserve"> </w:t>
      </w:r>
      <w:r w:rsidRPr="00BC14D7" w:rsidR="005A79D9">
        <w:t>if they could not demonstrate that they exercised the requisite level of due diligence at the beginning of the support term by planning to serve 100</w:t>
      </w:r>
      <w:r w:rsidR="00873B00">
        <w:t>%</w:t>
      </w:r>
      <w:r w:rsidRPr="00BC14D7" w:rsidR="005A79D9">
        <w:t xml:space="preserve"> of their funded locations</w:t>
      </w:r>
      <w:r w:rsidRPr="00BC14D7" w:rsidR="00377BE2">
        <w:t>.</w:t>
      </w:r>
      <w:r>
        <w:rPr>
          <w:rStyle w:val="FootnoteReference"/>
          <w:sz w:val="22"/>
        </w:rPr>
        <w:footnoteReference w:id="24"/>
      </w:r>
      <w:r w:rsidRPr="00BC14D7" w:rsidR="00377BE2">
        <w:t xml:space="preserve">  </w:t>
      </w:r>
    </w:p>
    <w:p w:rsidR="00C507D1" w:rsidRPr="00BC14D7" w:rsidP="00AA32F0" w14:paraId="1A60DEDB" w14:textId="0E205CEC">
      <w:pPr>
        <w:pStyle w:val="ParaNum"/>
        <w:widowControl/>
        <w:tabs>
          <w:tab w:val="clear" w:pos="1080"/>
          <w:tab w:val="num" w:pos="1440"/>
        </w:tabs>
      </w:pPr>
      <w:r>
        <w:t xml:space="preserve">To ensure that bidders would not thereby be discouraged from bidding on census blocks where apparent discrepancies </w:t>
      </w:r>
      <w:r w:rsidR="00DB1488">
        <w:t xml:space="preserve">may </w:t>
      </w:r>
      <w:r>
        <w:t>exist between funded and actual locations, the Commission established an adjudicatory process for facilitating adjustments to funded locations counts (and a pro rata reduction in support) at the beginning of the support term</w:t>
      </w:r>
      <w:r w:rsidRPr="00BC14D7" w:rsidR="00D974CF">
        <w:t>.</w:t>
      </w:r>
      <w:r>
        <w:rPr>
          <w:rStyle w:val="FootnoteReference"/>
          <w:sz w:val="22"/>
        </w:rPr>
        <w:footnoteReference w:id="25"/>
      </w:r>
      <w:r w:rsidRPr="00BC14D7" w:rsidR="00D974CF">
        <w:t xml:space="preserve">  </w:t>
      </w:r>
      <w:r w:rsidRPr="00BC14D7" w:rsidR="003A516A">
        <w:t>Such process, which remains pending, is initiated by support recipients’ submission of information identifying actual locations</w:t>
      </w:r>
      <w:r w:rsidRPr="00BC14D7" w:rsidR="003E22DC">
        <w:t xml:space="preserve"> and proof that “no additional locations could be found</w:t>
      </w:r>
      <w:r w:rsidRPr="00BC14D7" w:rsidR="00D974CF">
        <w:t>.</w:t>
      </w:r>
      <w:r w:rsidRPr="00BC14D7" w:rsidR="003E22DC">
        <w:t>”</w:t>
      </w:r>
      <w:r>
        <w:rPr>
          <w:rStyle w:val="FootnoteReference"/>
          <w:color w:val="000000"/>
          <w:sz w:val="22"/>
        </w:rPr>
        <w:footnoteReference w:id="26"/>
      </w:r>
      <w:r w:rsidRPr="00BC14D7" w:rsidR="001D5496">
        <w:t xml:space="preserve">  </w:t>
      </w:r>
      <w:r w:rsidRPr="00BC14D7" w:rsidR="003E22DC">
        <w:t xml:space="preserve">Relevant stakeholders will then have an opportunity to challenge </w:t>
      </w:r>
      <w:r w:rsidRPr="00BC14D7" w:rsidR="003E22DC">
        <w:t>participants’ evidence</w:t>
      </w:r>
      <w:r w:rsidRPr="00BC14D7" w:rsidR="00A72717">
        <w:t xml:space="preserve"> and to identify other locations</w:t>
      </w:r>
      <w:r w:rsidRPr="00BC14D7" w:rsidR="003E22DC">
        <w:t>.</w:t>
      </w:r>
      <w:r>
        <w:rPr>
          <w:rStyle w:val="FootnoteReference"/>
          <w:sz w:val="22"/>
        </w:rPr>
        <w:footnoteReference w:id="27"/>
      </w:r>
      <w:r w:rsidRPr="00BC14D7" w:rsidR="003E22DC">
        <w:t xml:space="preserve">  The Commission delegated to the Bureau the authority </w:t>
      </w:r>
      <w:r w:rsidRPr="00BC14D7" w:rsidR="00414AC8">
        <w:t>to determine,</w:t>
      </w:r>
      <w:r w:rsidRPr="00BC14D7" w:rsidR="003E22DC">
        <w:t xml:space="preserve"> based on a preponderance of the evidence</w:t>
      </w:r>
      <w:r w:rsidRPr="00BC14D7" w:rsidR="00414AC8">
        <w:t xml:space="preserve">, </w:t>
      </w:r>
      <w:r w:rsidRPr="00BC14D7" w:rsidR="00A72717">
        <w:t>that there are no additional locations in the eligible areas within the state</w:t>
      </w:r>
      <w:r w:rsidRPr="00BC14D7" w:rsidR="003E22DC">
        <w:t xml:space="preserve">, </w:t>
      </w:r>
      <w:r w:rsidRPr="00BC14D7" w:rsidR="00414AC8">
        <w:t xml:space="preserve">and to make adjustments to the auction support recipient’s defined deployment obligations and support on a pro rata basis, </w:t>
      </w:r>
      <w:r w:rsidRPr="00BC14D7" w:rsidR="003E22DC">
        <w:t>subject to future verification.</w:t>
      </w:r>
      <w:r>
        <w:rPr>
          <w:rStyle w:val="FootnoteReference"/>
          <w:sz w:val="22"/>
        </w:rPr>
        <w:footnoteReference w:id="28"/>
      </w:r>
    </w:p>
    <w:p w:rsidR="00881039" w:rsidRPr="00BC14D7" w:rsidP="00BC14D7" w14:paraId="1152348E" w14:textId="1E5C5155">
      <w:pPr>
        <w:pStyle w:val="ParaNum"/>
        <w:widowControl/>
        <w:tabs>
          <w:tab w:val="clear" w:pos="1080"/>
          <w:tab w:val="num" w:pos="1440"/>
        </w:tabs>
      </w:pPr>
      <w:r w:rsidRPr="00BC14D7">
        <w:t>On August 7, 201</w:t>
      </w:r>
      <w:r w:rsidRPr="00BC14D7" w:rsidR="00FE2D83">
        <w:t>5</w:t>
      </w:r>
      <w:r w:rsidRPr="00BC14D7">
        <w:t xml:space="preserve">, </w:t>
      </w:r>
      <w:r w:rsidRPr="00BC14D7" w:rsidR="0046432C">
        <w:t>the Bureau authorized</w:t>
      </w:r>
      <w:r w:rsidRPr="00BC14D7" w:rsidR="008A2795">
        <w:t xml:space="preserve"> </w:t>
      </w:r>
      <w:r w:rsidRPr="00BC14D7" w:rsidR="0046432C">
        <w:t>certain bidders</w:t>
      </w:r>
      <w:r w:rsidRPr="00BC14D7" w:rsidR="00E47E40">
        <w:t>, including ACEC and Consolidated,</w:t>
      </w:r>
      <w:r w:rsidRPr="00BC14D7" w:rsidR="0046432C">
        <w:t xml:space="preserve"> to</w:t>
      </w:r>
      <w:r w:rsidRPr="00BC14D7">
        <w:t xml:space="preserve"> receive </w:t>
      </w:r>
      <w:r w:rsidR="00094258">
        <w:t>R</w:t>
      </w:r>
      <w:r w:rsidR="00DB1488">
        <w:t>BE</w:t>
      </w:r>
      <w:r w:rsidRPr="00BC14D7" w:rsidR="0046432C">
        <w:t xml:space="preserve"> </w:t>
      </w:r>
      <w:r w:rsidRPr="00BC14D7">
        <w:t>support</w:t>
      </w:r>
      <w:r w:rsidRPr="00BC14D7" w:rsidR="00B85321">
        <w:t>.</w:t>
      </w:r>
      <w:r>
        <w:rPr>
          <w:rStyle w:val="FootnoteReference"/>
          <w:sz w:val="22"/>
        </w:rPr>
        <w:footnoteReference w:id="29"/>
      </w:r>
      <w:r w:rsidRPr="00BC14D7" w:rsidR="00B85321">
        <w:t xml:space="preserve">  </w:t>
      </w:r>
      <w:r w:rsidRPr="00BC14D7" w:rsidR="00A33EE2">
        <w:t>Pursuant to such authorization</w:t>
      </w:r>
      <w:r w:rsidR="00DB1488">
        <w:t>,</w:t>
      </w:r>
      <w:r w:rsidRPr="00BC14D7" w:rsidR="00A33EE2">
        <w:t xml:space="preserve"> and a</w:t>
      </w:r>
      <w:r w:rsidRPr="00BC14D7" w:rsidR="00E47E40">
        <w:t xml:space="preserve">s a condition of receiving such support, ACEC committed to </w:t>
      </w:r>
      <w:r w:rsidRPr="00BC14D7" w:rsidR="00A33EE2">
        <w:t xml:space="preserve">serving </w:t>
      </w:r>
      <w:r w:rsidRPr="00BC14D7" w:rsidR="001547DB">
        <w:t>a set number of locations</w:t>
      </w:r>
      <w:r w:rsidRPr="00BC14D7" w:rsidR="00A33EE2">
        <w:t xml:space="preserve"> </w:t>
      </w:r>
      <w:r w:rsidRPr="00BC14D7" w:rsidR="00E47E40">
        <w:t>in</w:t>
      </w:r>
      <w:r w:rsidRPr="00BC14D7" w:rsidR="001547DB">
        <w:t xml:space="preserve"> each</w:t>
      </w:r>
      <w:r w:rsidRPr="00BC14D7" w:rsidR="00B85321">
        <w:t xml:space="preserve"> </w:t>
      </w:r>
      <w:r w:rsidR="00C51CE5">
        <w:t xml:space="preserve">of </w:t>
      </w:r>
      <w:r w:rsidRPr="00BC14D7" w:rsidR="00B85321">
        <w:t xml:space="preserve">four </w:t>
      </w:r>
      <w:r w:rsidRPr="00BC14D7" w:rsidR="00E47E40">
        <w:t xml:space="preserve">study areas (SACs) in </w:t>
      </w:r>
      <w:r w:rsidRPr="00BC14D7" w:rsidR="0046432C">
        <w:t>Iowa</w:t>
      </w:r>
      <w:r w:rsidRPr="00BC14D7" w:rsidR="001547DB">
        <w:t xml:space="preserve">, and </w:t>
      </w:r>
      <w:r w:rsidRPr="00BC14D7" w:rsidR="008A2795">
        <w:t>Consolidated</w:t>
      </w:r>
      <w:r w:rsidRPr="00BC14D7" w:rsidR="001547DB">
        <w:t xml:space="preserve">, </w:t>
      </w:r>
      <w:r w:rsidR="00A66444">
        <w:t xml:space="preserve">to </w:t>
      </w:r>
      <w:r w:rsidRPr="00BC14D7" w:rsidR="001547DB">
        <w:t xml:space="preserve">one </w:t>
      </w:r>
      <w:r w:rsidRPr="00BC14D7" w:rsidR="00E47E40">
        <w:t>SAC in North Dakota</w:t>
      </w:r>
      <w:r w:rsidRPr="00BC14D7" w:rsidR="008A2795">
        <w:t>.</w:t>
      </w:r>
      <w:r>
        <w:rPr>
          <w:rStyle w:val="FootnoteReference"/>
          <w:sz w:val="22"/>
        </w:rPr>
        <w:footnoteReference w:id="30"/>
      </w:r>
      <w:r w:rsidRPr="00BC14D7" w:rsidR="008A2795">
        <w:t xml:space="preserve">  </w:t>
      </w:r>
      <w:r w:rsidRPr="00BC14D7" w:rsidR="00CC319A">
        <w:t xml:space="preserve">ACEC submitted </w:t>
      </w:r>
      <w:r w:rsidRPr="00BC14D7" w:rsidR="003E22DC">
        <w:t xml:space="preserve">its waiver request </w:t>
      </w:r>
      <w:r w:rsidRPr="00BC14D7" w:rsidR="00CC319A">
        <w:t xml:space="preserve">on </w:t>
      </w:r>
      <w:r w:rsidR="008F20A5">
        <w:rPr>
          <w:szCs w:val="22"/>
        </w:rPr>
        <w:t>October 1, 2018,</w:t>
      </w:r>
      <w:r w:rsidRPr="00BC14D7" w:rsidR="00893D90">
        <w:t xml:space="preserve"> and a supplement to this request on </w:t>
      </w:r>
      <w:r w:rsidR="00935CF5">
        <w:t xml:space="preserve">September </w:t>
      </w:r>
      <w:r w:rsidR="00FB7CAD">
        <w:t>24</w:t>
      </w:r>
      <w:r w:rsidR="00935CF5">
        <w:t>, 2019</w:t>
      </w:r>
      <w:r w:rsidRPr="00BC14D7" w:rsidR="00893D90">
        <w:t>;</w:t>
      </w:r>
      <w:r>
        <w:rPr>
          <w:rStyle w:val="FootnoteReference"/>
          <w:sz w:val="22"/>
        </w:rPr>
        <w:footnoteReference w:id="31"/>
      </w:r>
      <w:r w:rsidRPr="00BC14D7" w:rsidR="00C82BF0">
        <w:t xml:space="preserve"> </w:t>
      </w:r>
      <w:r w:rsidRPr="00BC14D7" w:rsidR="00B21592">
        <w:t>C</w:t>
      </w:r>
      <w:r w:rsidRPr="00BC14D7" w:rsidR="00CC319A">
        <w:t>onsolidated</w:t>
      </w:r>
      <w:r w:rsidRPr="00BC14D7" w:rsidR="00893D90">
        <w:t xml:space="preserve"> submitted its waiver request </w:t>
      </w:r>
      <w:r w:rsidRPr="00BC14D7" w:rsidR="00B21592">
        <w:t>o</w:t>
      </w:r>
      <w:r w:rsidRPr="00BC14D7" w:rsidR="00CC319A">
        <w:t>n April 11, 2018</w:t>
      </w:r>
      <w:r w:rsidRPr="00BC14D7" w:rsidR="00893D90">
        <w:t xml:space="preserve"> and a supplement to this request on </w:t>
      </w:r>
      <w:r w:rsidR="00935CF5">
        <w:t xml:space="preserve">September </w:t>
      </w:r>
      <w:r w:rsidR="00FB7CAD">
        <w:t>11</w:t>
      </w:r>
      <w:r w:rsidR="00935CF5">
        <w:t>, 2019</w:t>
      </w:r>
      <w:r w:rsidRPr="00BC14D7" w:rsidR="00CC319A">
        <w:t>.</w:t>
      </w:r>
      <w:r>
        <w:rPr>
          <w:rStyle w:val="FootnoteReference"/>
          <w:sz w:val="22"/>
        </w:rPr>
        <w:footnoteReference w:id="32"/>
      </w:r>
      <w:r w:rsidRPr="00BC14D7" w:rsidR="00CC319A">
        <w:t xml:space="preserve">  Both petitioners seek waiver of their</w:t>
      </w:r>
      <w:r w:rsidRPr="00BC14D7" w:rsidR="008902B1">
        <w:t xml:space="preserve"> remaining milestones </w:t>
      </w:r>
      <w:r w:rsidRPr="00BC14D7" w:rsidR="00CC319A">
        <w:t xml:space="preserve">for each of the study areas in which they won support to the extent that such obligations exceed the total number of </w:t>
      </w:r>
      <w:r w:rsidRPr="00BC14D7" w:rsidR="00A33EE2">
        <w:t xml:space="preserve">actual </w:t>
      </w:r>
      <w:r w:rsidRPr="00BC14D7" w:rsidR="00CC319A">
        <w:t>locations that they were able to identify</w:t>
      </w:r>
      <w:r w:rsidRPr="00BC14D7" w:rsidR="00A33EE2">
        <w:t xml:space="preserve">. </w:t>
      </w:r>
      <w:r w:rsidRPr="00BC14D7" w:rsidR="003E3EB8">
        <w:t xml:space="preserve"> The support awards and the actual location counts identified by each of the petitioners is described in greater detail in Attachment</w:t>
      </w:r>
      <w:r w:rsidR="00F44FDA">
        <w:t xml:space="preserve"> A</w:t>
      </w:r>
      <w:r w:rsidRPr="00BC14D7" w:rsidR="003E3EB8">
        <w:t>.</w:t>
      </w:r>
    </w:p>
    <w:p w:rsidR="0050776C" w:rsidRPr="00EC31AA" w:rsidP="00BC14D7" w14:paraId="73D791D9" w14:textId="1FA9899D">
      <w:pPr>
        <w:pStyle w:val="ParaNum"/>
        <w:widowControl/>
        <w:tabs>
          <w:tab w:val="clear" w:pos="1080"/>
          <w:tab w:val="num" w:pos="1440"/>
        </w:tabs>
        <w:rPr>
          <w:szCs w:val="22"/>
        </w:rPr>
      </w:pPr>
      <w:r>
        <w:rPr>
          <w:i/>
        </w:rPr>
        <w:t xml:space="preserve">ACEC Petition for Waiver.  </w:t>
      </w:r>
      <w:r w:rsidRPr="00BC14D7" w:rsidR="00B91C5F">
        <w:t>ACEC</w:t>
      </w:r>
      <w:r w:rsidRPr="00BC14D7" w:rsidR="00881039">
        <w:t xml:space="preserve"> </w:t>
      </w:r>
      <w:r w:rsidRPr="00BC14D7" w:rsidR="00131E3F">
        <w:t>report</w:t>
      </w:r>
      <w:r w:rsidR="00131E3F">
        <w:t xml:space="preserve">s </w:t>
      </w:r>
      <w:r w:rsidRPr="00BC14D7" w:rsidR="002E1287">
        <w:t xml:space="preserve">that, </w:t>
      </w:r>
      <w:r w:rsidRPr="00BC14D7" w:rsidR="00B91C5F">
        <w:t>in each of its four study areas</w:t>
      </w:r>
      <w:r w:rsidRPr="00BC14D7" w:rsidR="002E1287">
        <w:t xml:space="preserve"> and in advance of its 85% milestone (</w:t>
      </w:r>
      <w:r w:rsidRPr="00711590" w:rsidR="002E1287">
        <w:t>October 1, 2018)</w:t>
      </w:r>
      <w:r w:rsidRPr="00711590" w:rsidR="00B91C5F">
        <w:t xml:space="preserve">, </w:t>
      </w:r>
      <w:r w:rsidRPr="00BC14D7" w:rsidR="00B91C5F">
        <w:t>it</w:t>
      </w:r>
      <w:r w:rsidRPr="00BC14D7" w:rsidR="002E1287">
        <w:t xml:space="preserve"> </w:t>
      </w:r>
      <w:r w:rsidRPr="00BC14D7" w:rsidR="00B91C5F">
        <w:t>serve</w:t>
      </w:r>
      <w:r w:rsidRPr="00BC14D7" w:rsidR="002E1287">
        <w:t>s</w:t>
      </w:r>
      <w:r w:rsidRPr="00BC14D7" w:rsidR="00B91C5F">
        <w:t xml:space="preserve"> at least 85% of the total number of actual locations it ident</w:t>
      </w:r>
      <w:r w:rsidRPr="00BC14D7" w:rsidR="00D5419F">
        <w:t>ified.</w:t>
      </w:r>
      <w:r>
        <w:rPr>
          <w:rStyle w:val="FootnoteReference"/>
          <w:sz w:val="22"/>
        </w:rPr>
        <w:footnoteReference w:id="33"/>
      </w:r>
      <w:r w:rsidRPr="003318AD" w:rsidR="002E1287">
        <w:t xml:space="preserve"> </w:t>
      </w:r>
      <w:r w:rsidRPr="003318AD" w:rsidR="00D5419F">
        <w:t xml:space="preserve"> </w:t>
      </w:r>
      <w:r w:rsidRPr="003318AD" w:rsidR="002E1287">
        <w:t xml:space="preserve">ACEC also </w:t>
      </w:r>
      <w:r w:rsidRPr="003318AD" w:rsidR="00847321">
        <w:t>commits to servi</w:t>
      </w:r>
      <w:r w:rsidRPr="003318AD" w:rsidR="008A6E2C">
        <w:t xml:space="preserve">ng all such locations </w:t>
      </w:r>
      <w:r w:rsidRPr="003318AD" w:rsidR="00847321">
        <w:t xml:space="preserve">by </w:t>
      </w:r>
      <w:r w:rsidRPr="003318AD" w:rsidR="002E1287">
        <w:t xml:space="preserve">its </w:t>
      </w:r>
      <w:r w:rsidRPr="003318AD" w:rsidR="00847321">
        <w:t xml:space="preserve">final </w:t>
      </w:r>
      <w:r w:rsidRPr="003318AD" w:rsidR="00334DE6">
        <w:t>milestone deadline</w:t>
      </w:r>
      <w:r w:rsidRPr="003318AD" w:rsidR="008A6E2C">
        <w:t xml:space="preserve">, </w:t>
      </w:r>
      <w:r w:rsidRPr="003318AD" w:rsidR="002E1287">
        <w:t>September 30, 2020</w:t>
      </w:r>
      <w:r w:rsidRPr="003318AD" w:rsidR="00334DE6">
        <w:t>.</w:t>
      </w:r>
      <w:r>
        <w:rPr>
          <w:rStyle w:val="FootnoteReference"/>
          <w:sz w:val="22"/>
        </w:rPr>
        <w:footnoteReference w:id="34"/>
      </w:r>
      <w:r w:rsidRPr="00BC14D7" w:rsidR="00334DE6">
        <w:t xml:space="preserve"> </w:t>
      </w:r>
      <w:r w:rsidRPr="00BC14D7" w:rsidR="00881039">
        <w:t xml:space="preserve"> </w:t>
      </w:r>
      <w:r w:rsidRPr="00BC14D7" w:rsidR="00E42BF7">
        <w:t xml:space="preserve">As part of its waiver request, </w:t>
      </w:r>
      <w:r w:rsidRPr="00BC14D7" w:rsidR="00D5419F">
        <w:t>ACEC</w:t>
      </w:r>
      <w:r w:rsidRPr="00BC14D7" w:rsidR="008A6E2C">
        <w:t xml:space="preserve"> subm</w:t>
      </w:r>
      <w:r w:rsidR="00131E3F">
        <w:t>its</w:t>
      </w:r>
      <w:r w:rsidRPr="00BC14D7" w:rsidR="008A6E2C">
        <w:t xml:space="preserve"> detailed location information (including addresse</w:t>
      </w:r>
      <w:r w:rsidRPr="00BC14D7" w:rsidR="00E42BF7">
        <w:t>s, geocoordinates, and census block</w:t>
      </w:r>
      <w:r w:rsidRPr="00BC14D7" w:rsidR="00880968">
        <w:t xml:space="preserve"> identifiers</w:t>
      </w:r>
      <w:r w:rsidRPr="00BC14D7" w:rsidR="008A6E2C">
        <w:t>)</w:t>
      </w:r>
      <w:r w:rsidRPr="00BC14D7" w:rsidR="00D14B72">
        <w:t xml:space="preserve"> </w:t>
      </w:r>
      <w:r w:rsidRPr="00BC14D7" w:rsidR="008A6E2C">
        <w:t xml:space="preserve">for </w:t>
      </w:r>
      <w:r w:rsidRPr="00BC14D7" w:rsidR="00D14B72">
        <w:t xml:space="preserve">each of the </w:t>
      </w:r>
      <w:r w:rsidRPr="00BC14D7" w:rsidR="008A6E2C">
        <w:t>locations that it has identifi</w:t>
      </w:r>
      <w:r w:rsidRPr="00BC14D7" w:rsidR="00E42BF7">
        <w:t>ed</w:t>
      </w:r>
      <w:r w:rsidRPr="00BC14D7" w:rsidR="00AF1F13">
        <w:t>.</w:t>
      </w:r>
      <w:r w:rsidRPr="00BC14D7" w:rsidR="00C94A2A">
        <w:t xml:space="preserve">  In addition, </w:t>
      </w:r>
      <w:r w:rsidRPr="00BC14D7" w:rsidR="00AF1F13">
        <w:t xml:space="preserve">ACEC explains </w:t>
      </w:r>
      <w:r w:rsidRPr="00BC14D7" w:rsidR="00F24ADF">
        <w:t>that</w:t>
      </w:r>
      <w:r w:rsidRPr="00BC14D7" w:rsidR="00C94A2A">
        <w:t xml:space="preserve"> it identified these locations by creating a three-layer map consisting of </w:t>
      </w:r>
      <w:r w:rsidRPr="00BC14D7" w:rsidR="00F24ADF">
        <w:t>census block boundar</w:t>
      </w:r>
      <w:r w:rsidRPr="00BC14D7" w:rsidR="00DF6899">
        <w:t>y data</w:t>
      </w:r>
      <w:r w:rsidRPr="00BC14D7" w:rsidR="00E5544A">
        <w:t>,</w:t>
      </w:r>
      <w:r w:rsidRPr="00BC14D7" w:rsidR="00AF1F13">
        <w:t xml:space="preserve"> </w:t>
      </w:r>
      <w:r w:rsidRPr="00BC14D7" w:rsidR="00E5544A">
        <w:t>parcel boundar</w:t>
      </w:r>
      <w:r w:rsidRPr="00BC14D7" w:rsidR="00DF6899">
        <w:t>y data</w:t>
      </w:r>
      <w:r w:rsidRPr="00BC14D7" w:rsidR="00E5544A">
        <w:t xml:space="preserve">, </w:t>
      </w:r>
      <w:r w:rsidRPr="00BC14D7" w:rsidR="00F24ADF">
        <w:t>and aerial photograph</w:t>
      </w:r>
      <w:r w:rsidRPr="00BC14D7" w:rsidR="00DF6899">
        <w:t xml:space="preserve">y </w:t>
      </w:r>
      <w:r w:rsidRPr="00BC14D7" w:rsidR="00C94A2A">
        <w:t xml:space="preserve">of the census blocks </w:t>
      </w:r>
      <w:r w:rsidRPr="00BC14D7" w:rsidR="00F24ADF">
        <w:t>(</w:t>
      </w:r>
      <w:r w:rsidRPr="00BC14D7" w:rsidR="00A3045A">
        <w:t>provided by the county and t</w:t>
      </w:r>
      <w:r w:rsidRPr="00BC14D7" w:rsidR="00F24ADF">
        <w:t>aken in 2016</w:t>
      </w:r>
      <w:r w:rsidRPr="00EC31AA" w:rsidR="00D25B42">
        <w:rPr>
          <w:szCs w:val="22"/>
        </w:rPr>
        <w:t>).</w:t>
      </w:r>
      <w:r>
        <w:rPr>
          <w:rStyle w:val="FootnoteReference"/>
          <w:sz w:val="22"/>
          <w:szCs w:val="22"/>
        </w:rPr>
        <w:footnoteReference w:id="35"/>
      </w:r>
      <w:r w:rsidRPr="00EC31AA" w:rsidR="00E5544A">
        <w:rPr>
          <w:szCs w:val="22"/>
        </w:rPr>
        <w:t xml:space="preserve">  ACEC</w:t>
      </w:r>
      <w:r w:rsidRPr="00EC31AA" w:rsidR="00D25B42">
        <w:rPr>
          <w:szCs w:val="22"/>
        </w:rPr>
        <w:t xml:space="preserve"> </w:t>
      </w:r>
      <w:r w:rsidRPr="00EC31AA" w:rsidR="00C94A2A">
        <w:rPr>
          <w:szCs w:val="22"/>
        </w:rPr>
        <w:t xml:space="preserve">states that it </w:t>
      </w:r>
      <w:r w:rsidRPr="00EC31AA" w:rsidR="00D25B42">
        <w:rPr>
          <w:szCs w:val="22"/>
        </w:rPr>
        <w:t xml:space="preserve">then </w:t>
      </w:r>
      <w:r w:rsidRPr="00EC31AA" w:rsidR="009A7D14">
        <w:rPr>
          <w:szCs w:val="22"/>
        </w:rPr>
        <w:t xml:space="preserve">used the </w:t>
      </w:r>
      <w:r w:rsidRPr="00EC31AA" w:rsidR="00E5544A">
        <w:rPr>
          <w:szCs w:val="22"/>
        </w:rPr>
        <w:t xml:space="preserve">county’s </w:t>
      </w:r>
      <w:r w:rsidRPr="00EC31AA" w:rsidR="00D25B42">
        <w:rPr>
          <w:szCs w:val="22"/>
        </w:rPr>
        <w:t>updated county property records</w:t>
      </w:r>
      <w:r w:rsidRPr="00EC31AA" w:rsidR="009A7D14">
        <w:rPr>
          <w:szCs w:val="22"/>
        </w:rPr>
        <w:t xml:space="preserve"> </w:t>
      </w:r>
      <w:r w:rsidRPr="00EC31AA" w:rsidR="00DF6899">
        <w:rPr>
          <w:szCs w:val="22"/>
        </w:rPr>
        <w:t>(</w:t>
      </w:r>
      <w:r w:rsidRPr="00EC31AA" w:rsidR="00AF1F13">
        <w:rPr>
          <w:szCs w:val="22"/>
        </w:rPr>
        <w:t>publicly available online</w:t>
      </w:r>
      <w:r w:rsidRPr="00EC31AA" w:rsidR="00DF6899">
        <w:rPr>
          <w:szCs w:val="22"/>
        </w:rPr>
        <w:t>)</w:t>
      </w:r>
      <w:r w:rsidRPr="00EC31AA" w:rsidR="00D25B42">
        <w:rPr>
          <w:szCs w:val="22"/>
        </w:rPr>
        <w:t xml:space="preserve"> to identify the number and types of structures </w:t>
      </w:r>
      <w:r w:rsidRPr="00EC31AA" w:rsidR="00AF1F13">
        <w:rPr>
          <w:szCs w:val="22"/>
        </w:rPr>
        <w:t xml:space="preserve">within the </w:t>
      </w:r>
      <w:r w:rsidRPr="00EC31AA" w:rsidR="00D25B42">
        <w:rPr>
          <w:szCs w:val="22"/>
        </w:rPr>
        <w:t>SACs</w:t>
      </w:r>
      <w:r w:rsidRPr="00EC31AA" w:rsidR="00AF1F13">
        <w:rPr>
          <w:szCs w:val="22"/>
        </w:rPr>
        <w:t xml:space="preserve">, </w:t>
      </w:r>
      <w:r w:rsidRPr="00EC31AA" w:rsidR="00D25B42">
        <w:rPr>
          <w:szCs w:val="22"/>
        </w:rPr>
        <w:t>their use</w:t>
      </w:r>
      <w:r w:rsidRPr="00EC31AA" w:rsidR="009A7D14">
        <w:rPr>
          <w:szCs w:val="22"/>
        </w:rPr>
        <w:t>s</w:t>
      </w:r>
      <w:r w:rsidRPr="00EC31AA" w:rsidR="00D25B42">
        <w:rPr>
          <w:szCs w:val="22"/>
        </w:rPr>
        <w:t xml:space="preserve"> (residential, small business, agriculture, abandon</w:t>
      </w:r>
      <w:r w:rsidR="00DB1488">
        <w:rPr>
          <w:szCs w:val="22"/>
        </w:rPr>
        <w:t>ed</w:t>
      </w:r>
      <w:r w:rsidRPr="00EC31AA" w:rsidR="00D25B42">
        <w:rPr>
          <w:szCs w:val="22"/>
        </w:rPr>
        <w:t>)</w:t>
      </w:r>
      <w:r w:rsidRPr="00EC31AA" w:rsidR="00AF1F13">
        <w:rPr>
          <w:szCs w:val="22"/>
        </w:rPr>
        <w:t xml:space="preserve">, and their </w:t>
      </w:r>
      <w:r w:rsidRPr="00EC31AA" w:rsidR="000A4D3E">
        <w:rPr>
          <w:szCs w:val="22"/>
        </w:rPr>
        <w:t>eligibility for reporting</w:t>
      </w:r>
      <w:r w:rsidRPr="00EC31AA" w:rsidR="00632FDC">
        <w:rPr>
          <w:color w:val="393939"/>
          <w:kern w:val="0"/>
          <w:szCs w:val="22"/>
        </w:rPr>
        <w:t>.</w:t>
      </w:r>
      <w:r>
        <w:rPr>
          <w:rStyle w:val="FootnoteReference"/>
          <w:sz w:val="22"/>
          <w:szCs w:val="22"/>
        </w:rPr>
        <w:footnoteReference w:id="36"/>
      </w:r>
      <w:r w:rsidRPr="00EC31AA" w:rsidR="009A7D14">
        <w:rPr>
          <w:szCs w:val="22"/>
        </w:rPr>
        <w:t xml:space="preserve"> </w:t>
      </w:r>
      <w:r w:rsidRPr="00EC31AA" w:rsidR="000A4D3E">
        <w:rPr>
          <w:color w:val="393939"/>
          <w:kern w:val="0"/>
          <w:szCs w:val="22"/>
        </w:rPr>
        <w:t xml:space="preserve"> </w:t>
      </w:r>
      <w:r w:rsidRPr="00EC31AA" w:rsidR="00F24ADF">
        <w:rPr>
          <w:color w:val="393939"/>
          <w:kern w:val="0"/>
          <w:szCs w:val="22"/>
        </w:rPr>
        <w:t>ACEC</w:t>
      </w:r>
      <w:r w:rsidRPr="00EC31AA" w:rsidR="000A4D3E">
        <w:rPr>
          <w:color w:val="393939"/>
          <w:kern w:val="0"/>
          <w:szCs w:val="22"/>
        </w:rPr>
        <w:t xml:space="preserve"> </w:t>
      </w:r>
      <w:r w:rsidRPr="00EC31AA" w:rsidR="00C94A2A">
        <w:rPr>
          <w:color w:val="393939"/>
          <w:kern w:val="0"/>
          <w:szCs w:val="22"/>
        </w:rPr>
        <w:t xml:space="preserve">states that it also used an </w:t>
      </w:r>
      <w:r w:rsidRPr="00EC31AA" w:rsidR="00F24ADF">
        <w:rPr>
          <w:color w:val="393939"/>
          <w:kern w:val="0"/>
          <w:szCs w:val="22"/>
        </w:rPr>
        <w:t xml:space="preserve">affiliated electric company’s service </w:t>
      </w:r>
      <w:r w:rsidRPr="00EC31AA" w:rsidR="00632FDC">
        <w:rPr>
          <w:color w:val="393939"/>
          <w:kern w:val="0"/>
          <w:szCs w:val="22"/>
        </w:rPr>
        <w:t xml:space="preserve">address </w:t>
      </w:r>
      <w:r w:rsidRPr="00EC31AA" w:rsidR="00F24ADF">
        <w:rPr>
          <w:color w:val="393939"/>
          <w:kern w:val="0"/>
          <w:szCs w:val="22"/>
        </w:rPr>
        <w:t>database</w:t>
      </w:r>
      <w:r w:rsidRPr="00EC31AA" w:rsidR="00481086">
        <w:rPr>
          <w:color w:val="393939"/>
          <w:kern w:val="0"/>
          <w:szCs w:val="22"/>
        </w:rPr>
        <w:t xml:space="preserve"> to ensure </w:t>
      </w:r>
      <w:r w:rsidRPr="00EC31AA" w:rsidR="00F24ADF">
        <w:rPr>
          <w:color w:val="393939"/>
          <w:kern w:val="0"/>
          <w:szCs w:val="22"/>
        </w:rPr>
        <w:t>that</w:t>
      </w:r>
      <w:r w:rsidRPr="00EC31AA" w:rsidR="00481086">
        <w:rPr>
          <w:color w:val="393939"/>
          <w:kern w:val="0"/>
          <w:szCs w:val="22"/>
        </w:rPr>
        <w:t xml:space="preserve">, </w:t>
      </w:r>
      <w:r w:rsidRPr="00EC31AA" w:rsidR="00F24ADF">
        <w:rPr>
          <w:color w:val="393939"/>
          <w:kern w:val="0"/>
          <w:szCs w:val="22"/>
        </w:rPr>
        <w:t>whenever electric service was provided to a location, the location was</w:t>
      </w:r>
      <w:r w:rsidRPr="00EC31AA" w:rsidR="00481086">
        <w:rPr>
          <w:color w:val="393939"/>
          <w:kern w:val="0"/>
          <w:szCs w:val="22"/>
        </w:rPr>
        <w:t xml:space="preserve"> identified</w:t>
      </w:r>
      <w:r w:rsidRPr="00EC31AA" w:rsidR="00DF6899">
        <w:rPr>
          <w:color w:val="393939"/>
          <w:kern w:val="0"/>
          <w:szCs w:val="22"/>
        </w:rPr>
        <w:t xml:space="preserve"> as an eligible location</w:t>
      </w:r>
      <w:r w:rsidRPr="00EC31AA" w:rsidR="00F24ADF">
        <w:rPr>
          <w:color w:val="393939"/>
          <w:kern w:val="0"/>
          <w:szCs w:val="22"/>
        </w:rPr>
        <w:t>.</w:t>
      </w:r>
      <w:r>
        <w:rPr>
          <w:rStyle w:val="FootnoteReference"/>
          <w:kern w:val="0"/>
          <w:sz w:val="22"/>
          <w:szCs w:val="22"/>
        </w:rPr>
        <w:footnoteReference w:id="37"/>
      </w:r>
      <w:r w:rsidRPr="00EC31AA" w:rsidR="00632FDC">
        <w:rPr>
          <w:color w:val="393939"/>
          <w:kern w:val="0"/>
          <w:szCs w:val="22"/>
        </w:rPr>
        <w:t xml:space="preserve"> </w:t>
      </w:r>
      <w:r w:rsidRPr="00EC31AA" w:rsidR="00427B07">
        <w:rPr>
          <w:color w:val="393939"/>
          <w:kern w:val="0"/>
          <w:szCs w:val="22"/>
        </w:rPr>
        <w:t xml:space="preserve"> To </w:t>
      </w:r>
      <w:r w:rsidRPr="00EC31AA" w:rsidR="00DF6899">
        <w:rPr>
          <w:color w:val="393939"/>
          <w:kern w:val="0"/>
          <w:szCs w:val="22"/>
        </w:rPr>
        <w:t xml:space="preserve">support its findings, </w:t>
      </w:r>
      <w:r w:rsidRPr="00EC31AA" w:rsidR="00427B07">
        <w:rPr>
          <w:color w:val="393939"/>
          <w:kern w:val="0"/>
          <w:szCs w:val="22"/>
        </w:rPr>
        <w:t>ACEC submit</w:t>
      </w:r>
      <w:r w:rsidR="00131E3F">
        <w:rPr>
          <w:color w:val="393939"/>
          <w:kern w:val="0"/>
          <w:szCs w:val="22"/>
        </w:rPr>
        <w:t>s</w:t>
      </w:r>
      <w:r w:rsidRPr="00EC31AA" w:rsidR="009A7D14">
        <w:rPr>
          <w:color w:val="393939"/>
          <w:kern w:val="0"/>
          <w:szCs w:val="22"/>
        </w:rPr>
        <w:t xml:space="preserve"> </w:t>
      </w:r>
      <w:r w:rsidRPr="00EC31AA" w:rsidR="00F73587">
        <w:rPr>
          <w:color w:val="393939"/>
          <w:kern w:val="0"/>
          <w:szCs w:val="22"/>
        </w:rPr>
        <w:t xml:space="preserve">detailed </w:t>
      </w:r>
      <w:r w:rsidRPr="00EC31AA" w:rsidR="009A7D14">
        <w:rPr>
          <w:color w:val="393939"/>
          <w:kern w:val="0"/>
          <w:szCs w:val="22"/>
        </w:rPr>
        <w:t xml:space="preserve">county </w:t>
      </w:r>
      <w:r w:rsidRPr="00EC31AA" w:rsidR="00427B07">
        <w:rPr>
          <w:color w:val="393939"/>
          <w:kern w:val="0"/>
          <w:szCs w:val="22"/>
        </w:rPr>
        <w:t>parcel data</w:t>
      </w:r>
      <w:r w:rsidRPr="00EC31AA" w:rsidR="009A7D14">
        <w:rPr>
          <w:color w:val="393939"/>
          <w:kern w:val="0"/>
          <w:szCs w:val="22"/>
        </w:rPr>
        <w:t xml:space="preserve">, </w:t>
      </w:r>
      <w:r w:rsidRPr="00EC31AA" w:rsidR="00427B07">
        <w:rPr>
          <w:color w:val="393939"/>
          <w:kern w:val="0"/>
          <w:szCs w:val="22"/>
        </w:rPr>
        <w:t>photographic evidence</w:t>
      </w:r>
      <w:r w:rsidRPr="00EC31AA" w:rsidR="009A7D14">
        <w:rPr>
          <w:color w:val="393939"/>
          <w:kern w:val="0"/>
          <w:szCs w:val="22"/>
        </w:rPr>
        <w:t xml:space="preserve">, </w:t>
      </w:r>
      <w:r w:rsidRPr="00EC31AA" w:rsidR="009A7D14">
        <w:rPr>
          <w:color w:val="393939"/>
          <w:kern w:val="0"/>
          <w:szCs w:val="22"/>
        </w:rPr>
        <w:t>and explanatory note</w:t>
      </w:r>
      <w:r w:rsidRPr="00EC31AA" w:rsidR="00414AC8">
        <w:rPr>
          <w:color w:val="393939"/>
          <w:kern w:val="0"/>
          <w:szCs w:val="22"/>
        </w:rPr>
        <w:t>s (</w:t>
      </w:r>
      <w:r w:rsidRPr="00EC31AA" w:rsidR="007D4B53">
        <w:rPr>
          <w:color w:val="393939"/>
          <w:kern w:val="0"/>
          <w:szCs w:val="22"/>
        </w:rPr>
        <w:t xml:space="preserve">including </w:t>
      </w:r>
      <w:r w:rsidRPr="00EC31AA" w:rsidR="00414AC8">
        <w:rPr>
          <w:color w:val="393939"/>
          <w:kern w:val="0"/>
          <w:szCs w:val="22"/>
        </w:rPr>
        <w:t>evidence for e</w:t>
      </w:r>
      <w:r w:rsidRPr="00EC31AA" w:rsidR="007D4B53">
        <w:rPr>
          <w:color w:val="393939"/>
          <w:kern w:val="0"/>
          <w:szCs w:val="22"/>
        </w:rPr>
        <w:t xml:space="preserve">very census block </w:t>
      </w:r>
      <w:r w:rsidRPr="00EC31AA" w:rsidR="009A7D14">
        <w:rPr>
          <w:color w:val="393939"/>
          <w:kern w:val="0"/>
          <w:szCs w:val="22"/>
        </w:rPr>
        <w:t xml:space="preserve">within one </w:t>
      </w:r>
      <w:r w:rsidRPr="00EC31AA" w:rsidR="00427B07">
        <w:rPr>
          <w:color w:val="393939"/>
          <w:kern w:val="0"/>
          <w:szCs w:val="22"/>
        </w:rPr>
        <w:t xml:space="preserve">SAC </w:t>
      </w:r>
      <w:r w:rsidRPr="00EC31AA" w:rsidR="00880968">
        <w:rPr>
          <w:color w:val="393939"/>
          <w:kern w:val="0"/>
          <w:szCs w:val="22"/>
        </w:rPr>
        <w:t xml:space="preserve">(356220) </w:t>
      </w:r>
      <w:r w:rsidRPr="00EC31AA" w:rsidR="00427B07">
        <w:rPr>
          <w:color w:val="393939"/>
          <w:kern w:val="0"/>
          <w:szCs w:val="22"/>
        </w:rPr>
        <w:t>a</w:t>
      </w:r>
      <w:r w:rsidRPr="00EC31AA" w:rsidR="007D4B53">
        <w:rPr>
          <w:color w:val="393939"/>
          <w:kern w:val="0"/>
          <w:szCs w:val="22"/>
        </w:rPr>
        <w:t>nd</w:t>
      </w:r>
      <w:r w:rsidRPr="00EC31AA" w:rsidR="00414AC8">
        <w:rPr>
          <w:color w:val="393939"/>
          <w:kern w:val="0"/>
          <w:szCs w:val="22"/>
        </w:rPr>
        <w:t xml:space="preserve"> for some of the c</w:t>
      </w:r>
      <w:r w:rsidRPr="00EC31AA" w:rsidR="007D4B53">
        <w:rPr>
          <w:color w:val="393939"/>
          <w:kern w:val="0"/>
          <w:szCs w:val="22"/>
        </w:rPr>
        <w:t xml:space="preserve">ensus blocks </w:t>
      </w:r>
      <w:r w:rsidRPr="00EC31AA" w:rsidR="00414AC8">
        <w:rPr>
          <w:color w:val="393939"/>
          <w:kern w:val="0"/>
          <w:szCs w:val="22"/>
        </w:rPr>
        <w:t xml:space="preserve">in the remaining </w:t>
      </w:r>
      <w:r w:rsidRPr="00EC31AA" w:rsidR="007D4B53">
        <w:rPr>
          <w:color w:val="393939"/>
          <w:kern w:val="0"/>
          <w:szCs w:val="22"/>
        </w:rPr>
        <w:t>SACs</w:t>
      </w:r>
      <w:r w:rsidRPr="00EC31AA" w:rsidR="00414AC8">
        <w:rPr>
          <w:color w:val="393939"/>
          <w:kern w:val="0"/>
          <w:szCs w:val="22"/>
        </w:rPr>
        <w:t>)</w:t>
      </w:r>
      <w:r w:rsidRPr="00EC31AA" w:rsidR="007D4B53">
        <w:rPr>
          <w:color w:val="393939"/>
          <w:kern w:val="0"/>
          <w:szCs w:val="22"/>
        </w:rPr>
        <w:t>.</w:t>
      </w:r>
      <w:r>
        <w:rPr>
          <w:rStyle w:val="FootnoteReference"/>
          <w:kern w:val="0"/>
          <w:sz w:val="22"/>
          <w:szCs w:val="22"/>
        </w:rPr>
        <w:footnoteReference w:id="38"/>
      </w:r>
      <w:r w:rsidRPr="00EC31AA" w:rsidR="000A4D3E">
        <w:rPr>
          <w:color w:val="393939"/>
          <w:kern w:val="0"/>
          <w:szCs w:val="22"/>
        </w:rPr>
        <w:t xml:space="preserve"> </w:t>
      </w:r>
      <w:r w:rsidRPr="00EC31AA" w:rsidR="007D4B53">
        <w:rPr>
          <w:color w:val="393939"/>
          <w:kern w:val="0"/>
          <w:szCs w:val="22"/>
        </w:rPr>
        <w:t xml:space="preserve"> </w:t>
      </w:r>
    </w:p>
    <w:p w:rsidR="00C82BF0" w:rsidRPr="00094258" w:rsidP="00094258" w14:paraId="31E19975" w14:textId="46110F8C">
      <w:pPr>
        <w:pStyle w:val="ParaNum"/>
        <w:widowControl/>
        <w:tabs>
          <w:tab w:val="clear" w:pos="1080"/>
          <w:tab w:val="num" w:pos="1440"/>
        </w:tabs>
        <w:rPr>
          <w:szCs w:val="22"/>
        </w:rPr>
      </w:pPr>
      <w:r w:rsidRPr="00EC31AA">
        <w:rPr>
          <w:color w:val="393939"/>
          <w:kern w:val="0"/>
          <w:szCs w:val="22"/>
        </w:rPr>
        <w:t>ACEC e</w:t>
      </w:r>
      <w:r w:rsidRPr="00EC31AA">
        <w:rPr>
          <w:szCs w:val="22"/>
        </w:rPr>
        <w:t>xplains</w:t>
      </w:r>
      <w:r w:rsidRPr="00EC31AA" w:rsidR="00511325">
        <w:rPr>
          <w:szCs w:val="22"/>
        </w:rPr>
        <w:t xml:space="preserve"> that</w:t>
      </w:r>
      <w:r w:rsidR="00131E3F">
        <w:rPr>
          <w:szCs w:val="22"/>
        </w:rPr>
        <w:t>, based on an overall assessment of its evidence,</w:t>
      </w:r>
      <w:r w:rsidRPr="00EC31AA">
        <w:rPr>
          <w:szCs w:val="22"/>
        </w:rPr>
        <w:t xml:space="preserve"> it had “reason to conclude some locations identified and counted in [modeled location count] were … non-residential structures such as barns, livestock buildings, machine storage structures, and grain operations where there would be no need for broadband facilities.”</w:t>
      </w:r>
      <w:r>
        <w:rPr>
          <w:rStyle w:val="FootnoteReference"/>
          <w:sz w:val="22"/>
          <w:szCs w:val="22"/>
        </w:rPr>
        <w:footnoteReference w:id="39"/>
      </w:r>
      <w:r w:rsidRPr="00EC31AA">
        <w:rPr>
          <w:szCs w:val="22"/>
        </w:rPr>
        <w:t xml:space="preserve">  </w:t>
      </w:r>
      <w:r w:rsidRPr="00EC31AA" w:rsidR="003F1CCD">
        <w:rPr>
          <w:szCs w:val="22"/>
        </w:rPr>
        <w:t>ACEC asserts that as a fixed wireless provider, it has no incentive to “cherry pick” locations</w:t>
      </w:r>
      <w:r w:rsidRPr="00EC31AA" w:rsidR="00DF6899">
        <w:rPr>
          <w:szCs w:val="22"/>
        </w:rPr>
        <w:t xml:space="preserve"> by choosing to serve only the most affordable locations within the SACs </w:t>
      </w:r>
      <w:r w:rsidRPr="00EC31AA" w:rsidR="003F1CCD">
        <w:rPr>
          <w:szCs w:val="22"/>
        </w:rPr>
        <w:t xml:space="preserve">because once </w:t>
      </w:r>
      <w:r w:rsidRPr="00EC31AA" w:rsidR="003F1CCD">
        <w:rPr>
          <w:color w:val="393939"/>
          <w:kern w:val="0"/>
          <w:szCs w:val="22"/>
        </w:rPr>
        <w:t>antennas</w:t>
      </w:r>
      <w:r w:rsidRPr="00EC31AA" w:rsidR="003F1CCD">
        <w:rPr>
          <w:szCs w:val="22"/>
        </w:rPr>
        <w:t xml:space="preserve"> are installed, ACEC </w:t>
      </w:r>
      <w:r w:rsidR="00094258">
        <w:rPr>
          <w:szCs w:val="22"/>
        </w:rPr>
        <w:t>benefits</w:t>
      </w:r>
      <w:r w:rsidRPr="00094258" w:rsidR="003F1CCD">
        <w:rPr>
          <w:szCs w:val="22"/>
        </w:rPr>
        <w:t xml:space="preserve"> from serving every location.</w:t>
      </w:r>
      <w:r>
        <w:rPr>
          <w:rStyle w:val="FootnoteReference"/>
          <w:sz w:val="22"/>
          <w:szCs w:val="22"/>
        </w:rPr>
        <w:footnoteReference w:id="40"/>
      </w:r>
      <w:r w:rsidRPr="00094258" w:rsidR="003F1CCD">
        <w:rPr>
          <w:szCs w:val="22"/>
        </w:rPr>
        <w:t xml:space="preserve"> </w:t>
      </w:r>
      <w:r w:rsidRPr="00094258" w:rsidR="00DF6899">
        <w:rPr>
          <w:szCs w:val="22"/>
        </w:rPr>
        <w:t xml:space="preserve"> ACEC explains that it has deployed its network in each of the SACs in </w:t>
      </w:r>
      <w:r w:rsidR="00A66444">
        <w:rPr>
          <w:szCs w:val="22"/>
        </w:rPr>
        <w:t xml:space="preserve">an </w:t>
      </w:r>
      <w:r w:rsidRPr="00094258" w:rsidR="00DF6899">
        <w:rPr>
          <w:szCs w:val="22"/>
        </w:rPr>
        <w:t>“effort to provide 100% coverage.”</w:t>
      </w:r>
      <w:r>
        <w:rPr>
          <w:rStyle w:val="FootnoteReference"/>
          <w:sz w:val="22"/>
          <w:szCs w:val="22"/>
        </w:rPr>
        <w:footnoteReference w:id="41"/>
      </w:r>
      <w:r w:rsidRPr="00094258" w:rsidR="00DF6899">
        <w:rPr>
          <w:szCs w:val="22"/>
        </w:rPr>
        <w:t xml:space="preserve"> </w:t>
      </w:r>
      <w:r w:rsidRPr="00094258" w:rsidR="003F1CCD">
        <w:rPr>
          <w:szCs w:val="22"/>
        </w:rPr>
        <w:t xml:space="preserve"> ACEC states that “[t]o the best of its knowledge, ACEC </w:t>
      </w:r>
      <w:r w:rsidRPr="00094258" w:rsidR="003F1CCD">
        <w:rPr>
          <w:color w:val="393939"/>
          <w:kern w:val="0"/>
          <w:szCs w:val="22"/>
        </w:rPr>
        <w:t>will</w:t>
      </w:r>
      <w:r w:rsidRPr="00094258" w:rsidR="003F1CCD">
        <w:rPr>
          <w:szCs w:val="22"/>
        </w:rPr>
        <w:t xml:space="preserve"> be able to deploy fiber/fixed wireless facilities capable of reaching the actual number of residential and small business locations within each awarded census block.”</w:t>
      </w:r>
      <w:r>
        <w:rPr>
          <w:rStyle w:val="FootnoteReference"/>
          <w:sz w:val="22"/>
          <w:szCs w:val="22"/>
        </w:rPr>
        <w:footnoteReference w:id="42"/>
      </w:r>
      <w:r w:rsidRPr="00094258" w:rsidR="003F1CCD">
        <w:rPr>
          <w:szCs w:val="22"/>
        </w:rPr>
        <w:t xml:space="preserve"> </w:t>
      </w:r>
    </w:p>
    <w:p w:rsidR="00CF1EC3" w:rsidRPr="00EC31AA" w:rsidP="00BC14D7" w14:paraId="4A3E6D69" w14:textId="072A8F1A">
      <w:pPr>
        <w:pStyle w:val="ParaNum"/>
        <w:widowControl/>
        <w:tabs>
          <w:tab w:val="clear" w:pos="1080"/>
          <w:tab w:val="num" w:pos="1440"/>
        </w:tabs>
        <w:rPr>
          <w:szCs w:val="22"/>
        </w:rPr>
      </w:pPr>
      <w:r>
        <w:rPr>
          <w:i/>
          <w:szCs w:val="22"/>
        </w:rPr>
        <w:t>Consolidated’s</w:t>
      </w:r>
      <w:r>
        <w:rPr>
          <w:i/>
          <w:szCs w:val="22"/>
        </w:rPr>
        <w:t xml:space="preserve"> Petition for Waiver.  </w:t>
      </w:r>
      <w:r w:rsidRPr="00EC31AA" w:rsidR="00881039">
        <w:rPr>
          <w:szCs w:val="22"/>
        </w:rPr>
        <w:t xml:space="preserve">Consolidated </w:t>
      </w:r>
      <w:r w:rsidRPr="00EC31AA" w:rsidR="00154044">
        <w:rPr>
          <w:szCs w:val="22"/>
        </w:rPr>
        <w:t>state</w:t>
      </w:r>
      <w:r w:rsidR="00154044">
        <w:rPr>
          <w:szCs w:val="22"/>
        </w:rPr>
        <w:t xml:space="preserve">s </w:t>
      </w:r>
      <w:r w:rsidRPr="00EC31AA" w:rsidR="00881039">
        <w:rPr>
          <w:szCs w:val="22"/>
        </w:rPr>
        <w:t>that it currently serves all locations that it has been able to identify, 162 locations, or approximately 95% of the 171 locations</w:t>
      </w:r>
      <w:r w:rsidRPr="00EC31AA" w:rsidR="00414AC8">
        <w:rPr>
          <w:szCs w:val="22"/>
        </w:rPr>
        <w:t xml:space="preserve"> that it is required to serve</w:t>
      </w:r>
      <w:r w:rsidRPr="00EC31AA" w:rsidR="00A04CEB">
        <w:rPr>
          <w:szCs w:val="22"/>
        </w:rPr>
        <w:t>.</w:t>
      </w:r>
      <w:r>
        <w:rPr>
          <w:rStyle w:val="FootnoteReference"/>
          <w:sz w:val="22"/>
          <w:szCs w:val="22"/>
        </w:rPr>
        <w:footnoteReference w:id="43"/>
      </w:r>
      <w:r w:rsidRPr="00EC31AA" w:rsidR="00A04CEB">
        <w:rPr>
          <w:szCs w:val="22"/>
        </w:rPr>
        <w:t xml:space="preserve">  It </w:t>
      </w:r>
      <w:r w:rsidRPr="00EC31AA" w:rsidR="00881039">
        <w:rPr>
          <w:szCs w:val="22"/>
        </w:rPr>
        <w:t xml:space="preserve">seeks waiver of its final milestone </w:t>
      </w:r>
      <w:r w:rsidR="00A66444">
        <w:rPr>
          <w:szCs w:val="22"/>
        </w:rPr>
        <w:t>(</w:t>
      </w:r>
      <w:r w:rsidRPr="00EC31AA" w:rsidR="00881039">
        <w:rPr>
          <w:szCs w:val="22"/>
        </w:rPr>
        <w:t>August 7, 2020).</w:t>
      </w:r>
      <w:r>
        <w:rPr>
          <w:rStyle w:val="FootnoteReference"/>
          <w:sz w:val="22"/>
          <w:szCs w:val="22"/>
        </w:rPr>
        <w:footnoteReference w:id="44"/>
      </w:r>
      <w:r w:rsidRPr="00EC31AA" w:rsidR="00881039">
        <w:rPr>
          <w:szCs w:val="22"/>
        </w:rPr>
        <w:t xml:space="preserve"> </w:t>
      </w:r>
      <w:r w:rsidRPr="00EC31AA" w:rsidR="00A04CEB">
        <w:rPr>
          <w:szCs w:val="22"/>
        </w:rPr>
        <w:t xml:space="preserve"> </w:t>
      </w:r>
      <w:r w:rsidRPr="00EC31AA" w:rsidR="006E28BB">
        <w:rPr>
          <w:szCs w:val="22"/>
        </w:rPr>
        <w:t xml:space="preserve">Consolidated explains </w:t>
      </w:r>
      <w:r w:rsidRPr="00EC31AA" w:rsidR="00154177">
        <w:rPr>
          <w:szCs w:val="22"/>
        </w:rPr>
        <w:t>that</w:t>
      </w:r>
      <w:r w:rsidRPr="00EC31AA" w:rsidR="00414AC8">
        <w:rPr>
          <w:szCs w:val="22"/>
        </w:rPr>
        <w:t xml:space="preserve">, to ensure that it had identified every eligible location within its SAC, </w:t>
      </w:r>
      <w:r w:rsidRPr="00EC31AA" w:rsidR="004C4252">
        <w:rPr>
          <w:szCs w:val="22"/>
        </w:rPr>
        <w:t>it develop</w:t>
      </w:r>
      <w:r w:rsidRPr="00EC31AA" w:rsidR="00154177">
        <w:rPr>
          <w:szCs w:val="22"/>
        </w:rPr>
        <w:t>ed</w:t>
      </w:r>
      <w:r w:rsidRPr="00EC31AA" w:rsidR="004C4252">
        <w:rPr>
          <w:szCs w:val="22"/>
        </w:rPr>
        <w:t xml:space="preserve"> a mapping system </w:t>
      </w:r>
      <w:r w:rsidRPr="00EC31AA" w:rsidR="00D20764">
        <w:rPr>
          <w:szCs w:val="22"/>
        </w:rPr>
        <w:t>to identify all locations passed.</w:t>
      </w:r>
      <w:r>
        <w:rPr>
          <w:rStyle w:val="FootnoteReference"/>
          <w:sz w:val="22"/>
          <w:szCs w:val="22"/>
        </w:rPr>
        <w:footnoteReference w:id="45"/>
      </w:r>
      <w:r w:rsidRPr="00EC31AA" w:rsidR="00D20764">
        <w:rPr>
          <w:szCs w:val="22"/>
        </w:rPr>
        <w:t xml:space="preserve">  </w:t>
      </w:r>
      <w:r w:rsidR="009A1880">
        <w:rPr>
          <w:szCs w:val="22"/>
        </w:rPr>
        <w:t>Consolidated states that it then</w:t>
      </w:r>
      <w:r w:rsidRPr="00EC31AA" w:rsidR="00D20764">
        <w:rPr>
          <w:szCs w:val="22"/>
        </w:rPr>
        <w:t xml:space="preserve"> overlaid this map with t</w:t>
      </w:r>
      <w:r w:rsidRPr="00EC31AA" w:rsidR="004C4252">
        <w:rPr>
          <w:szCs w:val="22"/>
        </w:rPr>
        <w:t>hird-party aerial photographs</w:t>
      </w:r>
      <w:r w:rsidR="009A1880">
        <w:rPr>
          <w:szCs w:val="22"/>
        </w:rPr>
        <w:t xml:space="preserve"> and cross-checked its information against searche</w:t>
      </w:r>
      <w:r w:rsidR="00EE778C">
        <w:rPr>
          <w:szCs w:val="22"/>
        </w:rPr>
        <w:t>s</w:t>
      </w:r>
      <w:r w:rsidR="009A1880">
        <w:rPr>
          <w:szCs w:val="22"/>
        </w:rPr>
        <w:t xml:space="preserve"> in the relevant county website</w:t>
      </w:r>
      <w:r>
        <w:rPr>
          <w:rStyle w:val="FootnoteReference"/>
          <w:sz w:val="22"/>
          <w:szCs w:val="22"/>
        </w:rPr>
        <w:footnoteReference w:id="46"/>
      </w:r>
      <w:r w:rsidR="009A1880">
        <w:rPr>
          <w:szCs w:val="22"/>
        </w:rPr>
        <w:t xml:space="preserve">  These searches, Consolidated explains,</w:t>
      </w:r>
      <w:r w:rsidRPr="00EC31AA" w:rsidR="006E28BB">
        <w:rPr>
          <w:szCs w:val="22"/>
        </w:rPr>
        <w:t xml:space="preserve"> </w:t>
      </w:r>
      <w:r w:rsidRPr="00EC31AA" w:rsidR="009A7EC9">
        <w:rPr>
          <w:szCs w:val="22"/>
        </w:rPr>
        <w:t>identified properties by address on specific streets.</w:t>
      </w:r>
      <w:r>
        <w:rPr>
          <w:rStyle w:val="FootnoteReference"/>
          <w:sz w:val="22"/>
          <w:szCs w:val="22"/>
        </w:rPr>
        <w:footnoteReference w:id="47"/>
      </w:r>
      <w:r w:rsidRPr="00EC31AA" w:rsidR="009A7EC9">
        <w:rPr>
          <w:szCs w:val="22"/>
        </w:rPr>
        <w:t xml:space="preserve"> </w:t>
      </w:r>
      <w:r w:rsidRPr="00EC31AA" w:rsidR="00D20764">
        <w:rPr>
          <w:szCs w:val="22"/>
        </w:rPr>
        <w:t xml:space="preserve"> Consolidated </w:t>
      </w:r>
      <w:r w:rsidRPr="00EC31AA" w:rsidR="009A1880">
        <w:rPr>
          <w:szCs w:val="22"/>
        </w:rPr>
        <w:t>state</w:t>
      </w:r>
      <w:r w:rsidR="009A1880">
        <w:rPr>
          <w:szCs w:val="22"/>
        </w:rPr>
        <w:t>s</w:t>
      </w:r>
      <w:r w:rsidRPr="00EC31AA" w:rsidR="009A1880">
        <w:rPr>
          <w:szCs w:val="22"/>
        </w:rPr>
        <w:t xml:space="preserve"> </w:t>
      </w:r>
      <w:r w:rsidRPr="00EC31AA" w:rsidR="00D20764">
        <w:rPr>
          <w:szCs w:val="22"/>
        </w:rPr>
        <w:t xml:space="preserve">that it used this information to identify addresses for locations and to </w:t>
      </w:r>
      <w:r w:rsidRPr="00EC31AA" w:rsidR="00CD6E10">
        <w:rPr>
          <w:szCs w:val="22"/>
        </w:rPr>
        <w:t>“make sure it did not miss any locations.”</w:t>
      </w:r>
      <w:r>
        <w:rPr>
          <w:rStyle w:val="FootnoteReference"/>
          <w:sz w:val="22"/>
          <w:szCs w:val="22"/>
        </w:rPr>
        <w:footnoteReference w:id="48"/>
      </w:r>
      <w:r w:rsidRPr="00EC31AA" w:rsidR="00CD6E10">
        <w:rPr>
          <w:szCs w:val="22"/>
        </w:rPr>
        <w:t xml:space="preserve">  Consolidated </w:t>
      </w:r>
      <w:r w:rsidRPr="00EC31AA" w:rsidR="009A1880">
        <w:rPr>
          <w:szCs w:val="22"/>
        </w:rPr>
        <w:t>state</w:t>
      </w:r>
      <w:r w:rsidR="009A1880">
        <w:rPr>
          <w:szCs w:val="22"/>
        </w:rPr>
        <w:t>s</w:t>
      </w:r>
      <w:r w:rsidRPr="00EC31AA" w:rsidR="009A1880">
        <w:rPr>
          <w:szCs w:val="22"/>
        </w:rPr>
        <w:t xml:space="preserve"> </w:t>
      </w:r>
      <w:r w:rsidRPr="00EC31AA" w:rsidR="00CD6E10">
        <w:rPr>
          <w:szCs w:val="22"/>
        </w:rPr>
        <w:t xml:space="preserve">that the “mapping systems developer </w:t>
      </w:r>
      <w:r w:rsidR="009A1880">
        <w:rPr>
          <w:szCs w:val="22"/>
        </w:rPr>
        <w:t xml:space="preserve">also completed </w:t>
      </w:r>
      <w:r w:rsidRPr="00EC31AA" w:rsidR="00CD6E10">
        <w:rPr>
          <w:szCs w:val="22"/>
        </w:rPr>
        <w:t xml:space="preserve">a physical drive-by of approximately 180 miles to determine if </w:t>
      </w:r>
      <w:r w:rsidR="009A1880">
        <w:rPr>
          <w:szCs w:val="22"/>
        </w:rPr>
        <w:t>locations</w:t>
      </w:r>
      <w:r w:rsidRPr="00EC31AA" w:rsidR="00CD6E10">
        <w:rPr>
          <w:szCs w:val="22"/>
        </w:rPr>
        <w:t xml:space="preserve"> were habitable</w:t>
      </w:r>
      <w:r>
        <w:rPr>
          <w:rStyle w:val="FootnoteReference"/>
          <w:sz w:val="22"/>
          <w:szCs w:val="22"/>
        </w:rPr>
        <w:footnoteReference w:id="49"/>
      </w:r>
      <w:r w:rsidRPr="00EC31AA" w:rsidR="00CD6E10">
        <w:rPr>
          <w:szCs w:val="22"/>
        </w:rPr>
        <w:t xml:space="preserve">  </w:t>
      </w:r>
      <w:r w:rsidRPr="00EC31AA" w:rsidR="004835DA">
        <w:rPr>
          <w:szCs w:val="22"/>
        </w:rPr>
        <w:t>Consolidated</w:t>
      </w:r>
      <w:r w:rsidRPr="00EC31AA" w:rsidR="00CD6E10">
        <w:rPr>
          <w:szCs w:val="22"/>
        </w:rPr>
        <w:t xml:space="preserve"> </w:t>
      </w:r>
      <w:r w:rsidR="009A1880">
        <w:rPr>
          <w:szCs w:val="22"/>
        </w:rPr>
        <w:t xml:space="preserve">states that it </w:t>
      </w:r>
      <w:r w:rsidRPr="00EC31AA" w:rsidR="00CD6E10">
        <w:rPr>
          <w:szCs w:val="22"/>
        </w:rPr>
        <w:t xml:space="preserve">has reported every location it has identified (and currently serves) in </w:t>
      </w:r>
      <w:r w:rsidRPr="00EC31AA" w:rsidR="00C94A2A">
        <w:rPr>
          <w:szCs w:val="22"/>
        </w:rPr>
        <w:t>USAC’s</w:t>
      </w:r>
      <w:r w:rsidRPr="00EC31AA" w:rsidR="00CD6E10">
        <w:rPr>
          <w:szCs w:val="22"/>
        </w:rPr>
        <w:t xml:space="preserve"> High Cost Broadband Portal (HUBB), pursuant to its annual reporting obligations</w:t>
      </w:r>
      <w:r w:rsidRPr="00EC31AA" w:rsidR="009A3E40">
        <w:rPr>
          <w:szCs w:val="22"/>
        </w:rPr>
        <w:t>.</w:t>
      </w:r>
      <w:r>
        <w:rPr>
          <w:rStyle w:val="FootnoteReference"/>
          <w:sz w:val="22"/>
          <w:szCs w:val="22"/>
        </w:rPr>
        <w:footnoteReference w:id="50"/>
      </w:r>
      <w:r w:rsidRPr="00EC31AA" w:rsidR="00CD6E10">
        <w:rPr>
          <w:szCs w:val="22"/>
        </w:rPr>
        <w:t xml:space="preserve">  Consolidated </w:t>
      </w:r>
      <w:r w:rsidR="009A1880">
        <w:rPr>
          <w:szCs w:val="22"/>
        </w:rPr>
        <w:t>also</w:t>
      </w:r>
      <w:r w:rsidRPr="00EC31AA" w:rsidR="00CD6E10">
        <w:rPr>
          <w:szCs w:val="22"/>
        </w:rPr>
        <w:t xml:space="preserve"> submit</w:t>
      </w:r>
      <w:r w:rsidR="009A1880">
        <w:rPr>
          <w:szCs w:val="22"/>
        </w:rPr>
        <w:t>s</w:t>
      </w:r>
      <w:r w:rsidRPr="00EC31AA" w:rsidR="00CD6E10">
        <w:rPr>
          <w:szCs w:val="22"/>
        </w:rPr>
        <w:t xml:space="preserve">, among other things, a </w:t>
      </w:r>
      <w:r w:rsidRPr="00EC31AA" w:rsidR="00CD6E10">
        <w:rPr>
          <w:szCs w:val="22"/>
        </w:rPr>
        <w:t>list of census blocks in which it identified some structures as abandoned, and aerial photographs demonstrating th</w:t>
      </w:r>
      <w:r w:rsidR="00EF1B33">
        <w:rPr>
          <w:szCs w:val="22"/>
        </w:rPr>
        <w:t>e</w:t>
      </w:r>
      <w:r w:rsidRPr="00EC31AA" w:rsidR="00CD6E10">
        <w:rPr>
          <w:szCs w:val="22"/>
        </w:rPr>
        <w:t xml:space="preserve"> position of such structures within such census blocks.</w:t>
      </w:r>
      <w:r>
        <w:rPr>
          <w:rStyle w:val="FootnoteReference"/>
          <w:sz w:val="22"/>
          <w:szCs w:val="22"/>
        </w:rPr>
        <w:footnoteReference w:id="51"/>
      </w:r>
      <w:r w:rsidRPr="00EC31AA" w:rsidR="00201862">
        <w:rPr>
          <w:szCs w:val="22"/>
        </w:rPr>
        <w:t xml:space="preserve">  </w:t>
      </w:r>
    </w:p>
    <w:p w:rsidR="00A760CE" w:rsidRPr="00EC31AA" w:rsidP="00A760CE" w14:paraId="5D6F299D" w14:textId="3A4FC481">
      <w:pPr>
        <w:pStyle w:val="ParaNum"/>
        <w:widowControl/>
        <w:tabs>
          <w:tab w:val="clear" w:pos="1080"/>
          <w:tab w:val="num" w:pos="1440"/>
        </w:tabs>
        <w:rPr>
          <w:szCs w:val="22"/>
        </w:rPr>
      </w:pPr>
      <w:r>
        <w:rPr>
          <w:i/>
          <w:szCs w:val="22"/>
        </w:rPr>
        <w:t xml:space="preserve">Waiver Standard.  </w:t>
      </w:r>
      <w:r w:rsidRPr="00EC31AA">
        <w:rPr>
          <w:szCs w:val="22"/>
        </w:rPr>
        <w:t>The Commission may waive its rules and requirements for “good cause shown.”</w:t>
      </w:r>
      <w:r>
        <w:rPr>
          <w:rStyle w:val="FootnoteReference"/>
          <w:sz w:val="22"/>
          <w:szCs w:val="22"/>
        </w:rPr>
        <w:footnoteReference w:id="52"/>
      </w:r>
      <w:r w:rsidRPr="00EC31AA">
        <w:rPr>
          <w:szCs w:val="22"/>
        </w:rPr>
        <w:t xml:space="preserve">  Good cause, in turn, may be found “where particular facts would make strict compliance inconsistent with the public interest.”</w:t>
      </w:r>
      <w:r>
        <w:rPr>
          <w:rStyle w:val="FootnoteReference"/>
          <w:sz w:val="22"/>
          <w:szCs w:val="22"/>
        </w:rPr>
        <w:footnoteReference w:id="53"/>
      </w:r>
      <w:r w:rsidRPr="00EC31AA">
        <w:rPr>
          <w:szCs w:val="22"/>
        </w:rPr>
        <w:t xml:space="preserve">  In making this determination, the Commission may “take into account considerations of hardship, equity, or more effective implementation of overall policy.”</w:t>
      </w:r>
      <w:r>
        <w:rPr>
          <w:rStyle w:val="FootnoteReference"/>
          <w:sz w:val="22"/>
          <w:szCs w:val="22"/>
        </w:rPr>
        <w:footnoteReference w:id="54"/>
      </w:r>
      <w:r w:rsidRPr="00EC31AA">
        <w:rPr>
          <w:szCs w:val="22"/>
        </w:rPr>
        <w:t xml:space="preserve">  Waiver of the Commission’s rules is “appropriate only if special circumstances warrant a deviation from the general rule and such deviation will serve the public interest.”</w:t>
      </w:r>
      <w:r>
        <w:rPr>
          <w:rStyle w:val="FootnoteReference"/>
          <w:sz w:val="22"/>
          <w:szCs w:val="22"/>
        </w:rPr>
        <w:footnoteReference w:id="55"/>
      </w:r>
      <w:r w:rsidRPr="00EC31AA">
        <w:rPr>
          <w:szCs w:val="22"/>
        </w:rPr>
        <w:t xml:space="preserve">  To make such a public interest determination, the waiver cannot undermine the purposes of the rule, and there must be a stronger public interest benefit in granting the waiver than in applying the rule.</w:t>
      </w:r>
      <w:r>
        <w:rPr>
          <w:rStyle w:val="FootnoteReference"/>
          <w:sz w:val="22"/>
          <w:szCs w:val="22"/>
        </w:rPr>
        <w:footnoteReference w:id="56"/>
      </w:r>
    </w:p>
    <w:p w:rsidR="00906FEF" w:rsidRPr="00EC31AA" w:rsidP="00906FEF" w14:paraId="57F82072" w14:textId="77777777">
      <w:pPr>
        <w:pStyle w:val="Heading1"/>
        <w:rPr>
          <w:rFonts w:ascii="Times New Roman" w:hAnsi="Times New Roman"/>
          <w:szCs w:val="22"/>
        </w:rPr>
      </w:pPr>
      <w:r w:rsidRPr="00EC31AA">
        <w:rPr>
          <w:rFonts w:ascii="Times New Roman" w:hAnsi="Times New Roman"/>
          <w:szCs w:val="22"/>
        </w:rPr>
        <w:t>DISCUSSION</w:t>
      </w:r>
    </w:p>
    <w:p w:rsidR="00A760CE" w:rsidRPr="00EC31AA" w:rsidP="001A4E69" w14:paraId="60693565" w14:textId="0BC52F7B">
      <w:pPr>
        <w:pStyle w:val="ParaNum"/>
        <w:widowControl/>
        <w:tabs>
          <w:tab w:val="clear" w:pos="1080"/>
          <w:tab w:val="num" w:pos="1440"/>
        </w:tabs>
        <w:rPr>
          <w:szCs w:val="22"/>
        </w:rPr>
      </w:pPr>
      <w:r w:rsidRPr="00EC31AA">
        <w:rPr>
          <w:szCs w:val="22"/>
        </w:rPr>
        <w:t xml:space="preserve">We find </w:t>
      </w:r>
      <w:r w:rsidRPr="00EC31AA" w:rsidR="00FC6BAE">
        <w:rPr>
          <w:szCs w:val="22"/>
        </w:rPr>
        <w:t>that petitioners</w:t>
      </w:r>
      <w:r w:rsidRPr="00EC31AA">
        <w:rPr>
          <w:szCs w:val="22"/>
        </w:rPr>
        <w:t xml:space="preserve"> have demonstrated that special circumstances warrant </w:t>
      </w:r>
      <w:r w:rsidRPr="00EC31AA" w:rsidR="00D659E8">
        <w:rPr>
          <w:szCs w:val="22"/>
        </w:rPr>
        <w:t xml:space="preserve">waiver of their defined deployment obligations and </w:t>
      </w:r>
      <w:r w:rsidRPr="00EC31AA" w:rsidR="009D532B">
        <w:rPr>
          <w:szCs w:val="22"/>
        </w:rPr>
        <w:t xml:space="preserve">the </w:t>
      </w:r>
      <w:r w:rsidRPr="00EC31AA" w:rsidR="00D659E8">
        <w:rPr>
          <w:szCs w:val="22"/>
        </w:rPr>
        <w:t>associated RBE default rules.  Accordingly, rather than allowing these petitioners to default on their obligations</w:t>
      </w:r>
      <w:r w:rsidRPr="00EC31AA" w:rsidR="009D532B">
        <w:rPr>
          <w:szCs w:val="22"/>
        </w:rPr>
        <w:t xml:space="preserve"> and recovering all support awarded</w:t>
      </w:r>
      <w:r w:rsidRPr="00EC31AA" w:rsidR="00D659E8">
        <w:rPr>
          <w:szCs w:val="22"/>
        </w:rPr>
        <w:t xml:space="preserve">, </w:t>
      </w:r>
      <w:r w:rsidRPr="00EC31AA" w:rsidR="009D532B">
        <w:rPr>
          <w:szCs w:val="22"/>
        </w:rPr>
        <w:t>we will rebase their obligations and awards (on a per</w:t>
      </w:r>
      <w:r w:rsidR="00C51CE5">
        <w:rPr>
          <w:szCs w:val="22"/>
        </w:rPr>
        <w:t>-</w:t>
      </w:r>
      <w:r w:rsidRPr="00EC31AA" w:rsidR="009D532B">
        <w:rPr>
          <w:szCs w:val="22"/>
        </w:rPr>
        <w:t>location basis) to reflect the n</w:t>
      </w:r>
      <w:r w:rsidRPr="00EC31AA" w:rsidR="00475C94">
        <w:rPr>
          <w:szCs w:val="22"/>
        </w:rPr>
        <w:t>umber of actual locations that they</w:t>
      </w:r>
      <w:r w:rsidRPr="00EC31AA" w:rsidR="009D532B">
        <w:rPr>
          <w:szCs w:val="22"/>
        </w:rPr>
        <w:t xml:space="preserve"> have</w:t>
      </w:r>
      <w:r w:rsidRPr="00EC31AA" w:rsidR="00475C94">
        <w:rPr>
          <w:szCs w:val="22"/>
        </w:rPr>
        <w:t xml:space="preserve"> identified</w:t>
      </w:r>
      <w:r w:rsidRPr="00EC31AA" w:rsidR="004238F3">
        <w:rPr>
          <w:szCs w:val="22"/>
        </w:rPr>
        <w:t xml:space="preserve">.  </w:t>
      </w:r>
      <w:r w:rsidRPr="00EC31AA" w:rsidR="009D532B">
        <w:rPr>
          <w:szCs w:val="22"/>
        </w:rPr>
        <w:t>Doing so serves the public interest by helping to e</w:t>
      </w:r>
      <w:r w:rsidRPr="00EC31AA" w:rsidR="000E07AF">
        <w:rPr>
          <w:szCs w:val="22"/>
        </w:rPr>
        <w:t>nsur</w:t>
      </w:r>
      <w:r w:rsidRPr="00EC31AA" w:rsidR="009D532B">
        <w:rPr>
          <w:szCs w:val="22"/>
        </w:rPr>
        <w:t>e</w:t>
      </w:r>
      <w:r w:rsidRPr="00EC31AA" w:rsidR="000E07AF">
        <w:rPr>
          <w:szCs w:val="22"/>
        </w:rPr>
        <w:t xml:space="preserve"> </w:t>
      </w:r>
      <w:r w:rsidRPr="00EC31AA" w:rsidR="00A70332">
        <w:rPr>
          <w:szCs w:val="22"/>
        </w:rPr>
        <w:t xml:space="preserve">the </w:t>
      </w:r>
      <w:r w:rsidR="001826FF">
        <w:rPr>
          <w:szCs w:val="22"/>
        </w:rPr>
        <w:t>continuing</w:t>
      </w:r>
      <w:r w:rsidRPr="00EC31AA" w:rsidR="001826FF">
        <w:rPr>
          <w:szCs w:val="22"/>
        </w:rPr>
        <w:t xml:space="preserve"> </w:t>
      </w:r>
      <w:r w:rsidRPr="00EC31AA" w:rsidR="00A70332">
        <w:rPr>
          <w:szCs w:val="22"/>
        </w:rPr>
        <w:t>viability of the petitioners’</w:t>
      </w:r>
      <w:r w:rsidRPr="00EC31AA" w:rsidR="009D540D">
        <w:rPr>
          <w:szCs w:val="22"/>
        </w:rPr>
        <w:t xml:space="preserve"> </w:t>
      </w:r>
      <w:r w:rsidRPr="00EC31AA" w:rsidR="00A70332">
        <w:rPr>
          <w:szCs w:val="22"/>
        </w:rPr>
        <w:t>networks in serving r</w:t>
      </w:r>
      <w:r w:rsidRPr="00EC31AA" w:rsidR="000E07AF">
        <w:rPr>
          <w:szCs w:val="22"/>
        </w:rPr>
        <w:t>esidential and small business locations</w:t>
      </w:r>
      <w:r w:rsidRPr="00EC31AA" w:rsidR="001A4E69">
        <w:rPr>
          <w:szCs w:val="22"/>
        </w:rPr>
        <w:t xml:space="preserve"> while </w:t>
      </w:r>
      <w:r w:rsidRPr="00EC31AA" w:rsidR="00A70332">
        <w:rPr>
          <w:szCs w:val="22"/>
        </w:rPr>
        <w:t xml:space="preserve">protecting the integrity of the bidding process </w:t>
      </w:r>
      <w:r w:rsidRPr="00EC31AA">
        <w:rPr>
          <w:szCs w:val="22"/>
        </w:rPr>
        <w:t>in producing efficient deployment</w:t>
      </w:r>
      <w:bookmarkStart w:id="3" w:name="_Hlk510084878"/>
      <w:r w:rsidRPr="00EC31AA" w:rsidR="001A4E69">
        <w:rPr>
          <w:szCs w:val="22"/>
        </w:rPr>
        <w:t xml:space="preserve"> to consumers.</w:t>
      </w:r>
      <w:r>
        <w:rPr>
          <w:rStyle w:val="FootnoteReference"/>
          <w:szCs w:val="22"/>
        </w:rPr>
        <w:footnoteReference w:id="57"/>
      </w:r>
    </w:p>
    <w:p w:rsidR="009B423E" w:rsidRPr="00EC31AA" w:rsidP="00FC62A4" w14:paraId="5F2D8CBD" w14:textId="02A9223B">
      <w:pPr>
        <w:pStyle w:val="ParaNum"/>
        <w:widowControl/>
        <w:tabs>
          <w:tab w:val="clear" w:pos="1080"/>
          <w:tab w:val="num" w:pos="1440"/>
        </w:tabs>
        <w:rPr>
          <w:szCs w:val="22"/>
        </w:rPr>
      </w:pPr>
      <w:r>
        <w:rPr>
          <w:szCs w:val="22"/>
        </w:rPr>
        <w:t>B</w:t>
      </w:r>
      <w:r w:rsidRPr="00EC31AA" w:rsidR="001A4E69">
        <w:rPr>
          <w:szCs w:val="22"/>
        </w:rPr>
        <w:t xml:space="preserve">oth ACEC and Consolidated </w:t>
      </w:r>
      <w:r w:rsidRPr="00EC31AA" w:rsidR="006C30B4">
        <w:rPr>
          <w:szCs w:val="22"/>
        </w:rPr>
        <w:t>demonstrate</w:t>
      </w:r>
      <w:r w:rsidRPr="00EC31AA" w:rsidR="001A4E69">
        <w:rPr>
          <w:szCs w:val="22"/>
        </w:rPr>
        <w:t xml:space="preserve"> that they timely implemented reasonable network deployment plans to serve the</w:t>
      </w:r>
      <w:r w:rsidRPr="00EC31AA" w:rsidR="006C30B4">
        <w:rPr>
          <w:szCs w:val="22"/>
        </w:rPr>
        <w:t>ir</w:t>
      </w:r>
      <w:r w:rsidRPr="00EC31AA" w:rsidR="001A4E69">
        <w:rPr>
          <w:szCs w:val="22"/>
        </w:rPr>
        <w:t xml:space="preserve"> entire SACs and to identify every eligible location within their service areas.</w:t>
      </w:r>
      <w:r>
        <w:rPr>
          <w:rStyle w:val="FootnoteReference"/>
          <w:sz w:val="22"/>
          <w:szCs w:val="22"/>
        </w:rPr>
        <w:footnoteReference w:id="58"/>
      </w:r>
      <w:r w:rsidRPr="00EC31AA" w:rsidR="001A4E69">
        <w:rPr>
          <w:szCs w:val="22"/>
        </w:rPr>
        <w:t xml:space="preserve">  </w:t>
      </w:r>
      <w:r w:rsidRPr="00EC31AA" w:rsidR="00916312">
        <w:rPr>
          <w:szCs w:val="22"/>
        </w:rPr>
        <w:t>T</w:t>
      </w:r>
      <w:r w:rsidRPr="00EC31AA" w:rsidR="001A4E69">
        <w:rPr>
          <w:szCs w:val="22"/>
        </w:rPr>
        <w:t xml:space="preserve">here is no indication that either petitioner systematically </w:t>
      </w:r>
      <w:r w:rsidRPr="00EC31AA" w:rsidR="006C30B4">
        <w:rPr>
          <w:szCs w:val="22"/>
        </w:rPr>
        <w:t xml:space="preserve">or even unintentionally </w:t>
      </w:r>
      <w:r w:rsidRPr="00EC31AA" w:rsidR="001A4E69">
        <w:rPr>
          <w:szCs w:val="22"/>
        </w:rPr>
        <w:t xml:space="preserve">excluded eligible locations </w:t>
      </w:r>
      <w:r w:rsidR="00A97DA4">
        <w:rPr>
          <w:szCs w:val="22"/>
        </w:rPr>
        <w:t>based on cost or difficulty in providing service, such as</w:t>
      </w:r>
      <w:r w:rsidRPr="00EC31AA" w:rsidR="001A4E69">
        <w:rPr>
          <w:szCs w:val="22"/>
        </w:rPr>
        <w:t xml:space="preserve"> </w:t>
      </w:r>
      <w:r w:rsidR="009A1880">
        <w:rPr>
          <w:szCs w:val="22"/>
        </w:rPr>
        <w:t xml:space="preserve">might be caused by </w:t>
      </w:r>
      <w:r w:rsidRPr="00EC31AA" w:rsidR="001A4E69">
        <w:rPr>
          <w:szCs w:val="22"/>
        </w:rPr>
        <w:t>density or terrain</w:t>
      </w:r>
      <w:r w:rsidRPr="00EC31AA" w:rsidR="00916312">
        <w:rPr>
          <w:szCs w:val="22"/>
        </w:rPr>
        <w:t>.</w:t>
      </w:r>
      <w:r>
        <w:rPr>
          <w:rStyle w:val="FootnoteReference"/>
          <w:sz w:val="22"/>
          <w:szCs w:val="22"/>
        </w:rPr>
        <w:footnoteReference w:id="59"/>
      </w:r>
      <w:r w:rsidRPr="00EC31AA" w:rsidR="001A4E69">
        <w:rPr>
          <w:szCs w:val="22"/>
        </w:rPr>
        <w:t xml:space="preserve"> </w:t>
      </w:r>
      <w:r w:rsidRPr="00EC31AA" w:rsidR="00916312">
        <w:rPr>
          <w:szCs w:val="22"/>
        </w:rPr>
        <w:t xml:space="preserve"> Both </w:t>
      </w:r>
      <w:r w:rsidRPr="00EC31AA" w:rsidR="00B44659">
        <w:rPr>
          <w:szCs w:val="22"/>
        </w:rPr>
        <w:t>petitioners</w:t>
      </w:r>
      <w:r w:rsidRPr="00EC31AA" w:rsidR="00916312">
        <w:rPr>
          <w:szCs w:val="22"/>
        </w:rPr>
        <w:t xml:space="preserve"> explain that they </w:t>
      </w:r>
      <w:r w:rsidRPr="00EC31AA" w:rsidR="00B44659">
        <w:rPr>
          <w:szCs w:val="22"/>
        </w:rPr>
        <w:t>combined g</w:t>
      </w:r>
      <w:r w:rsidRPr="00EC31AA" w:rsidR="00916312">
        <w:rPr>
          <w:szCs w:val="22"/>
        </w:rPr>
        <w:t xml:space="preserve">enerally accepted methods of </w:t>
      </w:r>
      <w:r w:rsidRPr="00EC31AA" w:rsidR="00916312">
        <w:rPr>
          <w:szCs w:val="22"/>
        </w:rPr>
        <w:t xml:space="preserve">geolocation to identify </w:t>
      </w:r>
      <w:r w:rsidRPr="00EC31AA" w:rsidR="00B44659">
        <w:rPr>
          <w:szCs w:val="22"/>
        </w:rPr>
        <w:t>locations and to control for inaccuracies and omissions.</w:t>
      </w:r>
      <w:r>
        <w:rPr>
          <w:rStyle w:val="FootnoteReference"/>
          <w:bCs/>
          <w:color w:val="000000"/>
          <w:sz w:val="22"/>
          <w:szCs w:val="22"/>
        </w:rPr>
        <w:footnoteReference w:id="60"/>
      </w:r>
      <w:r w:rsidRPr="00EC31AA" w:rsidR="00916312">
        <w:rPr>
          <w:szCs w:val="22"/>
        </w:rPr>
        <w:t xml:space="preserve">  </w:t>
      </w:r>
      <w:r w:rsidRPr="00EC31AA" w:rsidR="009D540D">
        <w:rPr>
          <w:szCs w:val="22"/>
        </w:rPr>
        <w:t xml:space="preserve">Further, both petitioners provide some supporting evidence for their findings.  </w:t>
      </w:r>
      <w:r w:rsidRPr="00EC31AA" w:rsidR="001A4E69">
        <w:rPr>
          <w:szCs w:val="22"/>
        </w:rPr>
        <w:t>Based on the representations made in the petitions</w:t>
      </w:r>
      <w:r w:rsidR="00087BFF">
        <w:rPr>
          <w:szCs w:val="22"/>
        </w:rPr>
        <w:t>,</w:t>
      </w:r>
      <w:r w:rsidRPr="00EC31AA" w:rsidR="001A4E69">
        <w:rPr>
          <w:szCs w:val="22"/>
        </w:rPr>
        <w:t xml:space="preserve"> as well as the supporting evidence, the Bureau may reasonably conclude that </w:t>
      </w:r>
      <w:r w:rsidRPr="00EC31AA" w:rsidR="009D540D">
        <w:rPr>
          <w:szCs w:val="22"/>
        </w:rPr>
        <w:t xml:space="preserve">both petitioners made </w:t>
      </w:r>
      <w:r w:rsidRPr="00EC31AA" w:rsidR="001A4E69">
        <w:rPr>
          <w:szCs w:val="22"/>
        </w:rPr>
        <w:t>good faith effort</w:t>
      </w:r>
      <w:r w:rsidRPr="00EC31AA" w:rsidR="009D540D">
        <w:rPr>
          <w:szCs w:val="22"/>
        </w:rPr>
        <w:t>s</w:t>
      </w:r>
      <w:r w:rsidRPr="00EC31AA" w:rsidR="001A4E69">
        <w:rPr>
          <w:szCs w:val="22"/>
        </w:rPr>
        <w:t xml:space="preserve"> to identify every actual location within the SAC</w:t>
      </w:r>
      <w:r w:rsidRPr="00EC31AA" w:rsidR="009D540D">
        <w:rPr>
          <w:szCs w:val="22"/>
        </w:rPr>
        <w:t>s and that such efforts have resulted in a reasonably reliable list that is both accurate and complete.</w:t>
      </w:r>
    </w:p>
    <w:p w:rsidR="00FC6BAE" w:rsidRPr="00EC31AA" w:rsidP="009E6C7E" w14:paraId="29961214" w14:textId="21689FB6">
      <w:pPr>
        <w:pStyle w:val="ParaNum"/>
        <w:widowControl/>
        <w:tabs>
          <w:tab w:val="clear" w:pos="1080"/>
          <w:tab w:val="num" w:pos="1440"/>
        </w:tabs>
        <w:rPr>
          <w:szCs w:val="22"/>
        </w:rPr>
      </w:pPr>
      <w:r w:rsidRPr="00EC31AA">
        <w:rPr>
          <w:szCs w:val="22"/>
        </w:rPr>
        <w:t>These circumstances may</w:t>
      </w:r>
      <w:r w:rsidRPr="00EC31AA" w:rsidR="009D540D">
        <w:rPr>
          <w:szCs w:val="22"/>
        </w:rPr>
        <w:t xml:space="preserve"> have preexisted the petitioners’ placement of bids or may have resulted from demographic changes occurring over time.  Neither petitioner alleges that they assessed the number of actual locations within their bid areas at the time they placed their bids</w:t>
      </w:r>
      <w:r w:rsidRPr="00EC31AA" w:rsidR="009E7319">
        <w:rPr>
          <w:szCs w:val="22"/>
        </w:rPr>
        <w:t xml:space="preserve"> or offered proof that locations fell into disutility or otherwise became ineligible during the build-out time frame.  </w:t>
      </w:r>
      <w:r w:rsidRPr="00EC31AA" w:rsidR="00AA4606">
        <w:rPr>
          <w:szCs w:val="22"/>
        </w:rPr>
        <w:t>Ordinarily</w:t>
      </w:r>
      <w:r w:rsidRPr="00EC31AA" w:rsidR="009E7319">
        <w:rPr>
          <w:szCs w:val="22"/>
        </w:rPr>
        <w:t xml:space="preserve">, a shortage of locations caused by the overestimation of locations by the </w:t>
      </w:r>
      <w:r w:rsidRPr="00EC31AA" w:rsidR="007D603E">
        <w:rPr>
          <w:szCs w:val="22"/>
        </w:rPr>
        <w:t xml:space="preserve">CAM </w:t>
      </w:r>
      <w:r w:rsidRPr="00EC31AA" w:rsidR="000A3B84">
        <w:rPr>
          <w:szCs w:val="22"/>
        </w:rPr>
        <w:t xml:space="preserve">in eligible areas </w:t>
      </w:r>
      <w:r w:rsidRPr="00EC31AA" w:rsidR="007D603E">
        <w:rPr>
          <w:szCs w:val="22"/>
        </w:rPr>
        <w:t>would be discoverable through ordinary due diligence measures</w:t>
      </w:r>
      <w:r w:rsidRPr="00EC31AA" w:rsidR="000A3B84">
        <w:rPr>
          <w:szCs w:val="22"/>
        </w:rPr>
        <w:t xml:space="preserve"> </w:t>
      </w:r>
      <w:r w:rsidRPr="00EC31AA" w:rsidR="00DC043F">
        <w:rPr>
          <w:szCs w:val="22"/>
        </w:rPr>
        <w:t xml:space="preserve">and would </w:t>
      </w:r>
      <w:r w:rsidRPr="00EC31AA" w:rsidR="000A3B84">
        <w:rPr>
          <w:szCs w:val="22"/>
        </w:rPr>
        <w:t>be reflected</w:t>
      </w:r>
      <w:r w:rsidRPr="00EC31AA" w:rsidR="00557F5D">
        <w:rPr>
          <w:szCs w:val="22"/>
        </w:rPr>
        <w:t xml:space="preserve"> </w:t>
      </w:r>
      <w:r w:rsidRPr="00EC31AA" w:rsidR="000A3B84">
        <w:rPr>
          <w:szCs w:val="22"/>
        </w:rPr>
        <w:t>in bid strategies</w:t>
      </w:r>
      <w:r w:rsidRPr="00EC31AA" w:rsidR="00AA4606">
        <w:rPr>
          <w:szCs w:val="22"/>
        </w:rPr>
        <w:t>.</w:t>
      </w:r>
      <w:r>
        <w:rPr>
          <w:rStyle w:val="FootnoteReference"/>
          <w:szCs w:val="22"/>
        </w:rPr>
        <w:footnoteReference w:id="61"/>
      </w:r>
      <w:r w:rsidRPr="00EC31AA" w:rsidR="00AA4606">
        <w:rPr>
          <w:szCs w:val="22"/>
        </w:rPr>
        <w:t xml:space="preserve"> </w:t>
      </w:r>
      <w:r w:rsidRPr="00EC31AA" w:rsidR="000A3B84">
        <w:rPr>
          <w:szCs w:val="22"/>
        </w:rPr>
        <w:t xml:space="preserve"> </w:t>
      </w:r>
      <w:r w:rsidRPr="00EC31AA" w:rsidR="006C30B4">
        <w:rPr>
          <w:szCs w:val="22"/>
        </w:rPr>
        <w:t xml:space="preserve">To demonstrate special circumstances, carriers awarded support through competitive bidding processes would </w:t>
      </w:r>
      <w:r w:rsidRPr="00EC31AA" w:rsidR="00605C43">
        <w:rPr>
          <w:szCs w:val="22"/>
        </w:rPr>
        <w:t xml:space="preserve">thus </w:t>
      </w:r>
      <w:r w:rsidRPr="00EC31AA" w:rsidR="006C30B4">
        <w:rPr>
          <w:szCs w:val="22"/>
        </w:rPr>
        <w:t xml:space="preserve">need to show </w:t>
      </w:r>
      <w:r w:rsidRPr="00EC31AA" w:rsidR="00557F5D">
        <w:rPr>
          <w:szCs w:val="22"/>
        </w:rPr>
        <w:t xml:space="preserve">that the discrepancy exists despite </w:t>
      </w:r>
      <w:r w:rsidRPr="00EC31AA" w:rsidR="006C30B4">
        <w:rPr>
          <w:szCs w:val="22"/>
        </w:rPr>
        <w:t xml:space="preserve">reasonable precautionary measures </w:t>
      </w:r>
      <w:r w:rsidRPr="00EC31AA" w:rsidR="00557F5D">
        <w:rPr>
          <w:szCs w:val="22"/>
        </w:rPr>
        <w:t xml:space="preserve">and that they notified the Commission of the discrepancy within a reasonable time frame after the discrepancy was </w:t>
      </w:r>
      <w:r w:rsidR="00AF2B9F">
        <w:rPr>
          <w:szCs w:val="22"/>
        </w:rPr>
        <w:t xml:space="preserve">(or should have been) </w:t>
      </w:r>
      <w:r w:rsidRPr="00EC31AA" w:rsidR="00557F5D">
        <w:rPr>
          <w:szCs w:val="22"/>
        </w:rPr>
        <w:t>discovered</w:t>
      </w:r>
      <w:r w:rsidRPr="00EC31AA" w:rsidR="006C30B4">
        <w:rPr>
          <w:szCs w:val="22"/>
        </w:rPr>
        <w:t>.</w:t>
      </w:r>
      <w:r>
        <w:rPr>
          <w:rStyle w:val="FootnoteReference"/>
          <w:szCs w:val="22"/>
        </w:rPr>
        <w:footnoteReference w:id="62"/>
      </w:r>
      <w:r w:rsidRPr="00EC31AA" w:rsidR="006C30B4">
        <w:rPr>
          <w:szCs w:val="22"/>
        </w:rPr>
        <w:t xml:space="preserve">  </w:t>
      </w:r>
      <w:r w:rsidRPr="00EC31AA" w:rsidR="00557F5D">
        <w:rPr>
          <w:szCs w:val="22"/>
        </w:rPr>
        <w:t xml:space="preserve">Alternatively, if the discrepancy </w:t>
      </w:r>
      <w:r w:rsidR="00A97DA4">
        <w:rPr>
          <w:szCs w:val="22"/>
        </w:rPr>
        <w:t>was</w:t>
      </w:r>
      <w:r w:rsidRPr="00EC31AA" w:rsidR="00557F5D">
        <w:rPr>
          <w:szCs w:val="22"/>
        </w:rPr>
        <w:t xml:space="preserve"> caused by unforeseeable circumstances, </w:t>
      </w:r>
      <w:r w:rsidRPr="00EC31AA" w:rsidR="006C30B4">
        <w:rPr>
          <w:szCs w:val="22"/>
        </w:rPr>
        <w:t>we would expect</w:t>
      </w:r>
      <w:r w:rsidRPr="00EC31AA" w:rsidR="00557F5D">
        <w:rPr>
          <w:szCs w:val="22"/>
        </w:rPr>
        <w:t xml:space="preserve"> any</w:t>
      </w:r>
      <w:r w:rsidRPr="00EC31AA" w:rsidR="006C30B4">
        <w:rPr>
          <w:szCs w:val="22"/>
        </w:rPr>
        <w:t xml:space="preserve"> funding recipient</w:t>
      </w:r>
      <w:r w:rsidRPr="00EC31AA" w:rsidR="00557F5D">
        <w:rPr>
          <w:szCs w:val="22"/>
        </w:rPr>
        <w:t xml:space="preserve"> (whether </w:t>
      </w:r>
      <w:r w:rsidR="00AF2B9F">
        <w:rPr>
          <w:szCs w:val="22"/>
        </w:rPr>
        <w:t xml:space="preserve">received </w:t>
      </w:r>
      <w:r w:rsidRPr="00EC31AA" w:rsidR="00557F5D">
        <w:rPr>
          <w:szCs w:val="22"/>
        </w:rPr>
        <w:t>through an offer or competitive bidding)</w:t>
      </w:r>
      <w:r w:rsidRPr="00EC31AA" w:rsidR="006C30B4">
        <w:rPr>
          <w:szCs w:val="22"/>
        </w:rPr>
        <w:t xml:space="preserve"> to seek adjustments at the end of </w:t>
      </w:r>
      <w:r w:rsidR="00087BFF">
        <w:rPr>
          <w:szCs w:val="22"/>
        </w:rPr>
        <w:t xml:space="preserve">its </w:t>
      </w:r>
      <w:r w:rsidRPr="00EC31AA" w:rsidR="006C30B4">
        <w:rPr>
          <w:szCs w:val="22"/>
        </w:rPr>
        <w:t>support term</w:t>
      </w:r>
      <w:r w:rsidR="00AF2B9F">
        <w:rPr>
          <w:szCs w:val="22"/>
        </w:rPr>
        <w:t xml:space="preserve"> or</w:t>
      </w:r>
      <w:r w:rsidRPr="00EC31AA">
        <w:rPr>
          <w:szCs w:val="22"/>
        </w:rPr>
        <w:t xml:space="preserve"> otherwise demonstrate that the loss in locations could not be recovered in the time remainin</w:t>
      </w:r>
      <w:r w:rsidRPr="00EC31AA" w:rsidR="00557F5D">
        <w:rPr>
          <w:szCs w:val="22"/>
        </w:rPr>
        <w:t>g in the build-out term</w:t>
      </w:r>
      <w:r w:rsidRPr="00EC31AA">
        <w:rPr>
          <w:szCs w:val="22"/>
        </w:rPr>
        <w:t xml:space="preserve"> (</w:t>
      </w:r>
      <w:r w:rsidRPr="00EC31AA" w:rsidR="00557F5D">
        <w:rPr>
          <w:szCs w:val="22"/>
        </w:rPr>
        <w:t xml:space="preserve">with any </w:t>
      </w:r>
      <w:r w:rsidRPr="00D523F3" w:rsidR="00557F5D">
        <w:rPr>
          <w:szCs w:val="22"/>
        </w:rPr>
        <w:t xml:space="preserve">required </w:t>
      </w:r>
      <w:r w:rsidRPr="00D523F3" w:rsidR="004901EA">
        <w:rPr>
          <w:szCs w:val="22"/>
        </w:rPr>
        <w:t>ex</w:t>
      </w:r>
      <w:r w:rsidRPr="00D523F3">
        <w:rPr>
          <w:szCs w:val="22"/>
        </w:rPr>
        <w:t>tension of</w:t>
      </w:r>
      <w:r w:rsidRPr="00EC31AA">
        <w:rPr>
          <w:szCs w:val="22"/>
        </w:rPr>
        <w:t xml:space="preserve"> interim milestone</w:t>
      </w:r>
      <w:r w:rsidRPr="00EC31AA" w:rsidR="00557F5D">
        <w:rPr>
          <w:szCs w:val="22"/>
        </w:rPr>
        <w:t>s</w:t>
      </w:r>
      <w:r w:rsidRPr="00EC31AA">
        <w:rPr>
          <w:szCs w:val="22"/>
        </w:rPr>
        <w:t>).</w:t>
      </w:r>
    </w:p>
    <w:p w:rsidR="00563B9E" w:rsidRPr="00EC31AA" w:rsidP="00FC6BAE" w14:paraId="18EDD276" w14:textId="056B33C0">
      <w:pPr>
        <w:pStyle w:val="ParaNum"/>
        <w:widowControl/>
        <w:tabs>
          <w:tab w:val="clear" w:pos="1080"/>
          <w:tab w:val="num" w:pos="1440"/>
        </w:tabs>
        <w:rPr>
          <w:szCs w:val="22"/>
        </w:rPr>
      </w:pPr>
      <w:r w:rsidRPr="00EC31AA">
        <w:rPr>
          <w:szCs w:val="22"/>
        </w:rPr>
        <w:t>RBE support recipients</w:t>
      </w:r>
      <w:r w:rsidRPr="00EC31AA" w:rsidR="00FC6BAE">
        <w:rPr>
          <w:szCs w:val="22"/>
        </w:rPr>
        <w:t>, however,</w:t>
      </w:r>
      <w:r w:rsidRPr="00EC31AA">
        <w:rPr>
          <w:szCs w:val="22"/>
        </w:rPr>
        <w:t xml:space="preserve"> are differently situated from other CAF Phase II </w:t>
      </w:r>
      <w:r w:rsidRPr="00EC31AA" w:rsidR="00557F5D">
        <w:rPr>
          <w:szCs w:val="22"/>
        </w:rPr>
        <w:t xml:space="preserve">program </w:t>
      </w:r>
      <w:r w:rsidRPr="00EC31AA">
        <w:rPr>
          <w:szCs w:val="22"/>
        </w:rPr>
        <w:t>support recipients in terms of the notice they received regarding the limitations of CAM inputs and the Commission’s expectations regarding their due diligence obligations</w:t>
      </w:r>
      <w:r w:rsidRPr="00EC31AA" w:rsidR="007D603E">
        <w:rPr>
          <w:szCs w:val="22"/>
        </w:rPr>
        <w:t>.</w:t>
      </w:r>
      <w:r>
        <w:rPr>
          <w:rStyle w:val="FootnoteReference"/>
          <w:sz w:val="22"/>
          <w:szCs w:val="22"/>
        </w:rPr>
        <w:footnoteReference w:id="63"/>
      </w:r>
      <w:r w:rsidRPr="00EC31AA">
        <w:rPr>
          <w:szCs w:val="22"/>
        </w:rPr>
        <w:t xml:space="preserve">  </w:t>
      </w:r>
      <w:r w:rsidRPr="00EC31AA" w:rsidR="00527301">
        <w:rPr>
          <w:szCs w:val="22"/>
        </w:rPr>
        <w:t>Further, because the</w:t>
      </w:r>
      <w:r w:rsidRPr="00EC31AA" w:rsidR="00557F5D">
        <w:rPr>
          <w:szCs w:val="22"/>
        </w:rPr>
        <w:t xml:space="preserve"> Commission defined </w:t>
      </w:r>
      <w:r w:rsidRPr="00EC31AA" w:rsidR="00527301">
        <w:rPr>
          <w:szCs w:val="22"/>
        </w:rPr>
        <w:t xml:space="preserve">RBE commitments </w:t>
      </w:r>
      <w:r w:rsidRPr="00EC31AA" w:rsidR="00557F5D">
        <w:rPr>
          <w:szCs w:val="22"/>
        </w:rPr>
        <w:t>at</w:t>
      </w:r>
      <w:r w:rsidRPr="00EC31AA" w:rsidR="00527301">
        <w:rPr>
          <w:szCs w:val="22"/>
        </w:rPr>
        <w:t xml:space="preserve"> the SAC level rather than the state</w:t>
      </w:r>
      <w:r w:rsidR="00373FE6">
        <w:rPr>
          <w:szCs w:val="22"/>
        </w:rPr>
        <w:t xml:space="preserve"> </w:t>
      </w:r>
      <w:r w:rsidRPr="00EC31AA" w:rsidR="00527301">
        <w:rPr>
          <w:szCs w:val="22"/>
        </w:rPr>
        <w:t xml:space="preserve">level, the </w:t>
      </w:r>
      <w:r w:rsidRPr="00D523F3" w:rsidR="00527301">
        <w:rPr>
          <w:szCs w:val="22"/>
        </w:rPr>
        <w:t xml:space="preserve">program </w:t>
      </w:r>
      <w:r w:rsidRPr="00D523F3" w:rsidR="00DC043F">
        <w:rPr>
          <w:szCs w:val="22"/>
        </w:rPr>
        <w:t>ha</w:t>
      </w:r>
      <w:r w:rsidRPr="00D523F3" w:rsidR="004901EA">
        <w:rPr>
          <w:szCs w:val="22"/>
        </w:rPr>
        <w:t>s</w:t>
      </w:r>
      <w:r w:rsidRPr="00EC31AA" w:rsidR="00DC043F">
        <w:rPr>
          <w:szCs w:val="22"/>
        </w:rPr>
        <w:t xml:space="preserve"> </w:t>
      </w:r>
      <w:r w:rsidR="00886CDC">
        <w:rPr>
          <w:szCs w:val="22"/>
        </w:rPr>
        <w:t xml:space="preserve">more </w:t>
      </w:r>
      <w:r w:rsidRPr="00EC31AA" w:rsidR="00DC043F">
        <w:rPr>
          <w:szCs w:val="22"/>
        </w:rPr>
        <w:t>limited</w:t>
      </w:r>
      <w:r w:rsidRPr="00EC31AA" w:rsidR="00527301">
        <w:rPr>
          <w:szCs w:val="22"/>
        </w:rPr>
        <w:t xml:space="preserve"> plasticity</w:t>
      </w:r>
      <w:r w:rsidR="00886CDC">
        <w:rPr>
          <w:szCs w:val="22"/>
        </w:rPr>
        <w:t xml:space="preserve"> than other programs: due to the smaller geographic footprint, there is </w:t>
      </w:r>
      <w:r w:rsidRPr="00EC31AA" w:rsidR="00527301">
        <w:rPr>
          <w:szCs w:val="22"/>
        </w:rPr>
        <w:t xml:space="preserve">less probability that a loss (or shortage) of actual locations in one census block </w:t>
      </w:r>
      <w:r w:rsidR="00886CDC">
        <w:rPr>
          <w:szCs w:val="22"/>
        </w:rPr>
        <w:t>could be</w:t>
      </w:r>
      <w:r w:rsidRPr="00EC31AA" w:rsidR="00527301">
        <w:rPr>
          <w:szCs w:val="22"/>
        </w:rPr>
        <w:t xml:space="preserve"> offset by a gain of actual locations in another census block</w:t>
      </w:r>
      <w:r w:rsidRPr="00EC31AA" w:rsidR="00557F5D">
        <w:rPr>
          <w:szCs w:val="22"/>
        </w:rPr>
        <w:t xml:space="preserve"> (</w:t>
      </w:r>
      <w:r w:rsidRPr="00EC31AA" w:rsidR="00527301">
        <w:rPr>
          <w:szCs w:val="22"/>
        </w:rPr>
        <w:t xml:space="preserve">resulting in a net actual location count </w:t>
      </w:r>
      <w:r w:rsidRPr="00EC31AA" w:rsidR="00DC043F">
        <w:rPr>
          <w:szCs w:val="22"/>
        </w:rPr>
        <w:t xml:space="preserve">in eligible areas </w:t>
      </w:r>
      <w:r w:rsidRPr="00EC31AA" w:rsidR="00527301">
        <w:rPr>
          <w:szCs w:val="22"/>
        </w:rPr>
        <w:t>equal to or above that estimated by the CAM model</w:t>
      </w:r>
      <w:r w:rsidRPr="00EC31AA" w:rsidR="00557F5D">
        <w:rPr>
          <w:szCs w:val="22"/>
        </w:rPr>
        <w:t>)</w:t>
      </w:r>
      <w:r w:rsidR="00BB68AA">
        <w:rPr>
          <w:szCs w:val="22"/>
        </w:rPr>
        <w:t xml:space="preserve">.  </w:t>
      </w:r>
      <w:r w:rsidRPr="00EC31AA" w:rsidR="009C4C16">
        <w:rPr>
          <w:szCs w:val="22"/>
        </w:rPr>
        <w:t>Consequently</w:t>
      </w:r>
      <w:r w:rsidRPr="00EC31AA" w:rsidR="00D03F9D">
        <w:rPr>
          <w:szCs w:val="22"/>
        </w:rPr>
        <w:t xml:space="preserve">, </w:t>
      </w:r>
      <w:r w:rsidRPr="00EC31AA" w:rsidR="00557F5D">
        <w:rPr>
          <w:szCs w:val="22"/>
        </w:rPr>
        <w:t>RBE</w:t>
      </w:r>
      <w:r w:rsidRPr="00EC31AA" w:rsidR="00527301">
        <w:rPr>
          <w:szCs w:val="22"/>
        </w:rPr>
        <w:t xml:space="preserve"> support recipients </w:t>
      </w:r>
      <w:r w:rsidRPr="00EC31AA" w:rsidR="00D03F9D">
        <w:rPr>
          <w:szCs w:val="22"/>
        </w:rPr>
        <w:t>could not limi</w:t>
      </w:r>
      <w:r w:rsidRPr="00EC31AA" w:rsidR="00DC043F">
        <w:rPr>
          <w:szCs w:val="22"/>
        </w:rPr>
        <w:t>t their risk of noncompliance through calculated and informed bidding strategies</w:t>
      </w:r>
      <w:r w:rsidRPr="00EC31AA" w:rsidR="00D03F9D">
        <w:rPr>
          <w:szCs w:val="22"/>
        </w:rPr>
        <w:t xml:space="preserve"> in the same way as </w:t>
      </w:r>
      <w:r w:rsidR="00A97DA4">
        <w:rPr>
          <w:szCs w:val="22"/>
        </w:rPr>
        <w:t xml:space="preserve">CAF </w:t>
      </w:r>
      <w:r w:rsidRPr="00EC31AA" w:rsidR="00D03F9D">
        <w:rPr>
          <w:szCs w:val="22"/>
        </w:rPr>
        <w:t>Phase II auction support recipients</w:t>
      </w:r>
      <w:r w:rsidRPr="00EC31AA" w:rsidR="00605C43">
        <w:rPr>
          <w:szCs w:val="22"/>
        </w:rPr>
        <w:t xml:space="preserve">.  </w:t>
      </w:r>
      <w:r w:rsidR="00AF2B9F">
        <w:rPr>
          <w:szCs w:val="22"/>
        </w:rPr>
        <w:t xml:space="preserve">For this same reason, it </w:t>
      </w:r>
      <w:r w:rsidRPr="00EC31AA" w:rsidR="00605C43">
        <w:rPr>
          <w:szCs w:val="22"/>
        </w:rPr>
        <w:t>is also less likely that a</w:t>
      </w:r>
      <w:r w:rsidRPr="00EC31AA" w:rsidR="00D03F9D">
        <w:rPr>
          <w:szCs w:val="22"/>
        </w:rPr>
        <w:t>ny</w:t>
      </w:r>
      <w:r w:rsidRPr="00EC31AA" w:rsidR="00605C43">
        <w:rPr>
          <w:szCs w:val="22"/>
        </w:rPr>
        <w:t xml:space="preserve"> </w:t>
      </w:r>
      <w:r w:rsidR="00A25F39">
        <w:rPr>
          <w:szCs w:val="22"/>
        </w:rPr>
        <w:t>loss of locations over time due to unforeseen circumstances, such as demographic changes or natural disasters, will be offset by new</w:t>
      </w:r>
      <w:r w:rsidR="001826FF">
        <w:rPr>
          <w:szCs w:val="22"/>
        </w:rPr>
        <w:t xml:space="preserve">ly built or restored locations </w:t>
      </w:r>
      <w:r w:rsidRPr="00EC31AA" w:rsidR="00D03F9D">
        <w:rPr>
          <w:szCs w:val="22"/>
        </w:rPr>
        <w:t>before the end of the build-out period</w:t>
      </w:r>
      <w:r w:rsidRPr="00EC31AA" w:rsidR="00FC6BAE">
        <w:rPr>
          <w:szCs w:val="22"/>
        </w:rPr>
        <w:t xml:space="preserve">.  </w:t>
      </w:r>
      <w:r w:rsidRPr="00EC31AA" w:rsidR="00FC62A4">
        <w:rPr>
          <w:szCs w:val="22"/>
        </w:rPr>
        <w:t xml:space="preserve">Accordingly, the failure of these </w:t>
      </w:r>
      <w:r w:rsidR="001D37D8">
        <w:rPr>
          <w:szCs w:val="22"/>
        </w:rPr>
        <w:t xml:space="preserve">RBE </w:t>
      </w:r>
      <w:r w:rsidRPr="00EC31AA" w:rsidR="00FC62A4">
        <w:rPr>
          <w:szCs w:val="22"/>
        </w:rPr>
        <w:t xml:space="preserve">petitioners to </w:t>
      </w:r>
      <w:r w:rsidRPr="00EC31AA" w:rsidR="009C4C16">
        <w:rPr>
          <w:szCs w:val="22"/>
        </w:rPr>
        <w:t>differentiate between a shortage of locations</w:t>
      </w:r>
      <w:r w:rsidR="00AA3090">
        <w:rPr>
          <w:szCs w:val="22"/>
        </w:rPr>
        <w:t xml:space="preserve"> arising from inaccurate CAM estimates</w:t>
      </w:r>
      <w:r w:rsidRPr="00EC31AA" w:rsidR="009C4C16">
        <w:rPr>
          <w:szCs w:val="22"/>
        </w:rPr>
        <w:t xml:space="preserve"> and a loss of locations </w:t>
      </w:r>
      <w:r w:rsidR="00AA3090">
        <w:rPr>
          <w:szCs w:val="22"/>
        </w:rPr>
        <w:t xml:space="preserve">due to unforeseen circumstances </w:t>
      </w:r>
      <w:r w:rsidRPr="00EC31AA" w:rsidR="009C4C16">
        <w:rPr>
          <w:szCs w:val="22"/>
        </w:rPr>
        <w:t xml:space="preserve">and to demonstrate the requisite level of due </w:t>
      </w:r>
      <w:r w:rsidRPr="00EC31AA" w:rsidR="009C4C16">
        <w:rPr>
          <w:szCs w:val="22"/>
        </w:rPr>
        <w:t>diligence in bidding and assessment of location counts</w:t>
      </w:r>
      <w:r w:rsidRPr="00EC31AA" w:rsidR="00FC62A4">
        <w:rPr>
          <w:szCs w:val="22"/>
        </w:rPr>
        <w:t xml:space="preserve"> </w:t>
      </w:r>
      <w:r w:rsidRPr="00EC31AA">
        <w:rPr>
          <w:szCs w:val="22"/>
        </w:rPr>
        <w:t>does not preclude us from finding that special circumstances warran</w:t>
      </w:r>
      <w:r w:rsidRPr="00EC31AA" w:rsidR="00605C43">
        <w:rPr>
          <w:szCs w:val="22"/>
        </w:rPr>
        <w:t>t waiver relief.</w:t>
      </w:r>
    </w:p>
    <w:p w:rsidR="00927C87" w:rsidRPr="00EC31AA" w:rsidP="00930698" w14:paraId="3704ED37" w14:textId="769E581E">
      <w:pPr>
        <w:pStyle w:val="ParaNum"/>
        <w:widowControl/>
        <w:tabs>
          <w:tab w:val="clear" w:pos="1080"/>
          <w:tab w:val="num" w:pos="1440"/>
        </w:tabs>
        <w:rPr>
          <w:szCs w:val="22"/>
        </w:rPr>
      </w:pPr>
      <w:r w:rsidRPr="00EC31AA">
        <w:rPr>
          <w:szCs w:val="22"/>
        </w:rPr>
        <w:t>We also find that deviation from the rule in these circumstances is in the public interest</w:t>
      </w:r>
      <w:r w:rsidR="00BF3E52">
        <w:rPr>
          <w:szCs w:val="22"/>
        </w:rPr>
        <w:t>.  G</w:t>
      </w:r>
      <w:r w:rsidRPr="00EC31AA">
        <w:rPr>
          <w:szCs w:val="22"/>
        </w:rPr>
        <w:t>ranting the requested waivers will not undermine the purposes of setting defined deployment obligation</w:t>
      </w:r>
      <w:r w:rsidR="00A97DA4">
        <w:rPr>
          <w:szCs w:val="22"/>
        </w:rPr>
        <w:t>s</w:t>
      </w:r>
      <w:r w:rsidRPr="00EC31AA" w:rsidR="00201862">
        <w:rPr>
          <w:szCs w:val="22"/>
        </w:rPr>
        <w:t xml:space="preserve"> but </w:t>
      </w:r>
      <w:r w:rsidR="00BF3E52">
        <w:rPr>
          <w:szCs w:val="22"/>
        </w:rPr>
        <w:t xml:space="preserve">instead </w:t>
      </w:r>
      <w:r w:rsidRPr="00EC31AA" w:rsidR="00201862">
        <w:rPr>
          <w:szCs w:val="22"/>
        </w:rPr>
        <w:t>ensur</w:t>
      </w:r>
      <w:r w:rsidRPr="00EC31AA" w:rsidR="0028476A">
        <w:rPr>
          <w:szCs w:val="22"/>
        </w:rPr>
        <w:t>e</w:t>
      </w:r>
      <w:r w:rsidRPr="00EC31AA" w:rsidR="00201862">
        <w:rPr>
          <w:szCs w:val="22"/>
        </w:rPr>
        <w:t xml:space="preserve"> that the petitioners are able to maintain robust networks</w:t>
      </w:r>
      <w:r w:rsidRPr="00EC31AA" w:rsidR="0028476A">
        <w:rPr>
          <w:szCs w:val="22"/>
        </w:rPr>
        <w:t xml:space="preserve"> and offer broadband service</w:t>
      </w:r>
      <w:r w:rsidRPr="00EC31AA" w:rsidR="00201862">
        <w:rPr>
          <w:szCs w:val="22"/>
        </w:rPr>
        <w:t xml:space="preserve">.  </w:t>
      </w:r>
      <w:r w:rsidRPr="00EC31AA" w:rsidR="0028476A">
        <w:rPr>
          <w:szCs w:val="22"/>
        </w:rPr>
        <w:t xml:space="preserve">Were we to deny the waiver request and hold the petitioners in default of their defined deployment obligations, the Bureau would </w:t>
      </w:r>
      <w:r w:rsidRPr="00EC31AA" w:rsidR="009C4C16">
        <w:rPr>
          <w:szCs w:val="22"/>
        </w:rPr>
        <w:t xml:space="preserve">ultimately </w:t>
      </w:r>
      <w:r w:rsidRPr="00EC31AA" w:rsidR="0028476A">
        <w:rPr>
          <w:szCs w:val="22"/>
        </w:rPr>
        <w:t xml:space="preserve">order USAC to draw on the letter of credit securing all the support that the petitioner has received and end all support payments, pursuant to the procedures specified in the </w:t>
      </w:r>
      <w:r w:rsidR="000F27D4">
        <w:rPr>
          <w:i/>
          <w:szCs w:val="22"/>
        </w:rPr>
        <w:t>Rural Broadband Experiments Order</w:t>
      </w:r>
      <w:r w:rsidRPr="00EC31AA" w:rsidR="0028476A">
        <w:rPr>
          <w:szCs w:val="22"/>
        </w:rPr>
        <w:t>.</w:t>
      </w:r>
      <w:r>
        <w:rPr>
          <w:rStyle w:val="FootnoteReference"/>
          <w:sz w:val="22"/>
          <w:szCs w:val="22"/>
        </w:rPr>
        <w:footnoteReference w:id="64"/>
      </w:r>
      <w:r w:rsidRPr="00EC31AA" w:rsidR="0028476A">
        <w:rPr>
          <w:szCs w:val="22"/>
        </w:rPr>
        <w:t xml:space="preserve">  Such measures would threaten the ability of the petitioners to maintain service in the </w:t>
      </w:r>
      <w:r w:rsidR="00BF3E52">
        <w:rPr>
          <w:szCs w:val="22"/>
        </w:rPr>
        <w:t xml:space="preserve">relevant </w:t>
      </w:r>
      <w:r w:rsidRPr="00EC31AA" w:rsidR="0028476A">
        <w:rPr>
          <w:szCs w:val="22"/>
        </w:rPr>
        <w:t>SACs</w:t>
      </w:r>
      <w:r w:rsidR="005E1518">
        <w:rPr>
          <w:szCs w:val="22"/>
        </w:rPr>
        <w:t xml:space="preserve"> and are not necessary to reinforce the seriousness of meeting USF obligations in full</w:t>
      </w:r>
      <w:r w:rsidRPr="00EC31AA" w:rsidR="007911E5">
        <w:rPr>
          <w:szCs w:val="22"/>
        </w:rPr>
        <w:t>.</w:t>
      </w:r>
      <w:r>
        <w:rPr>
          <w:rStyle w:val="FootnoteReference"/>
          <w:sz w:val="22"/>
          <w:szCs w:val="22"/>
        </w:rPr>
        <w:footnoteReference w:id="65"/>
      </w:r>
      <w:r w:rsidRPr="00EC31AA" w:rsidR="007911E5">
        <w:rPr>
          <w:szCs w:val="22"/>
        </w:rPr>
        <w:t xml:space="preserve"> </w:t>
      </w:r>
      <w:r w:rsidRPr="00EC31AA" w:rsidR="0028476A">
        <w:rPr>
          <w:szCs w:val="22"/>
        </w:rPr>
        <w:t xml:space="preserve"> </w:t>
      </w:r>
      <w:r w:rsidRPr="00EC31AA" w:rsidR="008F01D8">
        <w:rPr>
          <w:szCs w:val="22"/>
        </w:rPr>
        <w:t xml:space="preserve">In contrast, granting the waiver request </w:t>
      </w:r>
      <w:r w:rsidRPr="00EC31AA" w:rsidR="0098498D">
        <w:rPr>
          <w:szCs w:val="22"/>
        </w:rPr>
        <w:t xml:space="preserve">and making a pro-rata reduction in support, consistent with the approach recently adopted by the Commission for </w:t>
      </w:r>
      <w:r w:rsidRPr="00EC31AA" w:rsidR="000144DF">
        <w:rPr>
          <w:szCs w:val="22"/>
        </w:rPr>
        <w:t>a</w:t>
      </w:r>
      <w:r w:rsidRPr="00EC31AA" w:rsidR="0098498D">
        <w:rPr>
          <w:szCs w:val="22"/>
        </w:rPr>
        <w:t xml:space="preserve">uction support recipients, </w:t>
      </w:r>
      <w:r w:rsidRPr="00EC31AA" w:rsidR="008F01D8">
        <w:rPr>
          <w:szCs w:val="22"/>
        </w:rPr>
        <w:t xml:space="preserve">ensures that support that cannot be used to serve locations </w:t>
      </w:r>
      <w:r w:rsidRPr="00EC31AA" w:rsidR="009C4C16">
        <w:rPr>
          <w:szCs w:val="22"/>
        </w:rPr>
        <w:t xml:space="preserve">that do not exist </w:t>
      </w:r>
      <w:r w:rsidRPr="00EC31AA" w:rsidR="008F01D8">
        <w:rPr>
          <w:szCs w:val="22"/>
        </w:rPr>
        <w:t xml:space="preserve">within these SACs can be reallocated </w:t>
      </w:r>
      <w:r w:rsidRPr="00EC31AA" w:rsidR="009C4C16">
        <w:rPr>
          <w:szCs w:val="22"/>
        </w:rPr>
        <w:t>to</w:t>
      </w:r>
      <w:r w:rsidRPr="00EC31AA" w:rsidR="008F01D8">
        <w:rPr>
          <w:szCs w:val="22"/>
        </w:rPr>
        <w:t xml:space="preserve"> future CAF processes.</w:t>
      </w:r>
      <w:r>
        <w:rPr>
          <w:rStyle w:val="FootnoteReference"/>
          <w:szCs w:val="22"/>
        </w:rPr>
        <w:footnoteReference w:id="66"/>
      </w:r>
      <w:r w:rsidRPr="00EC31AA" w:rsidR="008F01D8">
        <w:rPr>
          <w:szCs w:val="22"/>
        </w:rPr>
        <w:t xml:space="preserve"> </w:t>
      </w:r>
      <w:r w:rsidRPr="00EC31AA" w:rsidR="00F50C47">
        <w:rPr>
          <w:szCs w:val="22"/>
        </w:rPr>
        <w:t xml:space="preserve"> For these reasons, we find </w:t>
      </w:r>
      <w:r w:rsidRPr="00EC31AA" w:rsidR="00FC6BAE">
        <w:rPr>
          <w:szCs w:val="22"/>
        </w:rPr>
        <w:t>that petitioners</w:t>
      </w:r>
      <w:r w:rsidRPr="00EC31AA" w:rsidR="00F50C47">
        <w:rPr>
          <w:szCs w:val="22"/>
        </w:rPr>
        <w:t xml:space="preserve"> have demonstrated that waiver will serve the public interest.</w:t>
      </w:r>
    </w:p>
    <w:p w:rsidR="004D0C7F" w:rsidRPr="00EC31AA" w:rsidP="00930698" w14:paraId="13FCE405" w14:textId="5061839C">
      <w:pPr>
        <w:pStyle w:val="ParaNum"/>
        <w:keepNext/>
        <w:widowControl/>
        <w:tabs>
          <w:tab w:val="clear" w:pos="1080"/>
          <w:tab w:val="num" w:pos="1440"/>
        </w:tabs>
        <w:rPr>
          <w:szCs w:val="22"/>
        </w:rPr>
      </w:pPr>
      <w:r w:rsidRPr="00EC31AA">
        <w:rPr>
          <w:szCs w:val="22"/>
        </w:rPr>
        <w:t xml:space="preserve">In conclusion, we find that based on the totality of the circumstances, grant of the petitions is warranted.  </w:t>
      </w:r>
      <w:r w:rsidRPr="00EC31AA" w:rsidR="00F80F90">
        <w:rPr>
          <w:szCs w:val="22"/>
        </w:rPr>
        <w:t xml:space="preserve">In </w:t>
      </w:r>
      <w:r w:rsidRPr="00EC31AA" w:rsidR="00F50C47">
        <w:rPr>
          <w:szCs w:val="22"/>
        </w:rPr>
        <w:t xml:space="preserve">granting </w:t>
      </w:r>
      <w:r w:rsidRPr="00EC31AA">
        <w:rPr>
          <w:szCs w:val="22"/>
        </w:rPr>
        <w:t>these waiver requests</w:t>
      </w:r>
      <w:r w:rsidRPr="00EC31AA" w:rsidR="00F50C47">
        <w:rPr>
          <w:szCs w:val="22"/>
        </w:rPr>
        <w:t xml:space="preserve">, we make pro rata adjustments to reflect the difference between the CAM-determined location count and the actual location count, based on the average support per location, consistent with Commission </w:t>
      </w:r>
      <w:r w:rsidRPr="00EC31AA" w:rsidR="00D110CD">
        <w:rPr>
          <w:szCs w:val="22"/>
        </w:rPr>
        <w:t>guidance for adjustments to defined deployment obligations of price</w:t>
      </w:r>
      <w:r w:rsidR="00DC2E16">
        <w:rPr>
          <w:szCs w:val="22"/>
        </w:rPr>
        <w:t xml:space="preserve"> </w:t>
      </w:r>
      <w:r w:rsidRPr="00EC31AA" w:rsidR="00D110CD">
        <w:rPr>
          <w:szCs w:val="22"/>
        </w:rPr>
        <w:t>cap carriers accepting model-based support and CAF Phase II Auction support recipients</w:t>
      </w:r>
      <w:r w:rsidRPr="00EC31AA" w:rsidR="009C4C16">
        <w:rPr>
          <w:szCs w:val="22"/>
        </w:rPr>
        <w:t xml:space="preserve"> (as summarized in Attachment</w:t>
      </w:r>
      <w:r w:rsidR="00F44FDA">
        <w:rPr>
          <w:szCs w:val="22"/>
        </w:rPr>
        <w:t xml:space="preserve"> A</w:t>
      </w:r>
      <w:r w:rsidRPr="00EC31AA" w:rsidR="009C4C16">
        <w:rPr>
          <w:szCs w:val="22"/>
        </w:rPr>
        <w:t>)</w:t>
      </w:r>
      <w:r w:rsidRPr="00EC31AA" w:rsidR="00D110CD">
        <w:rPr>
          <w:szCs w:val="22"/>
        </w:rPr>
        <w:t>.</w:t>
      </w:r>
      <w:r>
        <w:rPr>
          <w:rStyle w:val="FootnoteReference"/>
          <w:sz w:val="22"/>
          <w:szCs w:val="22"/>
        </w:rPr>
        <w:footnoteReference w:id="67"/>
      </w:r>
      <w:r w:rsidRPr="00EC31AA" w:rsidR="00D110CD">
        <w:rPr>
          <w:szCs w:val="22"/>
        </w:rPr>
        <w:t xml:space="preserve"> </w:t>
      </w:r>
      <w:r w:rsidRPr="00EC31AA" w:rsidR="00F50C47">
        <w:rPr>
          <w:szCs w:val="22"/>
        </w:rPr>
        <w:t xml:space="preserve"> We direct USAC </w:t>
      </w:r>
      <w:r w:rsidR="00B826F2">
        <w:rPr>
          <w:szCs w:val="22"/>
        </w:rPr>
        <w:t xml:space="preserve">to </w:t>
      </w:r>
      <w:r w:rsidRPr="00EC31AA" w:rsidR="00F50C47">
        <w:rPr>
          <w:szCs w:val="22"/>
        </w:rPr>
        <w:t xml:space="preserve">prorate remaining support payments due to these carriers based on </w:t>
      </w:r>
      <w:r w:rsidRPr="00EC31AA" w:rsidR="009C4C16">
        <w:rPr>
          <w:szCs w:val="22"/>
        </w:rPr>
        <w:t>such adjustments</w:t>
      </w:r>
      <w:r w:rsidRPr="00EC31AA" w:rsidR="00F80F90">
        <w:rPr>
          <w:szCs w:val="22"/>
        </w:rPr>
        <w:t xml:space="preserve">. </w:t>
      </w:r>
    </w:p>
    <w:bookmarkEnd w:id="3"/>
    <w:p w:rsidR="00906FEF" w:rsidRPr="00BC14D7" w:rsidP="008F01D8" w14:paraId="7EF93359" w14:textId="4E142209">
      <w:pPr>
        <w:pStyle w:val="Heading1"/>
        <w:rPr>
          <w:rFonts w:ascii="Times New Roman" w:hAnsi="Times New Roman"/>
        </w:rPr>
      </w:pPr>
      <w:r w:rsidRPr="00BC14D7">
        <w:rPr>
          <w:rFonts w:ascii="Times New Roman" w:hAnsi="Times New Roman"/>
        </w:rPr>
        <w:t>Ordering clauseS</w:t>
      </w:r>
    </w:p>
    <w:p w:rsidR="00906FEF" w:rsidRPr="00BC14D7" w:rsidP="005251BB" w14:paraId="3933E0FB" w14:textId="3A8123D1">
      <w:pPr>
        <w:pStyle w:val="ParaNum"/>
        <w:widowControl/>
        <w:tabs>
          <w:tab w:val="clear" w:pos="1080"/>
          <w:tab w:val="num" w:pos="1440"/>
        </w:tabs>
      </w:pPr>
      <w:r w:rsidRPr="00BC14D7">
        <w:t>Accordingly, IT IS ORDERED, pursuant to sections 1, 4(i), 5(c), and 254 of the Communications Act of 1934, as amended, 47 U.S.C. §§ 151, 154(i), 155(c), 254, and sections 0.91, 0.291, and 1.3 of the Commission’s rules, 47 CFR §§ 0.91, 0.291, 1.3, that this Order IS ADOPTED.</w:t>
      </w:r>
    </w:p>
    <w:p w:rsidR="00906FEF" w:rsidRPr="00BC14D7" w:rsidP="00BC14D7" w14:paraId="164ADC92" w14:textId="0002016A">
      <w:pPr>
        <w:pStyle w:val="ParaNum"/>
        <w:tabs>
          <w:tab w:val="clear" w:pos="1080"/>
          <w:tab w:val="num" w:pos="1440"/>
        </w:tabs>
      </w:pPr>
      <w:r w:rsidRPr="00BC14D7">
        <w:t xml:space="preserve">IT IS FURTHER ORDERED that the Petitions for Waiver filed by </w:t>
      </w:r>
      <w:r w:rsidRPr="00BC14D7" w:rsidR="00CA0AF7">
        <w:t>Allamakee-Clayton Electric Cooperative</w:t>
      </w:r>
      <w:r w:rsidRPr="00BC14D7" w:rsidR="008F01D8">
        <w:t xml:space="preserve"> and </w:t>
      </w:r>
      <w:r w:rsidRPr="00BC14D7" w:rsidR="00CA0AF7">
        <w:t>Consolidated Communications Networks Inc.</w:t>
      </w:r>
      <w:r w:rsidRPr="00BC14D7">
        <w:t xml:space="preserve"> are GRANTED as described herein</w:t>
      </w:r>
      <w:r w:rsidRPr="00BC14D7" w:rsidR="00CA0AF7">
        <w:t xml:space="preserve"> and </w:t>
      </w:r>
      <w:r w:rsidR="00AA32F0">
        <w:t>we direct</w:t>
      </w:r>
      <w:r w:rsidRPr="00BC14D7" w:rsidR="00CA0AF7">
        <w:t xml:space="preserve"> the Universal Service Administrative Company </w:t>
      </w:r>
      <w:r w:rsidR="00AA32F0">
        <w:t xml:space="preserve">to take </w:t>
      </w:r>
      <w:r w:rsidRPr="00BC14D7" w:rsidR="00CA0AF7">
        <w:t>further action in accordance with the terms of this Order.</w:t>
      </w:r>
    </w:p>
    <w:p w:rsidR="00906FEF" w:rsidRPr="00BC14D7" w:rsidP="00BC14D7" w14:paraId="50FC8948" w14:textId="77777777">
      <w:pPr>
        <w:pStyle w:val="ParaNum"/>
        <w:tabs>
          <w:tab w:val="clear" w:pos="1080"/>
          <w:tab w:val="num" w:pos="1440"/>
        </w:tabs>
      </w:pPr>
      <w:r w:rsidRPr="00BC14D7">
        <w:t>IT IS FURTHER ORDERED that, pursuant to section 1.102(b)(1) of the Commission’s rules, 47 CFR § 1.102(b)(1), this Order SHALL BE EFFECTIVE upon release.</w:t>
      </w:r>
    </w:p>
    <w:p w:rsidR="00906FEF" w:rsidRPr="00BC14D7" w:rsidP="00BC14D7" w14:paraId="032B6A7F" w14:textId="77777777">
      <w:pPr>
        <w:pStyle w:val="ParaNum"/>
        <w:numPr>
          <w:ilvl w:val="0"/>
          <w:numId w:val="0"/>
        </w:numPr>
        <w:ind w:firstLine="720"/>
      </w:pPr>
    </w:p>
    <w:p w:rsidR="00906FEF" w:rsidRPr="00BC14D7" w:rsidP="00BC14D7" w14:paraId="33A14DB9" w14:textId="77777777">
      <w:pPr>
        <w:pStyle w:val="ParaNum"/>
        <w:numPr>
          <w:ilvl w:val="0"/>
          <w:numId w:val="0"/>
        </w:numPr>
        <w:spacing w:after="0"/>
        <w:ind w:left="3600"/>
      </w:pPr>
      <w:r w:rsidRPr="00BC14D7">
        <w:t>FEDERAL COMMUNICATIONS COMMISSION</w:t>
      </w:r>
    </w:p>
    <w:p w:rsidR="00906FEF" w:rsidRPr="00BC14D7" w:rsidP="00BC14D7" w14:paraId="4E2F85E7" w14:textId="77777777">
      <w:pPr>
        <w:pStyle w:val="ParaNum"/>
        <w:numPr>
          <w:ilvl w:val="0"/>
          <w:numId w:val="0"/>
        </w:numPr>
        <w:spacing w:after="0"/>
      </w:pPr>
    </w:p>
    <w:p w:rsidR="00906FEF" w:rsidRPr="00BC14D7" w:rsidP="00BC14D7" w14:paraId="1030DBA4" w14:textId="77777777">
      <w:pPr>
        <w:pStyle w:val="ParaNum"/>
        <w:numPr>
          <w:ilvl w:val="0"/>
          <w:numId w:val="0"/>
        </w:numPr>
        <w:spacing w:after="0"/>
        <w:rPr>
          <w:rStyle w:val="searchterm"/>
        </w:rPr>
      </w:pPr>
      <w:bookmarkStart w:id="4" w:name="SR;3307"/>
      <w:bookmarkStart w:id="5" w:name="SearchTerm"/>
      <w:bookmarkEnd w:id="4"/>
      <w:bookmarkEnd w:id="5"/>
    </w:p>
    <w:p w:rsidR="00906FEF" w:rsidRPr="00BC14D7" w:rsidP="00BC14D7" w14:paraId="3D66EB8F" w14:textId="77777777">
      <w:pPr>
        <w:pStyle w:val="ParaNum"/>
        <w:numPr>
          <w:ilvl w:val="0"/>
          <w:numId w:val="0"/>
        </w:numPr>
        <w:spacing w:after="0"/>
      </w:pPr>
    </w:p>
    <w:p w:rsidR="00906FEF" w:rsidRPr="00BC14D7" w:rsidP="00906FEF" w14:paraId="3067A3A4" w14:textId="77777777">
      <w:pPr>
        <w:pStyle w:val="ParaNum"/>
        <w:numPr>
          <w:ilvl w:val="0"/>
          <w:numId w:val="0"/>
        </w:numPr>
        <w:spacing w:after="0"/>
      </w:pPr>
    </w:p>
    <w:p w:rsidR="00906FEF" w:rsidRPr="00BC14D7" w:rsidP="00906FEF" w14:paraId="12FDAA7D" w14:textId="3B4EA828">
      <w:pPr>
        <w:pStyle w:val="ParaNum"/>
        <w:numPr>
          <w:ilvl w:val="0"/>
          <w:numId w:val="0"/>
        </w:numPr>
        <w:spacing w:after="0"/>
        <w:ind w:left="3600"/>
      </w:pPr>
      <w:r w:rsidRPr="00BC14D7">
        <w:t>Kris A</w:t>
      </w:r>
      <w:r w:rsidR="005C713D">
        <w:t>nne</w:t>
      </w:r>
      <w:r w:rsidRPr="00BC14D7">
        <w:t xml:space="preserve"> Monteith</w:t>
      </w:r>
    </w:p>
    <w:p w:rsidR="00906FEF" w:rsidRPr="00BC14D7" w:rsidP="00906FEF" w14:paraId="28824412" w14:textId="77777777">
      <w:pPr>
        <w:pStyle w:val="ParaNum"/>
        <w:numPr>
          <w:ilvl w:val="0"/>
          <w:numId w:val="0"/>
        </w:numPr>
        <w:spacing w:after="0"/>
        <w:ind w:left="3600"/>
      </w:pPr>
      <w:r w:rsidRPr="00BC14D7">
        <w:t>Chief</w:t>
      </w:r>
    </w:p>
    <w:p w:rsidR="008129B6" w:rsidRPr="00BC14D7" w:rsidP="00AE30BD" w14:paraId="36812FCC" w14:textId="2826843F">
      <w:pPr>
        <w:ind w:left="3600"/>
      </w:pPr>
      <w:r w:rsidRPr="00BC14D7">
        <w:t>Wireline Competition Burea</w:t>
      </w:r>
      <w:r w:rsidR="00085A5D">
        <w:t>u</w:t>
      </w:r>
      <w:r w:rsidR="0007000E">
        <w:br w:type="page"/>
      </w:r>
    </w:p>
    <w:p w:rsidR="008129B6" w:rsidRPr="00EC31AA" w:rsidP="00351A23" w14:paraId="051FDD0F" w14:textId="7470AD77">
      <w:pPr>
        <w:jc w:val="center"/>
        <w:rPr>
          <w:b/>
          <w:szCs w:val="22"/>
        </w:rPr>
      </w:pPr>
      <w:r w:rsidRPr="00EC31AA">
        <w:rPr>
          <w:b/>
          <w:szCs w:val="22"/>
        </w:rPr>
        <w:t>Attachment</w:t>
      </w:r>
      <w:r w:rsidR="00F44FDA">
        <w:rPr>
          <w:b/>
          <w:szCs w:val="22"/>
        </w:rPr>
        <w:t xml:space="preserve"> A</w:t>
      </w:r>
    </w:p>
    <w:p w:rsidR="00AD2CF3" w:rsidRPr="00EC31AA" w:rsidP="00351A23" w14:paraId="17F496CB" w14:textId="2A0242F1">
      <w:pPr>
        <w:rPr>
          <w:snapToGrid/>
          <w:color w:val="010101"/>
          <w:kern w:val="0"/>
          <w:szCs w:val="22"/>
        </w:rPr>
      </w:pPr>
    </w:p>
    <w:p w:rsidR="00F50C47" w:rsidRPr="00707ADE" w:rsidP="00777CE3" w14:paraId="59FB2712" w14:textId="61E25DBE">
      <w:pPr>
        <w:jc w:val="center"/>
        <w:rPr>
          <w:b/>
          <w:snapToGrid/>
          <w:color w:val="010101"/>
          <w:kern w:val="0"/>
          <w:szCs w:val="22"/>
        </w:rPr>
      </w:pPr>
      <w:r w:rsidRPr="00707ADE">
        <w:rPr>
          <w:b/>
          <w:snapToGrid/>
          <w:color w:val="010101"/>
          <w:kern w:val="0"/>
          <w:szCs w:val="22"/>
        </w:rPr>
        <w:t>Allamakee-Clayton Electric Cooperative</w:t>
      </w:r>
    </w:p>
    <w:p w:rsidR="005251BB" w:rsidRPr="00707ADE" w:rsidP="00351A23" w14:paraId="0C6A5651" w14:textId="77777777">
      <w:pPr>
        <w:rPr>
          <w:snapToGrid/>
          <w:color w:val="010101"/>
          <w:kern w:val="0"/>
          <w:szCs w:val="22"/>
        </w:rPr>
        <w:sectPr w:rsidSect="00351A23">
          <w:headerReference w:type="default" r:id="rId5"/>
          <w:footerReference w:type="even" r:id="rId6"/>
          <w:footerReference w:type="default" r:id="rId7"/>
          <w:headerReference w:type="first" r:id="rId8"/>
          <w:footerReference w:type="first" r:id="rId9"/>
          <w:type w:val="continuous"/>
          <w:pgSz w:w="12240" w:h="15840"/>
          <w:pgMar w:top="1440" w:right="1440" w:bottom="720" w:left="1440" w:header="720" w:footer="720" w:gutter="0"/>
          <w:pgNumType w:start="1"/>
          <w:cols w:space="720"/>
          <w:noEndnote/>
          <w:titlePg/>
        </w:sectPr>
      </w:pPr>
    </w:p>
    <w:p w:rsidR="005251BB" w:rsidRPr="00707ADE" w:rsidP="00351A23" w14:paraId="4845E6EC" w14:textId="3F504CB1">
      <w:pPr>
        <w:rPr>
          <w:snapToGrid/>
          <w:color w:val="010101"/>
          <w:kern w:val="0"/>
          <w:szCs w:val="22"/>
        </w:rPr>
        <w:sectPr w:rsidSect="00351A23">
          <w:type w:val="continuous"/>
          <w:pgSz w:w="12240" w:h="15840"/>
          <w:pgMar w:top="1440" w:right="1440" w:bottom="720" w:left="1440" w:header="720" w:footer="720" w:gutter="0"/>
          <w:pgNumType w:start="1"/>
          <w:cols w:space="720"/>
          <w:noEndnote/>
          <w:titlePg/>
        </w:sectPr>
      </w:pPr>
    </w:p>
    <w:tbl>
      <w:tblPr>
        <w:tblStyle w:val="TableGrid"/>
        <w:tblpPr w:leftFromText="180" w:rightFromText="180" w:vertAnchor="page" w:horzAnchor="margin" w:tblpY="2386"/>
        <w:tblW w:w="9355" w:type="dxa"/>
        <w:tblLayout w:type="fixed"/>
        <w:tblLook w:val="04A0"/>
      </w:tblPr>
      <w:tblGrid>
        <w:gridCol w:w="1435"/>
        <w:gridCol w:w="2070"/>
        <w:gridCol w:w="1530"/>
        <w:gridCol w:w="1440"/>
        <w:gridCol w:w="2880"/>
      </w:tblGrid>
      <w:tr w14:paraId="0F25D113" w14:textId="77777777" w:rsidTr="00953780">
        <w:tblPrEx>
          <w:tblW w:w="9355" w:type="dxa"/>
          <w:tblLayout w:type="fixed"/>
          <w:tblLook w:val="04A0"/>
        </w:tblPrEx>
        <w:tc>
          <w:tcPr>
            <w:tcW w:w="9355" w:type="dxa"/>
            <w:gridSpan w:val="5"/>
          </w:tcPr>
          <w:p w:rsidR="00953780" w:rsidRPr="00707ADE" w:rsidP="00953780" w14:paraId="71BD8860" w14:textId="77777777">
            <w:pPr>
              <w:autoSpaceDE w:val="0"/>
              <w:autoSpaceDN w:val="0"/>
              <w:adjustRightInd w:val="0"/>
              <w:rPr>
                <w:rFonts w:ascii="Times New Roman" w:hAnsi="Times New Roman" w:cs="Times New Roman"/>
                <w:b/>
              </w:rPr>
            </w:pPr>
            <w:r w:rsidRPr="00707ADE">
              <w:rPr>
                <w:rFonts w:ascii="Times New Roman" w:hAnsi="Times New Roman" w:cs="Times New Roman"/>
                <w:b/>
              </w:rPr>
              <w:t>Summary of Location Information Provided by Allamakee-Clayton Electric Cooperative</w:t>
            </w:r>
          </w:p>
        </w:tc>
      </w:tr>
      <w:tr w14:paraId="61428624" w14:textId="77777777" w:rsidTr="00953780">
        <w:tblPrEx>
          <w:tblW w:w="9355" w:type="dxa"/>
          <w:tblLayout w:type="fixed"/>
          <w:tblLook w:val="04A0"/>
        </w:tblPrEx>
        <w:tc>
          <w:tcPr>
            <w:tcW w:w="1435" w:type="dxa"/>
          </w:tcPr>
          <w:p w:rsidR="00953780" w:rsidRPr="00707ADE" w:rsidP="00953780" w14:paraId="38D285AB" w14:textId="77777777">
            <w:pPr>
              <w:autoSpaceDE w:val="0"/>
              <w:autoSpaceDN w:val="0"/>
              <w:adjustRightInd w:val="0"/>
              <w:rPr>
                <w:rFonts w:ascii="Times New Roman" w:hAnsi="Times New Roman" w:cs="Times New Roman"/>
                <w:color w:val="000000"/>
              </w:rPr>
            </w:pPr>
            <w:r w:rsidRPr="00707ADE">
              <w:rPr>
                <w:rFonts w:ascii="Times New Roman" w:hAnsi="Times New Roman" w:cs="Times New Roman"/>
                <w:color w:val="000000"/>
              </w:rPr>
              <w:t>Study Area Code</w:t>
            </w:r>
          </w:p>
        </w:tc>
        <w:tc>
          <w:tcPr>
            <w:tcW w:w="2070" w:type="dxa"/>
          </w:tcPr>
          <w:p w:rsidR="00953780" w:rsidRPr="00707ADE" w:rsidP="00953780" w14:paraId="7F5EBAB2" w14:textId="77777777">
            <w:pPr>
              <w:autoSpaceDE w:val="0"/>
              <w:autoSpaceDN w:val="0"/>
              <w:adjustRightInd w:val="0"/>
              <w:rPr>
                <w:rFonts w:ascii="Times New Roman" w:hAnsi="Times New Roman" w:cs="Times New Roman"/>
                <w:color w:val="000000"/>
              </w:rPr>
            </w:pPr>
            <w:r w:rsidRPr="00707ADE">
              <w:rPr>
                <w:rFonts w:ascii="Times New Roman" w:hAnsi="Times New Roman" w:cs="Times New Roman"/>
                <w:color w:val="000000"/>
              </w:rPr>
              <w:t xml:space="preserve">CAM-Determined Locations </w:t>
            </w:r>
          </w:p>
        </w:tc>
        <w:tc>
          <w:tcPr>
            <w:tcW w:w="1530" w:type="dxa"/>
          </w:tcPr>
          <w:p w:rsidR="00953780" w:rsidRPr="00707ADE" w:rsidP="00953780" w14:paraId="702D4D1A" w14:textId="77777777">
            <w:pPr>
              <w:autoSpaceDE w:val="0"/>
              <w:autoSpaceDN w:val="0"/>
              <w:adjustRightInd w:val="0"/>
              <w:rPr>
                <w:rFonts w:ascii="Times New Roman" w:hAnsi="Times New Roman" w:cs="Times New Roman"/>
                <w:color w:val="000000"/>
              </w:rPr>
            </w:pPr>
            <w:r w:rsidRPr="00707ADE">
              <w:rPr>
                <w:rFonts w:ascii="Times New Roman" w:hAnsi="Times New Roman" w:cs="Times New Roman"/>
                <w:color w:val="000000"/>
              </w:rPr>
              <w:t>Actual Locations</w:t>
            </w:r>
          </w:p>
        </w:tc>
        <w:tc>
          <w:tcPr>
            <w:tcW w:w="1440" w:type="dxa"/>
          </w:tcPr>
          <w:p w:rsidR="00953780" w:rsidRPr="00707ADE" w:rsidP="00953780" w14:paraId="14F3C3D4" w14:textId="77777777">
            <w:pPr>
              <w:autoSpaceDE w:val="0"/>
              <w:autoSpaceDN w:val="0"/>
              <w:adjustRightInd w:val="0"/>
              <w:rPr>
                <w:rFonts w:ascii="Times New Roman" w:hAnsi="Times New Roman" w:cs="Times New Roman"/>
                <w:color w:val="000000"/>
              </w:rPr>
            </w:pPr>
            <w:r w:rsidRPr="00707ADE">
              <w:rPr>
                <w:rFonts w:ascii="Times New Roman" w:hAnsi="Times New Roman" w:cs="Times New Roman"/>
                <w:color w:val="000000"/>
              </w:rPr>
              <w:t>Served</w:t>
            </w:r>
          </w:p>
          <w:p w:rsidR="00953780" w:rsidRPr="00707ADE" w:rsidP="00953780" w14:paraId="66AC4659" w14:textId="77777777">
            <w:pPr>
              <w:autoSpaceDE w:val="0"/>
              <w:autoSpaceDN w:val="0"/>
              <w:adjustRightInd w:val="0"/>
              <w:rPr>
                <w:rFonts w:ascii="Times New Roman" w:hAnsi="Times New Roman" w:cs="Times New Roman"/>
                <w:color w:val="000000"/>
              </w:rPr>
            </w:pPr>
            <w:r w:rsidRPr="00707ADE">
              <w:rPr>
                <w:rFonts w:ascii="Times New Roman" w:hAnsi="Times New Roman" w:cs="Times New Roman"/>
                <w:color w:val="000000"/>
              </w:rPr>
              <w:t>Locations</w:t>
            </w:r>
          </w:p>
        </w:tc>
        <w:tc>
          <w:tcPr>
            <w:tcW w:w="2880" w:type="dxa"/>
          </w:tcPr>
          <w:p w:rsidR="00953780" w:rsidRPr="00707ADE" w:rsidP="00953780" w14:paraId="7A13B638" w14:textId="77777777">
            <w:pPr>
              <w:spacing w:after="120"/>
              <w:rPr>
                <w:rFonts w:ascii="Times New Roman" w:hAnsi="Times New Roman" w:cs="Times New Roman"/>
                <w:color w:val="000000"/>
              </w:rPr>
            </w:pPr>
            <w:r w:rsidRPr="00707ADE">
              <w:rPr>
                <w:rFonts w:ascii="Times New Roman" w:hAnsi="Times New Roman" w:cs="Times New Roman"/>
                <w:color w:val="000000"/>
              </w:rPr>
              <w:t>Percentage of Actual Locations Reported as Served</w:t>
            </w:r>
          </w:p>
        </w:tc>
      </w:tr>
      <w:tr w14:paraId="7469D23C" w14:textId="77777777" w:rsidTr="00953780">
        <w:tblPrEx>
          <w:tblW w:w="9355" w:type="dxa"/>
          <w:tblLayout w:type="fixed"/>
          <w:tblLook w:val="04A0"/>
        </w:tblPrEx>
        <w:tc>
          <w:tcPr>
            <w:tcW w:w="1435" w:type="dxa"/>
          </w:tcPr>
          <w:p w:rsidR="00953780" w:rsidRPr="00707ADE" w:rsidP="00953780" w14:paraId="50210066"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356220</w:t>
            </w:r>
          </w:p>
        </w:tc>
        <w:tc>
          <w:tcPr>
            <w:tcW w:w="2070" w:type="dxa"/>
          </w:tcPr>
          <w:p w:rsidR="00953780" w:rsidRPr="00707ADE" w:rsidP="00953780" w14:paraId="1D19236C"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38</w:t>
            </w:r>
          </w:p>
        </w:tc>
        <w:tc>
          <w:tcPr>
            <w:tcW w:w="1530" w:type="dxa"/>
          </w:tcPr>
          <w:p w:rsidR="00953780" w:rsidRPr="00707ADE" w:rsidP="00953780" w14:paraId="68709BF5"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28</w:t>
            </w:r>
          </w:p>
        </w:tc>
        <w:tc>
          <w:tcPr>
            <w:tcW w:w="1440" w:type="dxa"/>
          </w:tcPr>
          <w:p w:rsidR="00953780" w:rsidRPr="00707ADE" w:rsidP="00953780" w14:paraId="431BE8E9"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27</w:t>
            </w:r>
          </w:p>
        </w:tc>
        <w:tc>
          <w:tcPr>
            <w:tcW w:w="2880" w:type="dxa"/>
            <w:vAlign w:val="bottom"/>
          </w:tcPr>
          <w:p w:rsidR="00953780" w:rsidRPr="00707ADE" w:rsidP="00953780" w14:paraId="20C3037F"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96%</w:t>
            </w:r>
          </w:p>
        </w:tc>
      </w:tr>
      <w:tr w14:paraId="2C12402D" w14:textId="77777777" w:rsidTr="00953780">
        <w:tblPrEx>
          <w:tblW w:w="9355" w:type="dxa"/>
          <w:tblLayout w:type="fixed"/>
          <w:tblLook w:val="04A0"/>
        </w:tblPrEx>
        <w:tc>
          <w:tcPr>
            <w:tcW w:w="1435" w:type="dxa"/>
          </w:tcPr>
          <w:p w:rsidR="00953780" w:rsidRPr="00707ADE" w:rsidP="00953780" w14:paraId="1AB3435B"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356221</w:t>
            </w:r>
          </w:p>
        </w:tc>
        <w:tc>
          <w:tcPr>
            <w:tcW w:w="2070" w:type="dxa"/>
          </w:tcPr>
          <w:p w:rsidR="00953780" w:rsidRPr="00707ADE" w:rsidP="00953780" w14:paraId="6A2BC1C3"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63</w:t>
            </w:r>
          </w:p>
        </w:tc>
        <w:tc>
          <w:tcPr>
            <w:tcW w:w="1530" w:type="dxa"/>
          </w:tcPr>
          <w:p w:rsidR="00953780" w:rsidRPr="00707ADE" w:rsidP="00953780" w14:paraId="2BB54F86"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48</w:t>
            </w:r>
          </w:p>
        </w:tc>
        <w:tc>
          <w:tcPr>
            <w:tcW w:w="1440" w:type="dxa"/>
          </w:tcPr>
          <w:p w:rsidR="00953780" w:rsidRPr="00707ADE" w:rsidP="00953780" w14:paraId="65B8A0EB"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48</w:t>
            </w:r>
          </w:p>
        </w:tc>
        <w:tc>
          <w:tcPr>
            <w:tcW w:w="2880" w:type="dxa"/>
            <w:vAlign w:val="bottom"/>
          </w:tcPr>
          <w:p w:rsidR="00953780" w:rsidRPr="00707ADE" w:rsidP="00953780" w14:paraId="77023E05"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100%</w:t>
            </w:r>
          </w:p>
        </w:tc>
      </w:tr>
      <w:tr w14:paraId="772CA597" w14:textId="77777777" w:rsidTr="00953780">
        <w:tblPrEx>
          <w:tblW w:w="9355" w:type="dxa"/>
          <w:tblLayout w:type="fixed"/>
          <w:tblLook w:val="04A0"/>
        </w:tblPrEx>
        <w:tc>
          <w:tcPr>
            <w:tcW w:w="1435" w:type="dxa"/>
          </w:tcPr>
          <w:p w:rsidR="00953780" w:rsidRPr="00707ADE" w:rsidP="00953780" w14:paraId="5334C9A6"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356222</w:t>
            </w:r>
          </w:p>
        </w:tc>
        <w:tc>
          <w:tcPr>
            <w:tcW w:w="2070" w:type="dxa"/>
          </w:tcPr>
          <w:p w:rsidR="00953780" w:rsidRPr="00707ADE" w:rsidP="00953780" w14:paraId="2B28D433"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41</w:t>
            </w:r>
          </w:p>
        </w:tc>
        <w:tc>
          <w:tcPr>
            <w:tcW w:w="1530" w:type="dxa"/>
          </w:tcPr>
          <w:p w:rsidR="00953780" w:rsidRPr="00707ADE" w:rsidP="00953780" w14:paraId="58617BC6"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31</w:t>
            </w:r>
          </w:p>
        </w:tc>
        <w:tc>
          <w:tcPr>
            <w:tcW w:w="1440" w:type="dxa"/>
          </w:tcPr>
          <w:p w:rsidR="00953780" w:rsidRPr="00707ADE" w:rsidP="00953780" w14:paraId="2ED62D34"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28</w:t>
            </w:r>
          </w:p>
        </w:tc>
        <w:tc>
          <w:tcPr>
            <w:tcW w:w="2880" w:type="dxa"/>
            <w:vAlign w:val="bottom"/>
          </w:tcPr>
          <w:p w:rsidR="00953780" w:rsidRPr="00707ADE" w:rsidP="00953780" w14:paraId="6990E84C"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90%</w:t>
            </w:r>
          </w:p>
        </w:tc>
      </w:tr>
      <w:tr w14:paraId="3CBF5A1C" w14:textId="77777777" w:rsidTr="00953780">
        <w:tblPrEx>
          <w:tblW w:w="9355" w:type="dxa"/>
          <w:tblLayout w:type="fixed"/>
          <w:tblLook w:val="04A0"/>
        </w:tblPrEx>
        <w:tc>
          <w:tcPr>
            <w:tcW w:w="1435" w:type="dxa"/>
          </w:tcPr>
          <w:p w:rsidR="00953780" w:rsidRPr="00707ADE" w:rsidP="00953780" w14:paraId="06D986F9"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356223</w:t>
            </w:r>
          </w:p>
        </w:tc>
        <w:tc>
          <w:tcPr>
            <w:tcW w:w="2070" w:type="dxa"/>
          </w:tcPr>
          <w:p w:rsidR="00953780" w:rsidRPr="00707ADE" w:rsidP="00953780" w14:paraId="621BAE56"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523</w:t>
            </w:r>
          </w:p>
        </w:tc>
        <w:tc>
          <w:tcPr>
            <w:tcW w:w="1530" w:type="dxa"/>
          </w:tcPr>
          <w:p w:rsidR="00953780" w:rsidRPr="00707ADE" w:rsidP="00953780" w14:paraId="5AFBF5B4"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403</w:t>
            </w:r>
          </w:p>
        </w:tc>
        <w:tc>
          <w:tcPr>
            <w:tcW w:w="1440" w:type="dxa"/>
          </w:tcPr>
          <w:p w:rsidR="00953780" w:rsidRPr="00707ADE" w:rsidP="00953780" w14:paraId="0F0DD9C7"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384</w:t>
            </w:r>
          </w:p>
        </w:tc>
        <w:tc>
          <w:tcPr>
            <w:tcW w:w="2880" w:type="dxa"/>
            <w:vAlign w:val="bottom"/>
          </w:tcPr>
          <w:p w:rsidR="00953780" w:rsidRPr="00707ADE" w:rsidP="00953780" w14:paraId="2168638A"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95%</w:t>
            </w:r>
          </w:p>
        </w:tc>
      </w:tr>
    </w:tbl>
    <w:p w:rsidR="00AD2CF3" w:rsidRPr="00707ADE" w:rsidP="00351A23" w14:paraId="730B1B36" w14:textId="210497F2">
      <w:pPr>
        <w:rPr>
          <w:snapToGrid/>
          <w:color w:val="010101"/>
          <w:kern w:val="0"/>
          <w:szCs w:val="22"/>
        </w:rPr>
      </w:pPr>
    </w:p>
    <w:tbl>
      <w:tblPr>
        <w:tblStyle w:val="TableGrid"/>
        <w:tblW w:w="0" w:type="auto"/>
        <w:tblLook w:val="04A0"/>
      </w:tblPr>
      <w:tblGrid>
        <w:gridCol w:w="1435"/>
        <w:gridCol w:w="2122"/>
        <w:gridCol w:w="1481"/>
        <w:gridCol w:w="1347"/>
        <w:gridCol w:w="1637"/>
        <w:gridCol w:w="1328"/>
      </w:tblGrid>
      <w:tr w14:paraId="1F5880BB" w14:textId="77777777" w:rsidTr="00B44659">
        <w:tblPrEx>
          <w:tblW w:w="0" w:type="auto"/>
          <w:tblLook w:val="04A0"/>
        </w:tblPrEx>
        <w:tc>
          <w:tcPr>
            <w:tcW w:w="9350" w:type="dxa"/>
            <w:gridSpan w:val="6"/>
          </w:tcPr>
          <w:p w:rsidR="0007000E" w:rsidRPr="00707ADE" w:rsidP="0007000E" w14:paraId="0A1D4123" w14:textId="77777777">
            <w:pPr>
              <w:autoSpaceDE w:val="0"/>
              <w:autoSpaceDN w:val="0"/>
              <w:adjustRightInd w:val="0"/>
              <w:rPr>
                <w:rFonts w:ascii="Times New Roman" w:hAnsi="Times New Roman" w:cs="Times New Roman"/>
                <w:b/>
              </w:rPr>
            </w:pPr>
            <w:r w:rsidRPr="00707ADE">
              <w:rPr>
                <w:rFonts w:ascii="Times New Roman" w:hAnsi="Times New Roman" w:cs="Times New Roman"/>
                <w:b/>
              </w:rPr>
              <w:t>Summary of Support Adjustments for Allamakee-Clayton Electric Cooperative</w:t>
            </w:r>
          </w:p>
        </w:tc>
      </w:tr>
      <w:tr w14:paraId="0E380E39" w14:textId="77777777" w:rsidTr="00085A5D">
        <w:tblPrEx>
          <w:tblW w:w="0" w:type="auto"/>
          <w:tblLook w:val="04A0"/>
        </w:tblPrEx>
        <w:tc>
          <w:tcPr>
            <w:tcW w:w="1435" w:type="dxa"/>
          </w:tcPr>
          <w:p w:rsidR="00AD2CF3" w:rsidRPr="00707ADE" w:rsidP="00777CE3" w14:paraId="751D3060"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Study Area Code</w:t>
            </w:r>
          </w:p>
        </w:tc>
        <w:tc>
          <w:tcPr>
            <w:tcW w:w="2122" w:type="dxa"/>
          </w:tcPr>
          <w:p w:rsidR="00AD2CF3" w:rsidRPr="00707ADE" w:rsidP="00777CE3" w14:paraId="7BD5BAF2" w14:textId="5F129964">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 xml:space="preserve">Difference between CAM-determined Locations and Petitioner-identified </w:t>
            </w:r>
            <w:r w:rsidRPr="00707ADE" w:rsidR="00EE4EBE">
              <w:rPr>
                <w:rFonts w:ascii="Times New Roman" w:hAnsi="Times New Roman" w:cs="Times New Roman"/>
                <w:color w:val="000000"/>
              </w:rPr>
              <w:t>L</w:t>
            </w:r>
            <w:r w:rsidRPr="00707ADE">
              <w:rPr>
                <w:rFonts w:ascii="Times New Roman" w:hAnsi="Times New Roman" w:cs="Times New Roman"/>
                <w:color w:val="000000"/>
              </w:rPr>
              <w:t>ocations</w:t>
            </w:r>
          </w:p>
        </w:tc>
        <w:tc>
          <w:tcPr>
            <w:tcW w:w="1481" w:type="dxa"/>
          </w:tcPr>
          <w:p w:rsidR="00AD2CF3" w:rsidRPr="00707ADE" w:rsidP="00777CE3" w14:paraId="5171E1A8" w14:textId="4E27F840">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 xml:space="preserve">Term Support </w:t>
            </w:r>
            <w:r w:rsidRPr="00707ADE">
              <w:rPr>
                <w:rFonts w:ascii="Times New Roman" w:hAnsi="Times New Roman" w:cs="Times New Roman"/>
                <w:color w:val="000000"/>
              </w:rPr>
              <w:t>Awarded</w:t>
            </w:r>
          </w:p>
        </w:tc>
        <w:tc>
          <w:tcPr>
            <w:tcW w:w="1347" w:type="dxa"/>
          </w:tcPr>
          <w:p w:rsidR="00AD2CF3" w:rsidRPr="00707ADE" w:rsidP="00777CE3" w14:paraId="18EABABB" w14:textId="7CCCD2D5">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 xml:space="preserve">Per Location </w:t>
            </w:r>
            <w:r w:rsidRPr="00707ADE" w:rsidR="000666D0">
              <w:rPr>
                <w:rFonts w:ascii="Times New Roman" w:hAnsi="Times New Roman" w:cs="Times New Roman"/>
                <w:color w:val="000000"/>
              </w:rPr>
              <w:t>Support Awarded</w:t>
            </w:r>
          </w:p>
        </w:tc>
        <w:tc>
          <w:tcPr>
            <w:tcW w:w="1637" w:type="dxa"/>
          </w:tcPr>
          <w:p w:rsidR="00AD2CF3" w:rsidRPr="00707ADE" w:rsidP="00777CE3" w14:paraId="000A6377" w14:textId="332C0141">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Adjustment</w:t>
            </w:r>
          </w:p>
        </w:tc>
        <w:tc>
          <w:tcPr>
            <w:tcW w:w="1328" w:type="dxa"/>
          </w:tcPr>
          <w:p w:rsidR="00AD2CF3" w:rsidRPr="00707ADE" w:rsidP="00777CE3" w14:paraId="2996834E"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Revised Term Support</w:t>
            </w:r>
          </w:p>
        </w:tc>
      </w:tr>
      <w:tr w14:paraId="748A7FA9" w14:textId="77777777" w:rsidTr="00085A5D">
        <w:tblPrEx>
          <w:tblW w:w="0" w:type="auto"/>
          <w:tblLook w:val="04A0"/>
        </w:tblPrEx>
        <w:trPr>
          <w:trHeight w:val="305"/>
        </w:trPr>
        <w:tc>
          <w:tcPr>
            <w:tcW w:w="1435" w:type="dxa"/>
          </w:tcPr>
          <w:p w:rsidR="00AD2CF3" w:rsidRPr="00707ADE" w:rsidP="00777CE3" w14:paraId="17865B61"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356220</w:t>
            </w:r>
          </w:p>
        </w:tc>
        <w:tc>
          <w:tcPr>
            <w:tcW w:w="2122" w:type="dxa"/>
          </w:tcPr>
          <w:p w:rsidR="00AD2CF3" w:rsidRPr="00707ADE" w:rsidP="00777CE3" w14:paraId="186C5455"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-10</w:t>
            </w:r>
          </w:p>
        </w:tc>
        <w:tc>
          <w:tcPr>
            <w:tcW w:w="1481" w:type="dxa"/>
          </w:tcPr>
          <w:p w:rsidR="00AD2CF3" w:rsidRPr="00707ADE" w:rsidP="00777CE3" w14:paraId="0EEC0E48"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$71,782.00</w:t>
            </w:r>
          </w:p>
        </w:tc>
        <w:tc>
          <w:tcPr>
            <w:tcW w:w="1347" w:type="dxa"/>
          </w:tcPr>
          <w:p w:rsidR="00AD2CF3" w:rsidRPr="00707ADE" w:rsidP="00777CE3" w14:paraId="10ECABFD"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$1,889.00</w:t>
            </w:r>
          </w:p>
        </w:tc>
        <w:tc>
          <w:tcPr>
            <w:tcW w:w="1637" w:type="dxa"/>
          </w:tcPr>
          <w:p w:rsidR="00AD2CF3" w:rsidRPr="00707ADE" w:rsidP="00777CE3" w14:paraId="628EB57E"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$(18,890.00)</w:t>
            </w:r>
          </w:p>
        </w:tc>
        <w:tc>
          <w:tcPr>
            <w:tcW w:w="1328" w:type="dxa"/>
          </w:tcPr>
          <w:p w:rsidR="00AD2CF3" w:rsidRPr="00707ADE" w:rsidP="00777CE3" w14:paraId="17D57F8A"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$52,892.00</w:t>
            </w:r>
          </w:p>
        </w:tc>
      </w:tr>
      <w:tr w14:paraId="116AC436" w14:textId="77777777" w:rsidTr="00085A5D">
        <w:tblPrEx>
          <w:tblW w:w="0" w:type="auto"/>
          <w:tblLook w:val="04A0"/>
        </w:tblPrEx>
        <w:tc>
          <w:tcPr>
            <w:tcW w:w="1435" w:type="dxa"/>
          </w:tcPr>
          <w:p w:rsidR="00AD2CF3" w:rsidRPr="00707ADE" w:rsidP="00777CE3" w14:paraId="00506EE2"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356221</w:t>
            </w:r>
          </w:p>
        </w:tc>
        <w:tc>
          <w:tcPr>
            <w:tcW w:w="2122" w:type="dxa"/>
          </w:tcPr>
          <w:p w:rsidR="00AD2CF3" w:rsidRPr="00707ADE" w:rsidP="00777CE3" w14:paraId="28BA8A94"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-15</w:t>
            </w:r>
          </w:p>
        </w:tc>
        <w:tc>
          <w:tcPr>
            <w:tcW w:w="1481" w:type="dxa"/>
          </w:tcPr>
          <w:p w:rsidR="00AD2CF3" w:rsidRPr="00707ADE" w:rsidP="00777CE3" w14:paraId="17630545"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$136,835.00</w:t>
            </w:r>
          </w:p>
        </w:tc>
        <w:tc>
          <w:tcPr>
            <w:tcW w:w="1347" w:type="dxa"/>
          </w:tcPr>
          <w:p w:rsidR="00AD2CF3" w:rsidRPr="00707ADE" w:rsidP="00777CE3" w14:paraId="4CCDDE17"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$2,171.98</w:t>
            </w:r>
          </w:p>
        </w:tc>
        <w:tc>
          <w:tcPr>
            <w:tcW w:w="1637" w:type="dxa"/>
          </w:tcPr>
          <w:p w:rsidR="00AD2CF3" w:rsidRPr="00707ADE" w:rsidP="00777CE3" w14:paraId="10CDF0C6"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$(32,579.76)</w:t>
            </w:r>
          </w:p>
        </w:tc>
        <w:tc>
          <w:tcPr>
            <w:tcW w:w="1328" w:type="dxa"/>
          </w:tcPr>
          <w:p w:rsidR="00AD2CF3" w:rsidRPr="00707ADE" w:rsidP="00777CE3" w14:paraId="479A9C4B"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$104,255.24</w:t>
            </w:r>
          </w:p>
        </w:tc>
      </w:tr>
      <w:tr w14:paraId="30D11A0F" w14:textId="77777777" w:rsidTr="00085A5D">
        <w:tblPrEx>
          <w:tblW w:w="0" w:type="auto"/>
          <w:tblLook w:val="04A0"/>
        </w:tblPrEx>
        <w:tc>
          <w:tcPr>
            <w:tcW w:w="1435" w:type="dxa"/>
          </w:tcPr>
          <w:p w:rsidR="00AD2CF3" w:rsidRPr="00707ADE" w:rsidP="00777CE3" w14:paraId="47F612B9"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356222</w:t>
            </w:r>
          </w:p>
        </w:tc>
        <w:tc>
          <w:tcPr>
            <w:tcW w:w="2122" w:type="dxa"/>
          </w:tcPr>
          <w:p w:rsidR="00AD2CF3" w:rsidRPr="00707ADE" w:rsidP="00777CE3" w14:paraId="46392B82"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-10</w:t>
            </w:r>
          </w:p>
        </w:tc>
        <w:tc>
          <w:tcPr>
            <w:tcW w:w="1481" w:type="dxa"/>
          </w:tcPr>
          <w:p w:rsidR="00AD2CF3" w:rsidRPr="00707ADE" w:rsidP="00777CE3" w14:paraId="1A46EE13"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$76,269.00</w:t>
            </w:r>
          </w:p>
        </w:tc>
        <w:tc>
          <w:tcPr>
            <w:tcW w:w="1347" w:type="dxa"/>
          </w:tcPr>
          <w:p w:rsidR="00AD2CF3" w:rsidRPr="00707ADE" w:rsidP="00777CE3" w14:paraId="2E280C32" w14:textId="0182FC4E">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$1,860.22</w:t>
            </w:r>
          </w:p>
        </w:tc>
        <w:tc>
          <w:tcPr>
            <w:tcW w:w="1637" w:type="dxa"/>
          </w:tcPr>
          <w:p w:rsidR="00AD2CF3" w:rsidRPr="00707ADE" w:rsidP="00777CE3" w14:paraId="5168A3F8"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$(18,602.20)</w:t>
            </w:r>
          </w:p>
        </w:tc>
        <w:tc>
          <w:tcPr>
            <w:tcW w:w="1328" w:type="dxa"/>
          </w:tcPr>
          <w:p w:rsidR="00AD2CF3" w:rsidRPr="00707ADE" w:rsidP="00777CE3" w14:paraId="366737B6"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$57,666.80</w:t>
            </w:r>
          </w:p>
        </w:tc>
      </w:tr>
      <w:tr w14:paraId="152CE36E" w14:textId="77777777" w:rsidTr="00085A5D">
        <w:tblPrEx>
          <w:tblW w:w="0" w:type="auto"/>
          <w:tblLook w:val="04A0"/>
        </w:tblPrEx>
        <w:tc>
          <w:tcPr>
            <w:tcW w:w="1435" w:type="dxa"/>
          </w:tcPr>
          <w:p w:rsidR="00AD2CF3" w:rsidRPr="00707ADE" w:rsidP="00777CE3" w14:paraId="60E17C3A"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356223</w:t>
            </w:r>
          </w:p>
        </w:tc>
        <w:tc>
          <w:tcPr>
            <w:tcW w:w="2122" w:type="dxa"/>
          </w:tcPr>
          <w:p w:rsidR="00AD2CF3" w:rsidRPr="00707ADE" w:rsidP="00777CE3" w14:paraId="4567A18D"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-120</w:t>
            </w:r>
          </w:p>
        </w:tc>
        <w:tc>
          <w:tcPr>
            <w:tcW w:w="1481" w:type="dxa"/>
          </w:tcPr>
          <w:p w:rsidR="00AD2CF3" w:rsidRPr="00707ADE" w:rsidP="00777CE3" w14:paraId="33AD67F4"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$1,168,707.00</w:t>
            </w:r>
          </w:p>
        </w:tc>
        <w:tc>
          <w:tcPr>
            <w:tcW w:w="1347" w:type="dxa"/>
          </w:tcPr>
          <w:p w:rsidR="00AD2CF3" w:rsidRPr="00707ADE" w:rsidP="00777CE3" w14:paraId="1E79CB4B"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$2,234.62</w:t>
            </w:r>
          </w:p>
        </w:tc>
        <w:tc>
          <w:tcPr>
            <w:tcW w:w="1637" w:type="dxa"/>
          </w:tcPr>
          <w:p w:rsidR="00AD2CF3" w:rsidRPr="00707ADE" w:rsidP="00777CE3" w14:paraId="4178B2F2"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$(268,154.57)</w:t>
            </w:r>
          </w:p>
        </w:tc>
        <w:tc>
          <w:tcPr>
            <w:tcW w:w="1328" w:type="dxa"/>
          </w:tcPr>
          <w:p w:rsidR="00AD2CF3" w:rsidRPr="00707ADE" w:rsidP="00777CE3" w14:paraId="4E75B851"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$900,552.43</w:t>
            </w:r>
          </w:p>
        </w:tc>
      </w:tr>
    </w:tbl>
    <w:p w:rsidR="005251BB" w:rsidRPr="00707ADE" w:rsidP="00351A23" w14:paraId="2319EE18" w14:textId="77777777">
      <w:pPr>
        <w:rPr>
          <w:snapToGrid/>
          <w:color w:val="010101"/>
          <w:kern w:val="0"/>
          <w:szCs w:val="22"/>
        </w:rPr>
        <w:sectPr w:rsidSect="00351A23">
          <w:type w:val="continuous"/>
          <w:pgSz w:w="12240" w:h="15840"/>
          <w:pgMar w:top="1440" w:right="1440" w:bottom="720" w:left="1440" w:header="720" w:footer="720" w:gutter="0"/>
          <w:pgNumType w:start="1"/>
          <w:cols w:space="720"/>
          <w:noEndnote/>
          <w:titlePg/>
        </w:sectPr>
      </w:pPr>
    </w:p>
    <w:p w:rsidR="00953780" w:rsidP="00AF2B9F" w14:paraId="1260912D" w14:textId="77777777">
      <w:pPr>
        <w:jc w:val="center"/>
        <w:rPr>
          <w:b/>
          <w:snapToGrid/>
          <w:color w:val="010101"/>
          <w:kern w:val="0"/>
          <w:szCs w:val="22"/>
        </w:rPr>
      </w:pPr>
    </w:p>
    <w:p w:rsidR="005251BB" w:rsidRPr="00707ADE" w:rsidP="00AF2B9F" w14:paraId="4DCC553B" w14:textId="13F0A7C3">
      <w:pPr>
        <w:jc w:val="center"/>
        <w:rPr>
          <w:b/>
          <w:snapToGrid/>
          <w:color w:val="010101"/>
          <w:kern w:val="0"/>
          <w:szCs w:val="22"/>
        </w:rPr>
      </w:pPr>
      <w:bookmarkStart w:id="6" w:name="_GoBack"/>
      <w:bookmarkEnd w:id="6"/>
      <w:r w:rsidRPr="00707ADE">
        <w:rPr>
          <w:b/>
          <w:snapToGrid/>
          <w:color w:val="010101"/>
          <w:kern w:val="0"/>
          <w:szCs w:val="22"/>
        </w:rPr>
        <w:t>Consolidated Communications Networks, Inc.</w:t>
      </w:r>
    </w:p>
    <w:p w:rsidR="00AF2B9F" w:rsidRPr="00707ADE" w:rsidP="005251BB" w14:paraId="0C515E99" w14:textId="77777777">
      <w:pPr>
        <w:autoSpaceDE w:val="0"/>
        <w:autoSpaceDN w:val="0"/>
        <w:adjustRightInd w:val="0"/>
        <w:rPr>
          <w:color w:val="010101"/>
          <w:kern w:val="0"/>
          <w:szCs w:val="22"/>
        </w:rPr>
      </w:pPr>
    </w:p>
    <w:tbl>
      <w:tblPr>
        <w:tblStyle w:val="TableGrid"/>
        <w:tblpPr w:leftFromText="180" w:rightFromText="180" w:vertAnchor="text" w:horzAnchor="margin" w:tblpY="-36"/>
        <w:tblW w:w="9355" w:type="dxa"/>
        <w:tblLook w:val="04A0"/>
      </w:tblPr>
      <w:tblGrid>
        <w:gridCol w:w="1435"/>
        <w:gridCol w:w="2070"/>
        <w:gridCol w:w="1530"/>
        <w:gridCol w:w="1530"/>
        <w:gridCol w:w="2790"/>
      </w:tblGrid>
      <w:tr w14:paraId="5D42DD00" w14:textId="77777777" w:rsidTr="005251BB">
        <w:tblPrEx>
          <w:tblW w:w="9355" w:type="dxa"/>
          <w:tblLook w:val="04A0"/>
        </w:tblPrEx>
        <w:tc>
          <w:tcPr>
            <w:tcW w:w="9355" w:type="dxa"/>
            <w:gridSpan w:val="5"/>
          </w:tcPr>
          <w:p w:rsidR="005251BB" w:rsidRPr="00707ADE" w:rsidP="005251BB" w14:paraId="6FE91E78" w14:textId="796F5104">
            <w:pPr>
              <w:rPr>
                <w:rFonts w:ascii="Times New Roman" w:hAnsi="Times New Roman" w:cs="Times New Roman"/>
                <w:color w:val="010101"/>
                <w:kern w:val="0"/>
              </w:rPr>
            </w:pPr>
            <w:r w:rsidRPr="00707ADE">
              <w:rPr>
                <w:rFonts w:ascii="Times New Roman" w:hAnsi="Times New Roman" w:cs="Times New Roman"/>
                <w:b/>
              </w:rPr>
              <w:t>Summary of Location Information Provided by Consolidated Communications Networks, Inc</w:t>
            </w:r>
            <w:r w:rsidRPr="00707ADE">
              <w:rPr>
                <w:rFonts w:ascii="Times New Roman" w:hAnsi="Times New Roman" w:cs="Times New Roman"/>
                <w:snapToGrid/>
                <w:color w:val="010101"/>
                <w:kern w:val="0"/>
              </w:rPr>
              <w:t>.</w:t>
            </w:r>
          </w:p>
        </w:tc>
      </w:tr>
      <w:tr w14:paraId="01030E31" w14:textId="77777777" w:rsidTr="0055647F">
        <w:tblPrEx>
          <w:tblW w:w="9355" w:type="dxa"/>
          <w:tblLook w:val="04A0"/>
        </w:tblPrEx>
        <w:tc>
          <w:tcPr>
            <w:tcW w:w="1435" w:type="dxa"/>
          </w:tcPr>
          <w:p w:rsidR="005251BB" w:rsidRPr="00707ADE" w:rsidP="005251BB" w14:paraId="69252921" w14:textId="77777777">
            <w:pPr>
              <w:autoSpaceDE w:val="0"/>
              <w:autoSpaceDN w:val="0"/>
              <w:adjustRightInd w:val="0"/>
              <w:rPr>
                <w:rFonts w:ascii="Times New Roman" w:hAnsi="Times New Roman" w:cs="Times New Roman"/>
                <w:color w:val="010101"/>
                <w:kern w:val="0"/>
              </w:rPr>
            </w:pPr>
            <w:r w:rsidRPr="00707ADE">
              <w:rPr>
                <w:rFonts w:ascii="Times New Roman" w:hAnsi="Times New Roman" w:cs="Times New Roman"/>
                <w:color w:val="010101"/>
                <w:kern w:val="0"/>
              </w:rPr>
              <w:t>Study Area Code</w:t>
            </w:r>
          </w:p>
        </w:tc>
        <w:tc>
          <w:tcPr>
            <w:tcW w:w="2070" w:type="dxa"/>
          </w:tcPr>
          <w:p w:rsidR="005251BB" w:rsidRPr="00707ADE" w:rsidP="005251BB" w14:paraId="51A7D8EA" w14:textId="77777777">
            <w:pPr>
              <w:autoSpaceDE w:val="0"/>
              <w:autoSpaceDN w:val="0"/>
              <w:adjustRightInd w:val="0"/>
              <w:rPr>
                <w:rFonts w:ascii="Times New Roman" w:hAnsi="Times New Roman" w:cs="Times New Roman"/>
                <w:color w:val="010101"/>
                <w:kern w:val="0"/>
              </w:rPr>
            </w:pPr>
            <w:r w:rsidRPr="00707ADE">
              <w:rPr>
                <w:rFonts w:ascii="Times New Roman" w:hAnsi="Times New Roman" w:cs="Times New Roman"/>
                <w:color w:val="010101"/>
                <w:kern w:val="0"/>
              </w:rPr>
              <w:t>CAM-</w:t>
            </w:r>
            <w:r w:rsidRPr="00707ADE">
              <w:rPr>
                <w:rFonts w:ascii="Times New Roman" w:hAnsi="Times New Roman" w:cs="Times New Roman"/>
                <w:color w:val="000000"/>
              </w:rPr>
              <w:t>Determined</w:t>
            </w:r>
            <w:r w:rsidRPr="00707ADE">
              <w:rPr>
                <w:rFonts w:ascii="Times New Roman" w:hAnsi="Times New Roman" w:cs="Times New Roman"/>
                <w:color w:val="010101"/>
                <w:kern w:val="0"/>
              </w:rPr>
              <w:t xml:space="preserve"> Locations</w:t>
            </w:r>
          </w:p>
        </w:tc>
        <w:tc>
          <w:tcPr>
            <w:tcW w:w="1530" w:type="dxa"/>
          </w:tcPr>
          <w:p w:rsidR="005251BB" w:rsidRPr="00707ADE" w:rsidP="005251BB" w14:paraId="2F396180" w14:textId="77777777">
            <w:pPr>
              <w:rPr>
                <w:rFonts w:ascii="Times New Roman" w:hAnsi="Times New Roman" w:cs="Times New Roman"/>
                <w:color w:val="010101"/>
                <w:kern w:val="0"/>
              </w:rPr>
            </w:pPr>
            <w:r w:rsidRPr="00707ADE">
              <w:rPr>
                <w:rFonts w:ascii="Times New Roman" w:hAnsi="Times New Roman" w:cs="Times New Roman"/>
                <w:color w:val="010101"/>
                <w:kern w:val="0"/>
              </w:rPr>
              <w:t>Identified Actual Locations</w:t>
            </w:r>
          </w:p>
        </w:tc>
        <w:tc>
          <w:tcPr>
            <w:tcW w:w="1530" w:type="dxa"/>
          </w:tcPr>
          <w:p w:rsidR="005251BB" w:rsidRPr="00707ADE" w:rsidP="005251BB" w14:paraId="475E32D5" w14:textId="77777777">
            <w:pPr>
              <w:rPr>
                <w:rFonts w:ascii="Times New Roman" w:hAnsi="Times New Roman" w:cs="Times New Roman"/>
                <w:color w:val="010101"/>
                <w:kern w:val="0"/>
              </w:rPr>
            </w:pPr>
            <w:r w:rsidRPr="00707ADE">
              <w:rPr>
                <w:rFonts w:ascii="Times New Roman" w:hAnsi="Times New Roman" w:cs="Times New Roman"/>
                <w:color w:val="010101"/>
                <w:kern w:val="0"/>
              </w:rPr>
              <w:t>Served Locations</w:t>
            </w:r>
          </w:p>
        </w:tc>
        <w:tc>
          <w:tcPr>
            <w:tcW w:w="2790" w:type="dxa"/>
          </w:tcPr>
          <w:p w:rsidR="005251BB" w:rsidRPr="00707ADE" w:rsidP="005251BB" w14:paraId="03D0EC3A" w14:textId="77777777">
            <w:pPr>
              <w:rPr>
                <w:rFonts w:ascii="Times New Roman" w:hAnsi="Times New Roman" w:cs="Times New Roman"/>
                <w:color w:val="010101"/>
                <w:kern w:val="0"/>
              </w:rPr>
            </w:pPr>
            <w:r w:rsidRPr="00707ADE">
              <w:rPr>
                <w:rFonts w:ascii="Times New Roman" w:hAnsi="Times New Roman" w:cs="Times New Roman"/>
                <w:color w:val="010101"/>
                <w:kern w:val="0"/>
              </w:rPr>
              <w:t>Percentage of Actual Locations Reported as Served</w:t>
            </w:r>
          </w:p>
        </w:tc>
      </w:tr>
      <w:tr w14:paraId="67A1B931" w14:textId="77777777" w:rsidTr="0055647F">
        <w:tblPrEx>
          <w:tblW w:w="9355" w:type="dxa"/>
          <w:tblLook w:val="04A0"/>
        </w:tblPrEx>
        <w:tc>
          <w:tcPr>
            <w:tcW w:w="1435" w:type="dxa"/>
          </w:tcPr>
          <w:p w:rsidR="005251BB" w:rsidRPr="00707ADE" w:rsidP="005251BB" w14:paraId="6D442C37" w14:textId="77777777">
            <w:pPr>
              <w:autoSpaceDE w:val="0"/>
              <w:autoSpaceDN w:val="0"/>
              <w:adjustRightInd w:val="0"/>
              <w:jc w:val="right"/>
              <w:rPr>
                <w:rFonts w:ascii="Times New Roman" w:hAnsi="Times New Roman" w:cs="Times New Roman"/>
                <w:color w:val="010101"/>
                <w:kern w:val="0"/>
              </w:rPr>
            </w:pPr>
            <w:r w:rsidRPr="00707ADE">
              <w:rPr>
                <w:rFonts w:ascii="Times New Roman" w:hAnsi="Times New Roman" w:cs="Times New Roman"/>
                <w:color w:val="000000"/>
              </w:rPr>
              <w:t>386325</w:t>
            </w:r>
          </w:p>
        </w:tc>
        <w:tc>
          <w:tcPr>
            <w:tcW w:w="2070" w:type="dxa"/>
          </w:tcPr>
          <w:p w:rsidR="005251BB" w:rsidRPr="00707ADE" w:rsidP="005251BB" w14:paraId="6B611F95" w14:textId="77777777">
            <w:pPr>
              <w:autoSpaceDE w:val="0"/>
              <w:autoSpaceDN w:val="0"/>
              <w:adjustRightInd w:val="0"/>
              <w:jc w:val="right"/>
              <w:rPr>
                <w:rFonts w:ascii="Times New Roman" w:hAnsi="Times New Roman" w:cs="Times New Roman"/>
                <w:color w:val="010101"/>
                <w:kern w:val="0"/>
              </w:rPr>
            </w:pPr>
            <w:r w:rsidRPr="00707ADE">
              <w:rPr>
                <w:rFonts w:ascii="Times New Roman" w:hAnsi="Times New Roman" w:cs="Times New Roman"/>
                <w:color w:val="010101"/>
                <w:kern w:val="0"/>
              </w:rPr>
              <w:t>171</w:t>
            </w:r>
          </w:p>
        </w:tc>
        <w:tc>
          <w:tcPr>
            <w:tcW w:w="1530" w:type="dxa"/>
          </w:tcPr>
          <w:p w:rsidR="005251BB" w:rsidRPr="00707ADE" w:rsidP="005251BB" w14:paraId="08058833" w14:textId="77777777">
            <w:pPr>
              <w:autoSpaceDE w:val="0"/>
              <w:autoSpaceDN w:val="0"/>
              <w:adjustRightInd w:val="0"/>
              <w:jc w:val="right"/>
              <w:rPr>
                <w:rFonts w:ascii="Times New Roman" w:hAnsi="Times New Roman" w:cs="Times New Roman"/>
                <w:color w:val="010101"/>
                <w:kern w:val="0"/>
              </w:rPr>
            </w:pPr>
            <w:r w:rsidRPr="00707ADE">
              <w:rPr>
                <w:rFonts w:ascii="Times New Roman" w:hAnsi="Times New Roman" w:cs="Times New Roman"/>
                <w:color w:val="010101"/>
                <w:kern w:val="0"/>
              </w:rPr>
              <w:t>162</w:t>
            </w:r>
          </w:p>
        </w:tc>
        <w:tc>
          <w:tcPr>
            <w:tcW w:w="1530" w:type="dxa"/>
          </w:tcPr>
          <w:p w:rsidR="005251BB" w:rsidRPr="00707ADE" w:rsidP="005251BB" w14:paraId="5746C3C0" w14:textId="77777777">
            <w:pPr>
              <w:autoSpaceDE w:val="0"/>
              <w:autoSpaceDN w:val="0"/>
              <w:adjustRightInd w:val="0"/>
              <w:jc w:val="right"/>
              <w:rPr>
                <w:rFonts w:ascii="Times New Roman" w:hAnsi="Times New Roman" w:cs="Times New Roman"/>
                <w:color w:val="010101"/>
                <w:kern w:val="0"/>
              </w:rPr>
            </w:pPr>
            <w:r w:rsidRPr="00707ADE">
              <w:rPr>
                <w:rFonts w:ascii="Times New Roman" w:hAnsi="Times New Roman" w:cs="Times New Roman"/>
                <w:color w:val="010101"/>
                <w:kern w:val="0"/>
              </w:rPr>
              <w:t>162</w:t>
            </w:r>
          </w:p>
        </w:tc>
        <w:tc>
          <w:tcPr>
            <w:tcW w:w="2790" w:type="dxa"/>
          </w:tcPr>
          <w:p w:rsidR="005251BB" w:rsidRPr="00707ADE" w:rsidP="005251BB" w14:paraId="50D07191" w14:textId="77777777">
            <w:pPr>
              <w:autoSpaceDE w:val="0"/>
              <w:autoSpaceDN w:val="0"/>
              <w:adjustRightInd w:val="0"/>
              <w:jc w:val="right"/>
              <w:rPr>
                <w:rFonts w:ascii="Times New Roman" w:hAnsi="Times New Roman" w:cs="Times New Roman"/>
                <w:color w:val="010101"/>
                <w:kern w:val="0"/>
              </w:rPr>
            </w:pPr>
            <w:r w:rsidRPr="00707ADE">
              <w:rPr>
                <w:rFonts w:ascii="Times New Roman" w:hAnsi="Times New Roman" w:cs="Times New Roman"/>
                <w:color w:val="000000"/>
              </w:rPr>
              <w:t>100%</w:t>
            </w:r>
          </w:p>
        </w:tc>
      </w:tr>
    </w:tbl>
    <w:tbl>
      <w:tblPr>
        <w:tblStyle w:val="TableGrid"/>
        <w:tblW w:w="0" w:type="auto"/>
        <w:tblLayout w:type="fixed"/>
        <w:tblLook w:val="04A0"/>
      </w:tblPr>
      <w:tblGrid>
        <w:gridCol w:w="1435"/>
        <w:gridCol w:w="2070"/>
        <w:gridCol w:w="1530"/>
        <w:gridCol w:w="1260"/>
        <w:gridCol w:w="1530"/>
        <w:gridCol w:w="1525"/>
      </w:tblGrid>
      <w:tr w14:paraId="3CA7123A" w14:textId="77777777" w:rsidTr="000666D0">
        <w:tblPrEx>
          <w:tblW w:w="0" w:type="auto"/>
          <w:tblLayout w:type="fixed"/>
          <w:tblLook w:val="04A0"/>
        </w:tblPrEx>
        <w:tc>
          <w:tcPr>
            <w:tcW w:w="9350" w:type="dxa"/>
            <w:gridSpan w:val="6"/>
          </w:tcPr>
          <w:p w:rsidR="000251BD" w:rsidRPr="00707ADE" w:rsidP="00B44659" w14:paraId="71A75CFC" w14:textId="199CE637">
            <w:pPr>
              <w:autoSpaceDE w:val="0"/>
              <w:autoSpaceDN w:val="0"/>
              <w:adjustRightInd w:val="0"/>
              <w:rPr>
                <w:rFonts w:ascii="Times New Roman" w:hAnsi="Times New Roman" w:cs="Times New Roman"/>
                <w:b/>
              </w:rPr>
            </w:pPr>
            <w:r w:rsidRPr="00707ADE">
              <w:rPr>
                <w:rFonts w:ascii="Times New Roman" w:hAnsi="Times New Roman" w:cs="Times New Roman"/>
                <w:b/>
              </w:rPr>
              <w:t>Summary of Support Adjustment for Consolidated Communications Networks, Inc.</w:t>
            </w:r>
          </w:p>
        </w:tc>
      </w:tr>
      <w:tr w14:paraId="0057F49D" w14:textId="77777777" w:rsidTr="00964053">
        <w:tblPrEx>
          <w:tblW w:w="0" w:type="auto"/>
          <w:tblLayout w:type="fixed"/>
          <w:tblLook w:val="04A0"/>
        </w:tblPrEx>
        <w:tc>
          <w:tcPr>
            <w:tcW w:w="1435" w:type="dxa"/>
          </w:tcPr>
          <w:p w:rsidR="000251BD" w:rsidRPr="00707ADE" w:rsidP="00B44659" w14:paraId="70731D73"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Study Area Code</w:t>
            </w:r>
          </w:p>
        </w:tc>
        <w:tc>
          <w:tcPr>
            <w:tcW w:w="2070" w:type="dxa"/>
          </w:tcPr>
          <w:p w:rsidR="000251BD" w:rsidRPr="00707ADE" w:rsidP="00B44659" w14:paraId="0B3DB194" w14:textId="67938C95">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 xml:space="preserve">Difference between CAM-determined Locations and Petitioner-identified </w:t>
            </w:r>
            <w:r w:rsidRPr="00707ADE" w:rsidR="00EE4EBE">
              <w:rPr>
                <w:rFonts w:ascii="Times New Roman" w:hAnsi="Times New Roman" w:cs="Times New Roman"/>
                <w:color w:val="000000"/>
              </w:rPr>
              <w:t>L</w:t>
            </w:r>
            <w:r w:rsidRPr="00707ADE">
              <w:rPr>
                <w:rFonts w:ascii="Times New Roman" w:hAnsi="Times New Roman" w:cs="Times New Roman"/>
                <w:color w:val="000000"/>
              </w:rPr>
              <w:t>ocations</w:t>
            </w:r>
          </w:p>
        </w:tc>
        <w:tc>
          <w:tcPr>
            <w:tcW w:w="1530" w:type="dxa"/>
          </w:tcPr>
          <w:p w:rsidR="000251BD" w:rsidRPr="00707ADE" w:rsidP="00B44659" w14:paraId="58D2245A"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Term Support Awarded</w:t>
            </w:r>
          </w:p>
        </w:tc>
        <w:tc>
          <w:tcPr>
            <w:tcW w:w="1260" w:type="dxa"/>
          </w:tcPr>
          <w:p w:rsidR="000251BD" w:rsidRPr="00707ADE" w:rsidP="00B44659" w14:paraId="10C96345" w14:textId="3A9C2F8C">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Per Location Support Awarded</w:t>
            </w:r>
          </w:p>
        </w:tc>
        <w:tc>
          <w:tcPr>
            <w:tcW w:w="1530" w:type="dxa"/>
          </w:tcPr>
          <w:p w:rsidR="000251BD" w:rsidRPr="00707ADE" w:rsidP="00B44659" w14:paraId="18F207FD"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Adjustment</w:t>
            </w:r>
          </w:p>
        </w:tc>
        <w:tc>
          <w:tcPr>
            <w:tcW w:w="1525" w:type="dxa"/>
          </w:tcPr>
          <w:p w:rsidR="000251BD" w:rsidRPr="00707ADE" w:rsidP="00B44659" w14:paraId="1829380C" w14:textId="77777777">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Revised Term Support</w:t>
            </w:r>
          </w:p>
        </w:tc>
      </w:tr>
      <w:tr w14:paraId="3DE4D548" w14:textId="77777777" w:rsidTr="00964053">
        <w:tblPrEx>
          <w:tblW w:w="0" w:type="auto"/>
          <w:tblLayout w:type="fixed"/>
          <w:tblLook w:val="04A0"/>
        </w:tblPrEx>
        <w:tc>
          <w:tcPr>
            <w:tcW w:w="1435" w:type="dxa"/>
          </w:tcPr>
          <w:p w:rsidR="000251BD" w:rsidRPr="00707ADE" w:rsidP="00B44659" w14:paraId="494FCCC1" w14:textId="344895AD">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38632</w:t>
            </w:r>
          </w:p>
        </w:tc>
        <w:tc>
          <w:tcPr>
            <w:tcW w:w="2070" w:type="dxa"/>
          </w:tcPr>
          <w:p w:rsidR="000251BD" w:rsidRPr="00707ADE" w:rsidP="00B44659" w14:paraId="156ED7EB" w14:textId="0773FE8E">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-9</w:t>
            </w:r>
          </w:p>
        </w:tc>
        <w:tc>
          <w:tcPr>
            <w:tcW w:w="1530" w:type="dxa"/>
          </w:tcPr>
          <w:p w:rsidR="000251BD" w:rsidRPr="00707ADE" w:rsidP="00B44659" w14:paraId="585DFF07" w14:textId="2A6C4F20">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$3,096,810.00</w:t>
            </w:r>
          </w:p>
        </w:tc>
        <w:tc>
          <w:tcPr>
            <w:tcW w:w="1260" w:type="dxa"/>
          </w:tcPr>
          <w:p w:rsidR="000251BD" w:rsidRPr="00707ADE" w:rsidP="000251BD" w14:paraId="290D9346" w14:textId="2517A88B">
            <w:pPr>
              <w:widowControl/>
              <w:jc w:val="right"/>
              <w:rPr>
                <w:rFonts w:ascii="Times New Roman" w:hAnsi="Times New Roman" w:cs="Times New Roman"/>
                <w:color w:val="000000"/>
              </w:rPr>
            </w:pPr>
            <w:r w:rsidRPr="00707ADE">
              <w:rPr>
                <w:rFonts w:ascii="Times New Roman" w:hAnsi="Times New Roman" w:cs="Times New Roman"/>
                <w:color w:val="000000"/>
              </w:rPr>
              <w:t>$18,110.00</w:t>
            </w:r>
          </w:p>
        </w:tc>
        <w:tc>
          <w:tcPr>
            <w:tcW w:w="1530" w:type="dxa"/>
          </w:tcPr>
          <w:p w:rsidR="000251BD" w:rsidRPr="00707ADE" w:rsidP="005251BB" w14:paraId="08D7B535" w14:textId="4FBD47EA">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$(162,990.00)</w:t>
            </w:r>
          </w:p>
        </w:tc>
        <w:tc>
          <w:tcPr>
            <w:tcW w:w="1525" w:type="dxa"/>
          </w:tcPr>
          <w:p w:rsidR="000251BD" w:rsidRPr="00707ADE" w:rsidP="00B44659" w14:paraId="564F5E63" w14:textId="0CD393AE">
            <w:pPr>
              <w:autoSpaceDE w:val="0"/>
              <w:autoSpaceDN w:val="0"/>
              <w:adjustRightInd w:val="0"/>
              <w:jc w:val="right"/>
              <w:rPr>
                <w:rFonts w:ascii="Times New Roman" w:hAnsi="Times New Roman" w:cs="Times New Roman"/>
                <w:color w:val="000000"/>
              </w:rPr>
            </w:pPr>
            <w:r w:rsidRPr="00707ADE">
              <w:rPr>
                <w:rFonts w:ascii="Times New Roman" w:hAnsi="Times New Roman" w:cs="Times New Roman"/>
                <w:color w:val="000000"/>
              </w:rPr>
              <w:t>$2,933,820.00</w:t>
            </w:r>
          </w:p>
        </w:tc>
      </w:tr>
    </w:tbl>
    <w:p w:rsidR="000251BD" w:rsidRPr="00AE30BD" w:rsidP="00351A23" w14:paraId="611A0A9E" w14:textId="77777777">
      <w:pPr>
        <w:rPr>
          <w:color w:val="010101"/>
          <w:kern w:val="0"/>
        </w:rPr>
      </w:pPr>
    </w:p>
    <w:p w:rsidR="000251BD" w:rsidRPr="00AE30BD" w:rsidP="00351A23" w14:paraId="51C588FC" w14:textId="77777777">
      <w:pPr>
        <w:rPr>
          <w:color w:val="010101"/>
          <w:kern w:val="0"/>
        </w:rPr>
      </w:pPr>
    </w:p>
    <w:p w:rsidR="000251BD" w:rsidRPr="00AE30BD" w:rsidP="00351A23" w14:paraId="023DEDC7" w14:textId="77777777">
      <w:pPr>
        <w:rPr>
          <w:color w:val="010101"/>
          <w:kern w:val="0"/>
        </w:rPr>
      </w:pPr>
    </w:p>
    <w:p w:rsidR="000251BD" w:rsidP="00351A23" w14:paraId="16BEFF92" w14:textId="77777777">
      <w:pPr>
        <w:rPr>
          <w:snapToGrid/>
          <w:color w:val="010101"/>
          <w:kern w:val="0"/>
          <w:sz w:val="20"/>
        </w:rPr>
      </w:pPr>
    </w:p>
    <w:p w:rsidR="000251BD" w:rsidP="00351A23" w14:paraId="3AE11218" w14:textId="77777777">
      <w:pPr>
        <w:rPr>
          <w:snapToGrid/>
          <w:color w:val="010101"/>
          <w:kern w:val="0"/>
          <w:sz w:val="20"/>
        </w:rPr>
      </w:pPr>
    </w:p>
    <w:p w:rsidR="000251BD" w:rsidP="00351A23" w14:paraId="35CC1751" w14:textId="77777777">
      <w:pPr>
        <w:rPr>
          <w:snapToGrid/>
          <w:color w:val="010101"/>
          <w:kern w:val="0"/>
          <w:sz w:val="20"/>
        </w:rPr>
      </w:pPr>
    </w:p>
    <w:p w:rsidR="00351A23" w:rsidRPr="0007000E" w:rsidP="00D110CD" w14:paraId="1F197D8E" w14:textId="0D97A2C9">
      <w:pPr>
        <w:rPr>
          <w:color w:val="010101"/>
          <w:kern w:val="0"/>
          <w:sz w:val="20"/>
        </w:rPr>
      </w:pPr>
    </w:p>
    <w:sectPr w:rsidSect="00351A23">
      <w:type w:val="continuous"/>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C7E" w:rsidP="00906FEF" w14:paraId="174999A9" w14:textId="77777777">
    <w:pPr>
      <w:pStyle w:val="Footer"/>
      <w:framePr w:wrap="around" w:vAnchor="text" w:hAnchor="margin" w:xAlign="center" w:y="1"/>
    </w:pPr>
    <w:r>
      <w:fldChar w:fldCharType="begin"/>
    </w:r>
    <w:r>
      <w:instrText xml:space="preserve">PAGE  </w:instrText>
    </w:r>
    <w:r>
      <w:fldChar w:fldCharType="separate"/>
    </w:r>
    <w:r>
      <w:fldChar w:fldCharType="end"/>
    </w:r>
  </w:p>
  <w:p w:rsidR="009E6C7E" w14:paraId="7D98B5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C7E" w:rsidP="00906FEF" w14:paraId="14369612" w14:textId="77777777">
    <w:pPr>
      <w:pStyle w:val="Footer"/>
      <w:framePr w:wrap="around" w:vAnchor="text" w:hAnchor="margin" w:xAlign="center" w:y="1"/>
    </w:pPr>
    <w:r>
      <w:fldChar w:fldCharType="begin"/>
    </w:r>
    <w:r>
      <w:instrText xml:space="preserve">PAGE  </w:instrText>
    </w:r>
    <w:r>
      <w:fldChar w:fldCharType="separate"/>
    </w:r>
    <w:r>
      <w:t>5</w:t>
    </w:r>
    <w:r>
      <w:fldChar w:fldCharType="end"/>
    </w:r>
  </w:p>
  <w:p w:rsidR="009E6C7E" w:rsidRPr="00E0637A" w14:paraId="0D27DB67" w14:textId="77777777">
    <w:pPr>
      <w:suppressAutoHyphens/>
      <w:spacing w:line="227" w:lineRule="auto"/>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C7E" w:rsidRPr="00E0637A" w14:paraId="52E25287" w14:textId="77777777">
    <w:pPr>
      <w:pStyle w:val="Footer"/>
      <w:tabs>
        <w:tab w:val="clear" w:pos="864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78EB" w14:paraId="2A9B7A9D" w14:textId="77777777">
      <w:r>
        <w:separator/>
      </w:r>
    </w:p>
  </w:footnote>
  <w:footnote w:type="continuationSeparator" w:id="1">
    <w:p w:rsidR="00F078EB" w:rsidP="00906FEF" w14:paraId="2120492B" w14:textId="77777777">
      <w:pPr>
        <w:spacing w:before="120"/>
        <w:rPr>
          <w:sz w:val="20"/>
        </w:rPr>
      </w:pPr>
      <w:r>
        <w:rPr>
          <w:sz w:val="20"/>
        </w:rPr>
        <w:t xml:space="preserve">(Continued from previous page)  </w:t>
      </w:r>
      <w:r>
        <w:rPr>
          <w:sz w:val="20"/>
        </w:rPr>
        <w:separator/>
      </w:r>
    </w:p>
  </w:footnote>
  <w:footnote w:type="continuationNotice" w:id="2">
    <w:p w:rsidR="00F078EB" w:rsidP="00AE30BD" w14:paraId="1C282010" w14:textId="77777777">
      <w:pPr>
        <w:rPr>
          <w:sz w:val="20"/>
        </w:rPr>
      </w:pPr>
    </w:p>
  </w:footnote>
  <w:footnote w:id="3">
    <w:p w:rsidR="009674AF" w:rsidRPr="00A544F4" w:rsidP="00A544F4" w14:paraId="59986392" w14:textId="32E97780">
      <w:pPr>
        <w:pStyle w:val="FootnoteText"/>
      </w:pPr>
      <w:r w:rsidRPr="00A544F4">
        <w:rPr>
          <w:rStyle w:val="FootnoteReference"/>
        </w:rPr>
        <w:footnoteRef/>
      </w:r>
      <w:r w:rsidRPr="00A544F4">
        <w:t xml:space="preserve"> Petition of Allamakee-Clayton Electric Cooperative for Waiver of Rural Broadband Experiments Build-out Requirement, WC Docket Nos. 10-90, 14-58 (Oct. 1, 2018) (ACEC Petition), as supplemented, </w:t>
      </w:r>
      <w:r w:rsidRPr="00A544F4" w:rsidR="00FB7CAD">
        <w:t>WC Docket 14-58 (</w:t>
      </w:r>
      <w:r w:rsidRPr="00AE30BD" w:rsidR="00FB7CAD">
        <w:t xml:space="preserve">Sept. </w:t>
      </w:r>
      <w:r w:rsidRPr="00A544F4" w:rsidR="00FB7CAD">
        <w:t>24</w:t>
      </w:r>
      <w:r w:rsidRPr="00A544F4">
        <w:t>, 2019</w:t>
      </w:r>
      <w:r w:rsidRPr="00A544F4" w:rsidR="00FB7CAD">
        <w:t>)</w:t>
      </w:r>
      <w:r w:rsidRPr="00A544F4">
        <w:t xml:space="preserve"> (ACEC Supplement); Emergency Request for Exped</w:t>
      </w:r>
      <w:r w:rsidRPr="00A544F4" w:rsidR="00954771">
        <w:t>ited</w:t>
      </w:r>
      <w:r w:rsidRPr="00A544F4">
        <w:t xml:space="preserve"> Treatment, Petition of Consolidated Communications Networks, Inc., WC Docket No. 10-90 et. al. (filed Apr. 11, 2019) (Consolidated Petition), as supplemented, </w:t>
      </w:r>
      <w:r w:rsidRPr="00A544F4" w:rsidR="00FB7CAD">
        <w:t>WC Docket 10-90 et. al. (</w:t>
      </w:r>
      <w:r w:rsidRPr="00A544F4">
        <w:t xml:space="preserve">Sept </w:t>
      </w:r>
      <w:r w:rsidRPr="00A544F4" w:rsidR="00F50BB0">
        <w:t>11</w:t>
      </w:r>
      <w:r w:rsidRPr="00A544F4">
        <w:t>, 2019</w:t>
      </w:r>
      <w:r w:rsidRPr="00A544F4" w:rsidR="00FB7CAD">
        <w:t>)</w:t>
      </w:r>
      <w:r w:rsidRPr="00A544F4">
        <w:t xml:space="preserve"> (Consolidated Supplement).</w:t>
      </w:r>
    </w:p>
  </w:footnote>
  <w:footnote w:id="4">
    <w:p w:rsidR="009E6C7E" w:rsidRPr="00A544F4" w:rsidP="00A544F4" w14:paraId="49FE4B04" w14:textId="52260333">
      <w:pPr>
        <w:pStyle w:val="FootnoteText"/>
      </w:pPr>
      <w:r w:rsidRPr="00A544F4">
        <w:rPr>
          <w:rStyle w:val="FootnoteReference"/>
        </w:rPr>
        <w:footnoteRef/>
      </w:r>
      <w:r w:rsidRPr="00A544F4">
        <w:t xml:space="preserve"> </w:t>
      </w:r>
      <w:r w:rsidRPr="00A544F4">
        <w:rPr>
          <w:i/>
        </w:rPr>
        <w:t>Connect America Fund, ETC Annual Reports and Certifications</w:t>
      </w:r>
      <w:r w:rsidRPr="00A544F4">
        <w:t>, WC Docket Nos. 10-90, 14-58, Report and Order and Further Notice of Proposed Rulemaking, 29 FCC Rcd 8769 (2014) (</w:t>
      </w:r>
      <w:r w:rsidRPr="00A544F4" w:rsidR="000F27D4">
        <w:rPr>
          <w:i/>
        </w:rPr>
        <w:t>Rural Broadband Experiments Order</w:t>
      </w:r>
      <w:r w:rsidRPr="00A544F4">
        <w:t>).</w:t>
      </w:r>
    </w:p>
  </w:footnote>
  <w:footnote w:id="5">
    <w:p w:rsidR="009E6C7E" w:rsidRPr="00A544F4" w:rsidP="00A544F4" w14:paraId="492A8C71" w14:textId="5395E5FD">
      <w:pPr>
        <w:widowControl/>
        <w:spacing w:after="120"/>
        <w:rPr>
          <w:sz w:val="20"/>
        </w:rPr>
      </w:pPr>
      <w:r w:rsidRPr="00A544F4">
        <w:rPr>
          <w:rStyle w:val="FootnoteReference"/>
        </w:rPr>
        <w:footnoteRef/>
      </w:r>
      <w:r w:rsidRPr="00A544F4">
        <w:rPr>
          <w:sz w:val="20"/>
        </w:rPr>
        <w:t xml:space="preserve"> </w:t>
      </w:r>
      <w:r w:rsidRPr="00A544F4">
        <w:rPr>
          <w:i/>
          <w:sz w:val="20"/>
        </w:rPr>
        <w:t xml:space="preserve">Id. </w:t>
      </w:r>
      <w:r w:rsidRPr="00A544F4">
        <w:rPr>
          <w:sz w:val="20"/>
        </w:rPr>
        <w:t xml:space="preserve">at 8775, 8786, paras. 13, 51; </w:t>
      </w:r>
      <w:r w:rsidRPr="00A544F4">
        <w:rPr>
          <w:i/>
          <w:sz w:val="20"/>
        </w:rPr>
        <w:t>see also Connect America Fund; High-Cost Universal Service Support</w:t>
      </w:r>
      <w:r w:rsidRPr="00A544F4">
        <w:rPr>
          <w:sz w:val="20"/>
        </w:rPr>
        <w:t xml:space="preserve">, WC Docket Nos. 10-90 and 14-93, Order, 30 FCC Rcd 2718, 2718-19, para. 3 (WCB 2015).  In 2013, the Bureau adopted a model platform that relies on a combination of commercial address-based residential data and census data to determine residential and business locations.  </w:t>
      </w:r>
      <w:r w:rsidRPr="00A544F4">
        <w:rPr>
          <w:i/>
          <w:sz w:val="20"/>
        </w:rPr>
        <w:t>Connect America Fund; High-Cost Universal Service Support</w:t>
      </w:r>
      <w:r w:rsidRPr="00A544F4">
        <w:rPr>
          <w:sz w:val="20"/>
        </w:rPr>
        <w:t xml:space="preserve">, WC Docket Nos. 10-90, 05-337, Report and Order, 28 FCC Rcd 5301, 5322-23, para. 52 (WCB 2013).  Although the Bureau has subsequently </w:t>
      </w:r>
      <w:r w:rsidRPr="00A544F4" w:rsidR="002F2F1B">
        <w:rPr>
          <w:sz w:val="20"/>
        </w:rPr>
        <w:t xml:space="preserve">modified </w:t>
      </w:r>
      <w:r w:rsidRPr="00A544F4">
        <w:rPr>
          <w:sz w:val="20"/>
        </w:rPr>
        <w:t xml:space="preserve">the CAM model </w:t>
      </w:r>
      <w:r w:rsidRPr="00A544F4" w:rsidR="00965264">
        <w:rPr>
          <w:sz w:val="20"/>
        </w:rPr>
        <w:t xml:space="preserve">outputs </w:t>
      </w:r>
      <w:r w:rsidRPr="00A544F4">
        <w:rPr>
          <w:sz w:val="20"/>
        </w:rPr>
        <w:t xml:space="preserve">many times, it has not changed these fundamental inputs.  </w:t>
      </w:r>
      <w:r w:rsidRPr="00A544F4">
        <w:rPr>
          <w:i/>
          <w:sz w:val="20"/>
        </w:rPr>
        <w:t>See, e.g., Wireline Competition Bureau Announces Availability of Version 4.2 of the Connect America Fund Phase II Cost Model et al</w:t>
      </w:r>
      <w:r w:rsidRPr="00A544F4">
        <w:rPr>
          <w:sz w:val="20"/>
        </w:rPr>
        <w:t>., WC Docket No. 10-90, Public Notice, 28 FCC Rcd 3884 (WCB 2014)</w:t>
      </w:r>
      <w:r w:rsidRPr="00A544F4">
        <w:rPr>
          <w:snapToGrid/>
          <w:kern w:val="0"/>
          <w:sz w:val="20"/>
        </w:rPr>
        <w:t>.</w:t>
      </w:r>
    </w:p>
  </w:footnote>
  <w:footnote w:id="6">
    <w:p w:rsidR="009E6C7E" w:rsidRPr="00A544F4" w:rsidP="00A544F4" w14:paraId="005AB3F4" w14:textId="2DA9E044">
      <w:pPr>
        <w:widowControl/>
        <w:spacing w:after="120"/>
        <w:rPr>
          <w:snapToGrid/>
          <w:kern w:val="0"/>
          <w:sz w:val="20"/>
        </w:rPr>
      </w:pPr>
      <w:r w:rsidRPr="00A544F4">
        <w:rPr>
          <w:rStyle w:val="FootnoteReference"/>
        </w:rPr>
        <w:footnoteRef/>
      </w:r>
      <w:r w:rsidRPr="00A544F4">
        <w:rPr>
          <w:sz w:val="20"/>
        </w:rPr>
        <w:t xml:space="preserve"> </w:t>
      </w:r>
      <w:r w:rsidRPr="00A544F4" w:rsidR="00EE1FB6">
        <w:rPr>
          <w:i/>
          <w:sz w:val="20"/>
        </w:rPr>
        <w:t>Rural Broadband Experiments Order</w:t>
      </w:r>
      <w:r w:rsidRPr="00A544F4" w:rsidR="00EE1FB6">
        <w:rPr>
          <w:sz w:val="20"/>
        </w:rPr>
        <w:t>, 29 FCC Rcd</w:t>
      </w:r>
      <w:r w:rsidRPr="00A544F4">
        <w:rPr>
          <w:sz w:val="20"/>
        </w:rPr>
        <w:t xml:space="preserve"> at 8775-76, paras. 13-14; </w:t>
      </w:r>
      <w:r w:rsidRPr="00A544F4">
        <w:rPr>
          <w:i/>
          <w:snapToGrid/>
          <w:kern w:val="0"/>
          <w:sz w:val="20"/>
        </w:rPr>
        <w:t>Technology Transitions et al</w:t>
      </w:r>
      <w:r w:rsidRPr="00A544F4">
        <w:rPr>
          <w:snapToGrid/>
          <w:kern w:val="0"/>
          <w:sz w:val="20"/>
        </w:rPr>
        <w:t>., WC Docket No. 10-90 et al., Order et al., 29 FCC Rcd 1433, 1472, para. 111 (2014).</w:t>
      </w:r>
    </w:p>
  </w:footnote>
  <w:footnote w:id="7">
    <w:p w:rsidR="009E6C7E" w:rsidRPr="00A544F4" w:rsidP="00A544F4" w14:paraId="32B65682" w14:textId="0E821964">
      <w:pPr>
        <w:widowControl/>
        <w:spacing w:after="120"/>
        <w:rPr>
          <w:snapToGrid/>
          <w:kern w:val="0"/>
          <w:sz w:val="20"/>
        </w:rPr>
      </w:pPr>
      <w:r w:rsidRPr="00A544F4">
        <w:rPr>
          <w:rStyle w:val="FootnoteReference"/>
        </w:rPr>
        <w:footnoteRef/>
      </w:r>
      <w:r w:rsidRPr="00A544F4">
        <w:rPr>
          <w:sz w:val="20"/>
        </w:rPr>
        <w:t xml:space="preserve"> </w:t>
      </w:r>
      <w:r w:rsidRPr="00A544F4" w:rsidR="000F27D4">
        <w:rPr>
          <w:i/>
          <w:snapToGrid/>
          <w:kern w:val="0"/>
          <w:sz w:val="20"/>
        </w:rPr>
        <w:t>Rural Broadband Experiments Order</w:t>
      </w:r>
      <w:r w:rsidRPr="00A544F4" w:rsidR="00EE1FB6">
        <w:rPr>
          <w:snapToGrid/>
          <w:kern w:val="0"/>
          <w:sz w:val="20"/>
        </w:rPr>
        <w:t>,</w:t>
      </w:r>
      <w:r w:rsidRPr="00A544F4">
        <w:rPr>
          <w:snapToGrid/>
          <w:kern w:val="0"/>
          <w:sz w:val="20"/>
        </w:rPr>
        <w:t xml:space="preserve"> 29 FCC Rcd at 8776, paras. 13 n.34, 15.  If a census block is served by multiple carriers, wire centers, or splitters (Node2), the CAM v4.2, the version which calculated reserve prices for the RBEs, calculates the costs associated with each carrier, wire center, or splitter separately, on a sub-census block basis.  </w:t>
      </w:r>
      <w:bookmarkStart w:id="0" w:name="_Hlk20387295"/>
      <w:r w:rsidRPr="00A544F4">
        <w:rPr>
          <w:snapToGrid/>
          <w:kern w:val="0"/>
          <w:sz w:val="20"/>
        </w:rPr>
        <w:t>CostQuest</w:t>
      </w:r>
      <w:r w:rsidRPr="00A544F4">
        <w:rPr>
          <w:snapToGrid/>
          <w:kern w:val="0"/>
          <w:sz w:val="20"/>
        </w:rPr>
        <w:t xml:space="preserve"> Associates, Inc., Connect America Cost Model: Model Methodology at 16 n.16 (Dec. 22, 2014), </w:t>
      </w:r>
      <w:hyperlink r:id="rId1" w:history="1">
        <w:r w:rsidRPr="00A544F4">
          <w:rPr>
            <w:rStyle w:val="Hyperlink"/>
            <w:snapToGrid/>
            <w:kern w:val="0"/>
            <w:sz w:val="20"/>
          </w:rPr>
          <w:t>https://transition.fcc.gov/wcb/CAMv.4.2Methodology.pdf</w:t>
        </w:r>
      </w:hyperlink>
      <w:r w:rsidRPr="00A544F4">
        <w:rPr>
          <w:snapToGrid/>
          <w:kern w:val="0"/>
          <w:sz w:val="20"/>
        </w:rPr>
        <w:t>.  This results in some census blocks having a combination of low-cost, high-cost, and/or extremely high-cost locations located within one census block.  As a result, the number of funded locations in a census block was not necessarily the same as the number of locations in the block according to the U.S. Census</w:t>
      </w:r>
      <w:r w:rsidRPr="00A544F4">
        <w:rPr>
          <w:sz w:val="20"/>
        </w:rPr>
        <w:t xml:space="preserve">.  </w:t>
      </w:r>
      <w:r w:rsidRPr="00A544F4">
        <w:rPr>
          <w:rStyle w:val="Emphasis"/>
          <w:sz w:val="20"/>
        </w:rPr>
        <w:t>See id.</w:t>
      </w:r>
      <w:r w:rsidRPr="00A544F4">
        <w:rPr>
          <w:sz w:val="20"/>
        </w:rPr>
        <w:t xml:space="preserve"> at 12-13</w:t>
      </w:r>
      <w:r w:rsidRPr="00A544F4" w:rsidR="00FB7CAD">
        <w:rPr>
          <w:sz w:val="20"/>
        </w:rPr>
        <w:t>.</w:t>
      </w:r>
      <w:bookmarkEnd w:id="0"/>
    </w:p>
  </w:footnote>
  <w:footnote w:id="8">
    <w:p w:rsidR="009E6C7E" w:rsidRPr="00A544F4" w:rsidP="00A544F4" w14:paraId="18217BEB" w14:textId="256A0AF0">
      <w:pPr>
        <w:pStyle w:val="FootnoteText"/>
      </w:pPr>
      <w:r w:rsidRPr="00A544F4">
        <w:rPr>
          <w:rStyle w:val="FootnoteReference"/>
        </w:rPr>
        <w:footnoteRef/>
      </w:r>
      <w:r w:rsidRPr="00A544F4">
        <w:t xml:space="preserve"> </w:t>
      </w:r>
      <w:r w:rsidRPr="00A544F4" w:rsidR="0076569E">
        <w:rPr>
          <w:i/>
        </w:rPr>
        <w:t>Rural Broadband Experiments Order</w:t>
      </w:r>
      <w:r w:rsidRPr="00A544F4" w:rsidR="0076569E">
        <w:t>, 29 FCC Rcd</w:t>
      </w:r>
      <w:r w:rsidRPr="00A544F4">
        <w:t xml:space="preserve"> at 8794, para. 74 (specifying that by the end of their third year, RBE support recipients must offer the requisite level of service to at least 85</w:t>
      </w:r>
      <w:r w:rsidRPr="00A544F4" w:rsidR="00873B00">
        <w:t>%</w:t>
      </w:r>
      <w:r w:rsidRPr="00A544F4">
        <w:t xml:space="preserve"> of the number of required locations and by the end of the fifth year, 100</w:t>
      </w:r>
      <w:r w:rsidRPr="00A544F4" w:rsidR="00873B00">
        <w:t>%</w:t>
      </w:r>
      <w:r w:rsidRPr="00A544F4">
        <w:t xml:space="preserve"> of all such locations); </w:t>
      </w:r>
      <w:r w:rsidRPr="00A544F4">
        <w:rPr>
          <w:i/>
        </w:rPr>
        <w:t>see also id</w:t>
      </w:r>
      <w:r w:rsidRPr="00A544F4">
        <w:t>. at 8794, para. 75 (specifying that RBE support recipients electing to receive accelerated payments were required to meet an additional 25</w:t>
      </w:r>
      <w:r w:rsidRPr="00A544F4" w:rsidR="00873B00">
        <w:t>%</w:t>
      </w:r>
      <w:r w:rsidRPr="00A544F4">
        <w:t xml:space="preserve"> milestone falling 15 months after their first support disbursement).</w:t>
      </w:r>
    </w:p>
  </w:footnote>
  <w:footnote w:id="9">
    <w:p w:rsidR="009E6C7E" w:rsidRPr="00A544F4" w:rsidP="00A544F4" w14:paraId="579B9B32" w14:textId="72682490">
      <w:pPr>
        <w:pStyle w:val="FootnoteText"/>
      </w:pPr>
      <w:r w:rsidRPr="00A544F4">
        <w:rPr>
          <w:rStyle w:val="FootnoteReference"/>
        </w:rPr>
        <w:footnoteRef/>
      </w:r>
      <w:r w:rsidRPr="00A544F4">
        <w:t xml:space="preserve"> </w:t>
      </w:r>
      <w:r w:rsidRPr="00A544F4" w:rsidR="007025DC">
        <w:rPr>
          <w:i/>
        </w:rPr>
        <w:t>Id</w:t>
      </w:r>
      <w:r w:rsidRPr="00A544F4" w:rsidR="007025DC">
        <w:t xml:space="preserve">. </w:t>
      </w:r>
      <w:r w:rsidRPr="00A544F4">
        <w:t xml:space="preserve">at 8799-800, paras. 90-94; </w:t>
      </w:r>
      <w:r w:rsidRPr="00A544F4">
        <w:rPr>
          <w:i/>
        </w:rPr>
        <w:t>see also</w:t>
      </w:r>
      <w:r w:rsidRPr="00A544F4">
        <w:t xml:space="preserve"> </w:t>
      </w:r>
      <w:r w:rsidRPr="00A544F4">
        <w:rPr>
          <w:i/>
        </w:rPr>
        <w:t>id</w:t>
      </w:r>
      <w:r w:rsidRPr="00A544F4">
        <w:t xml:space="preserve">. at 8800-801, para. 96 (stating that a performance default could lead to other consequences, including, among other things, potential revocation of ETC designation and disqualification from future competitive bidding for universal service support).  During the 12-month withholding period, RBE funding recipients can cure their default by coming into compliance.  </w:t>
      </w:r>
      <w:r w:rsidRPr="00A544F4">
        <w:rPr>
          <w:i/>
        </w:rPr>
        <w:t>Id</w:t>
      </w:r>
      <w:r w:rsidRPr="00A544F4">
        <w:t xml:space="preserve">. at 8799, para. 92.  Moreover, once the Commission draws on the letter of credit, the RBE funding recipient has a one-time opportunity to cure the default at any time during the support term.  </w:t>
      </w:r>
      <w:r w:rsidRPr="00A544F4">
        <w:rPr>
          <w:i/>
        </w:rPr>
        <w:t>Id</w:t>
      </w:r>
      <w:r w:rsidRPr="00A544F4">
        <w:t xml:space="preserve">. at 8800, para. 93.  Once a default is cured, the RBE funding recipient is entitled to have any withheld or recovered support restored and would become eligible to receive full support payments in accordance with the terms of its award.  </w:t>
      </w:r>
      <w:r w:rsidRPr="00A544F4">
        <w:rPr>
          <w:i/>
        </w:rPr>
        <w:t>Id</w:t>
      </w:r>
      <w:r w:rsidRPr="00A544F4">
        <w:t xml:space="preserve">.  </w:t>
      </w:r>
    </w:p>
  </w:footnote>
  <w:footnote w:id="10">
    <w:p w:rsidR="009E6C7E" w:rsidRPr="00A544F4" w:rsidP="00A544F4" w14:paraId="079DA92E" w14:textId="4AB758A7">
      <w:pPr>
        <w:pStyle w:val="FootnoteText"/>
      </w:pPr>
      <w:r w:rsidRPr="00A544F4">
        <w:rPr>
          <w:rStyle w:val="FootnoteReference"/>
        </w:rPr>
        <w:footnoteRef/>
      </w:r>
      <w:r w:rsidRPr="00A544F4">
        <w:t xml:space="preserve"> </w:t>
      </w:r>
      <w:r w:rsidRPr="00A544F4" w:rsidR="000F27D4">
        <w:rPr>
          <w:i/>
        </w:rPr>
        <w:t>Rural Broadband Experiments Order</w:t>
      </w:r>
      <w:r w:rsidRPr="00A544F4">
        <w:t xml:space="preserve">, 29 FCC Rcd at 8800, para. 95.  The Commission stated that if the petitioner defaulted on its performance obligations while its waiver petition was pending, the Bureau should move forward with default measures, subject to full restoration of support and support payments should the petition be subsequently granted. </w:t>
      </w:r>
      <w:r w:rsidRPr="00A544F4">
        <w:rPr>
          <w:i/>
        </w:rPr>
        <w:t xml:space="preserve"> Id</w:t>
      </w:r>
      <w:r w:rsidRPr="00A544F4">
        <w:t xml:space="preserve">.  </w:t>
      </w:r>
    </w:p>
  </w:footnote>
  <w:footnote w:id="11">
    <w:p w:rsidR="009E6C7E" w:rsidRPr="00A544F4" w:rsidP="00A544F4" w14:paraId="3B5E17F3" w14:textId="7EBC580F">
      <w:pPr>
        <w:pStyle w:val="FootnoteText"/>
      </w:pPr>
      <w:r w:rsidRPr="00A544F4">
        <w:rPr>
          <w:rStyle w:val="FootnoteReference"/>
        </w:rPr>
        <w:footnoteRef/>
      </w:r>
      <w:r w:rsidRPr="00A544F4">
        <w:t xml:space="preserve"> </w:t>
      </w:r>
      <w:r w:rsidRPr="00A544F4">
        <w:rPr>
          <w:i/>
        </w:rPr>
        <w:t>Wireline Competition Bureau Announces Entities Provisionally Selected for Rural Broadband Experiments; Sets Deadlines for Submission of Additional Information</w:t>
      </w:r>
      <w:r w:rsidRPr="00A544F4">
        <w:t xml:space="preserve">, </w:t>
      </w:r>
      <w:r w:rsidRPr="00A544F4" w:rsidR="002534A2">
        <w:t xml:space="preserve">WC Docket No. 10-90, </w:t>
      </w:r>
      <w:r w:rsidRPr="00A544F4">
        <w:t xml:space="preserve">Public Notice, 29 FCC Rcd 14684 (WCB 2014).  </w:t>
      </w:r>
    </w:p>
  </w:footnote>
  <w:footnote w:id="12">
    <w:p w:rsidR="009E6C7E" w:rsidRPr="00A544F4" w:rsidP="00A544F4" w14:paraId="12500FFB" w14:textId="4C5B8707">
      <w:pPr>
        <w:pStyle w:val="FootnoteText"/>
        <w:rPr>
          <w:color w:val="FF0000"/>
        </w:rPr>
      </w:pPr>
      <w:r w:rsidRPr="00A544F4">
        <w:rPr>
          <w:rStyle w:val="FootnoteReference"/>
        </w:rPr>
        <w:footnoteRef/>
      </w:r>
      <w:r w:rsidRPr="00A544F4">
        <w:t xml:space="preserve"> </w:t>
      </w:r>
      <w:r w:rsidRPr="00A544F4" w:rsidR="00CA69F4">
        <w:rPr>
          <w:i/>
        </w:rPr>
        <w:t>December 2014 Connect America Order</w:t>
      </w:r>
      <w:r w:rsidRPr="00A544F4">
        <w:t xml:space="preserve">, 29 FCC Rcd </w:t>
      </w:r>
      <w:r w:rsidRPr="00A544F4" w:rsidR="00CA69F4">
        <w:t>at</w:t>
      </w:r>
      <w:r w:rsidRPr="00A544F4">
        <w:t xml:space="preserve"> 15659, para. 38, n.88.</w:t>
      </w:r>
      <w:r w:rsidRPr="00A544F4">
        <w:rPr>
          <w:color w:val="FF0000"/>
        </w:rPr>
        <w:t xml:space="preserve">  </w:t>
      </w:r>
    </w:p>
  </w:footnote>
  <w:footnote w:id="13">
    <w:p w:rsidR="009E6C7E" w:rsidRPr="00A544F4" w:rsidP="00A544F4" w14:paraId="57D60612" w14:textId="0D2F693E">
      <w:pPr>
        <w:pStyle w:val="FootnoteText"/>
      </w:pPr>
      <w:r w:rsidRPr="00A544F4">
        <w:rPr>
          <w:rStyle w:val="FootnoteReference"/>
        </w:rPr>
        <w:footnoteRef/>
      </w:r>
      <w:r w:rsidRPr="00A544F4">
        <w:t xml:space="preserve"> </w:t>
      </w:r>
      <w:r w:rsidRPr="00A544F4">
        <w:rPr>
          <w:i/>
        </w:rPr>
        <w:t>Id</w:t>
      </w:r>
      <w:r w:rsidRPr="00A544F4">
        <w:t>. at 15659, para. 38.</w:t>
      </w:r>
      <w:r w:rsidRPr="004633BA" w:rsidR="004633BA">
        <w:t xml:space="preserve"> </w:t>
      </w:r>
      <w:r w:rsidR="004633BA">
        <w:t xml:space="preserve"> </w:t>
      </w:r>
      <w:r w:rsidRPr="004633BA" w:rsidR="004633BA">
        <w:t xml:space="preserve">In both </w:t>
      </w:r>
      <w:r w:rsidR="004633BA">
        <w:t>the Phase II model-based offer proceeding and the CAF Phase II auction proceeding</w:t>
      </w:r>
      <w:r w:rsidRPr="004633BA" w:rsidR="004633BA">
        <w:t>, the Commission set compliance reviews at the state-level rather than at the study area level, which provided these funding recipients with greater flexibility in meeting their defined deployment obligations</w:t>
      </w:r>
      <w:r w:rsidR="004633BA">
        <w:t xml:space="preserve">.  </w:t>
      </w:r>
      <w:r w:rsidRPr="00A544F4" w:rsidR="004633BA">
        <w:rPr>
          <w:i/>
        </w:rPr>
        <w:t xml:space="preserve">See Connect America Fund et al., </w:t>
      </w:r>
      <w:r w:rsidRPr="00A544F4" w:rsidR="004633BA">
        <w:t>WC Docket No. 10-90 et al., Report and Order, 29 FCC Rcd 15644, 15689, pars. 43 n.87, 128 (2014) (</w:t>
      </w:r>
      <w:r w:rsidRPr="00A544F4" w:rsidR="004633BA">
        <w:rPr>
          <w:i/>
        </w:rPr>
        <w:t>December 2014 Connect America Order</w:t>
      </w:r>
      <w:r w:rsidRPr="00A544F4" w:rsidR="004633BA">
        <w:t xml:space="preserve">); </w:t>
      </w:r>
      <w:r w:rsidRPr="00A544F4" w:rsidR="004633BA">
        <w:rPr>
          <w:i/>
        </w:rPr>
        <w:t>Connect America Fund et al</w:t>
      </w:r>
      <w:r w:rsidRPr="00A544F4" w:rsidR="004633BA">
        <w:t>., Report and Order and Further Notice of Proposed Rulemaking, 31 FCC Rcd 5949, 6014-15, para. 181 (2016) (</w:t>
      </w:r>
      <w:r w:rsidRPr="00A544F4" w:rsidR="004633BA">
        <w:rPr>
          <w:i/>
        </w:rPr>
        <w:t>Phase II Auction Order</w:t>
      </w:r>
      <w:r w:rsidRPr="00A544F4" w:rsidR="004633BA">
        <w:t>).</w:t>
      </w:r>
    </w:p>
  </w:footnote>
  <w:footnote w:id="14">
    <w:p w:rsidR="009E6C7E" w:rsidRPr="00A544F4" w:rsidP="00A544F4" w14:paraId="48B3C0AC" w14:textId="77777777">
      <w:pPr>
        <w:pStyle w:val="FootnoteText"/>
      </w:pPr>
      <w:r w:rsidRPr="00A544F4">
        <w:rPr>
          <w:rStyle w:val="FootnoteReference"/>
        </w:rPr>
        <w:footnoteRef/>
      </w:r>
      <w:r w:rsidRPr="00A544F4">
        <w:t xml:space="preserve"> </w:t>
      </w:r>
      <w:bookmarkStart w:id="1" w:name="_Hlk514776555"/>
      <w:r w:rsidRPr="00A544F4">
        <w:rPr>
          <w:i/>
        </w:rPr>
        <w:t>Id</w:t>
      </w:r>
      <w:r w:rsidRPr="00A544F4">
        <w:t>.</w:t>
      </w:r>
      <w:bookmarkEnd w:id="1"/>
    </w:p>
  </w:footnote>
  <w:footnote w:id="15">
    <w:p w:rsidR="009E6C7E" w:rsidRPr="00A544F4" w:rsidP="00A544F4" w14:paraId="32F3620C" w14:textId="7A723AEE">
      <w:pPr>
        <w:pStyle w:val="FootnoteText"/>
        <w:rPr>
          <w:color w:val="000000"/>
        </w:rPr>
      </w:pPr>
      <w:r w:rsidRPr="00A544F4">
        <w:rPr>
          <w:rStyle w:val="FootnoteReference"/>
        </w:rPr>
        <w:footnoteRef/>
      </w:r>
      <w:r w:rsidRPr="00A544F4">
        <w:t xml:space="preserve"> </w:t>
      </w:r>
      <w:r w:rsidRPr="00A544F4">
        <w:rPr>
          <w:i/>
          <w:iCs/>
          <w:color w:val="000000"/>
        </w:rPr>
        <w:t>Id.</w:t>
      </w:r>
      <w:r w:rsidRPr="00A544F4">
        <w:rPr>
          <w:color w:val="000000"/>
        </w:rPr>
        <w:t xml:space="preserve"> at 15659, para. 38, n.88</w:t>
      </w:r>
      <w:r w:rsidRPr="00A544F4">
        <w:t>.</w:t>
      </w:r>
    </w:p>
  </w:footnote>
  <w:footnote w:id="16">
    <w:p w:rsidR="009E6C7E" w:rsidRPr="00A544F4" w:rsidP="00A544F4" w14:paraId="3E053EDA" w14:textId="10772F0D">
      <w:pPr>
        <w:pStyle w:val="FootnoteText"/>
      </w:pPr>
      <w:r w:rsidRPr="00A544F4">
        <w:rPr>
          <w:rStyle w:val="FootnoteReference"/>
        </w:rPr>
        <w:footnoteRef/>
      </w:r>
      <w:r w:rsidRPr="00A544F4">
        <w:t xml:space="preserve"> </w:t>
      </w:r>
      <w:r w:rsidRPr="00A544F4">
        <w:rPr>
          <w:i/>
        </w:rPr>
        <w:t>Id</w:t>
      </w:r>
      <w:r w:rsidRPr="00A544F4">
        <w:t>.</w:t>
      </w:r>
    </w:p>
  </w:footnote>
  <w:footnote w:id="17">
    <w:p w:rsidR="009E6C7E" w:rsidRPr="00A544F4" w:rsidP="00A544F4" w14:paraId="2481DC17" w14:textId="2493D6D4">
      <w:pPr>
        <w:pStyle w:val="FootnoteText"/>
      </w:pPr>
      <w:r w:rsidRPr="00A544F4">
        <w:rPr>
          <w:rStyle w:val="FootnoteReference"/>
        </w:rPr>
        <w:footnoteRef/>
      </w:r>
      <w:r w:rsidRPr="00A544F4">
        <w:t xml:space="preserve"> </w:t>
      </w:r>
      <w:r w:rsidRPr="00A544F4" w:rsidR="005812C6">
        <w:rPr>
          <w:i/>
          <w:iCs/>
          <w:color w:val="000000"/>
        </w:rPr>
        <w:t>Id.</w:t>
      </w:r>
      <w:r w:rsidRPr="00A544F4">
        <w:t xml:space="preserve"> </w:t>
      </w:r>
    </w:p>
  </w:footnote>
  <w:footnote w:id="18">
    <w:p w:rsidR="009E6C7E" w:rsidRPr="00A544F4" w:rsidP="00A544F4" w14:paraId="24E511E8" w14:textId="77777777">
      <w:pPr>
        <w:pStyle w:val="FootnoteText"/>
      </w:pPr>
      <w:r w:rsidRPr="00A544F4">
        <w:rPr>
          <w:rStyle w:val="FootnoteReference"/>
        </w:rPr>
        <w:footnoteRef/>
      </w:r>
      <w:r w:rsidRPr="00A544F4">
        <w:t xml:space="preserve"> </w:t>
      </w:r>
      <w:r w:rsidRPr="00A544F4">
        <w:rPr>
          <w:i/>
        </w:rPr>
        <w:t>Id</w:t>
      </w:r>
      <w:r w:rsidRPr="00A544F4">
        <w:t>.</w:t>
      </w:r>
    </w:p>
  </w:footnote>
  <w:footnote w:id="19">
    <w:p w:rsidR="009E6C7E" w:rsidRPr="00A544F4" w:rsidP="00A544F4" w14:paraId="1C3F1616" w14:textId="0F60DA0F">
      <w:pPr>
        <w:pStyle w:val="FootnoteText"/>
      </w:pPr>
      <w:r w:rsidRPr="00A544F4">
        <w:rPr>
          <w:rStyle w:val="FootnoteReference"/>
        </w:rPr>
        <w:footnoteRef/>
      </w:r>
      <w:r w:rsidRPr="00A544F4">
        <w:t xml:space="preserve"> </w:t>
      </w:r>
      <w:r w:rsidRPr="00A544F4">
        <w:rPr>
          <w:i/>
        </w:rPr>
        <w:t>Id.</w:t>
      </w:r>
      <w:r w:rsidRPr="00A544F4">
        <w:t xml:space="preserve"> at 15659-61, paras. 38-42.  To take advantage of this flexibility, these carriers had to identify at least</w:t>
      </w:r>
      <w:r w:rsidRPr="00A544F4" w:rsidR="00873B00">
        <w:t xml:space="preserve"> 2%</w:t>
      </w:r>
      <w:r w:rsidRPr="00A544F4">
        <w:t xml:space="preserve"> of the eligible locations in the state that they did not intend to serve by December 31, 2015, so that the associated census blocks could be included in the Phase II competitive bidding process.  </w:t>
      </w:r>
      <w:r w:rsidRPr="00A544F4">
        <w:rPr>
          <w:i/>
        </w:rPr>
        <w:t>Id</w:t>
      </w:r>
      <w:r w:rsidRPr="00A544F4">
        <w:t>. at 15659-60, para. 39.</w:t>
      </w:r>
    </w:p>
  </w:footnote>
  <w:footnote w:id="20">
    <w:p w:rsidR="009E6C7E" w:rsidRPr="00A544F4" w:rsidP="00A544F4" w14:paraId="7C4F2216" w14:textId="77777777">
      <w:pPr>
        <w:pStyle w:val="FootnoteText"/>
      </w:pPr>
      <w:r w:rsidRPr="00A544F4">
        <w:rPr>
          <w:rStyle w:val="FootnoteReference"/>
        </w:rPr>
        <w:footnoteRef/>
      </w:r>
      <w:r w:rsidRPr="00A544F4">
        <w:t xml:space="preserve"> </w:t>
      </w:r>
      <w:r w:rsidRPr="00A544F4">
        <w:rPr>
          <w:i/>
        </w:rPr>
        <w:t>Id</w:t>
      </w:r>
      <w:r w:rsidRPr="00A544F4">
        <w:t>. at 15660-61, para. 42.</w:t>
      </w:r>
    </w:p>
  </w:footnote>
  <w:footnote w:id="21">
    <w:p w:rsidR="009E6C7E" w:rsidRPr="00A544F4" w:rsidP="00A544F4" w14:paraId="48F85C8A" w14:textId="16FC9BF1">
      <w:pPr>
        <w:pStyle w:val="FootnoteText"/>
      </w:pPr>
      <w:r w:rsidRPr="00A544F4">
        <w:rPr>
          <w:rStyle w:val="FootnoteReference"/>
        </w:rPr>
        <w:footnoteRef/>
      </w:r>
      <w:r w:rsidRPr="00A544F4">
        <w:t xml:space="preserve"> </w:t>
      </w:r>
      <w:r w:rsidRPr="00A544F4">
        <w:rPr>
          <w:i/>
        </w:rPr>
        <w:t xml:space="preserve">Id. </w:t>
      </w:r>
      <w:r w:rsidRPr="00A544F4">
        <w:t xml:space="preserve">at 15660, para. 40, n.93; </w:t>
      </w:r>
      <w:r w:rsidRPr="00A544F4">
        <w:rPr>
          <w:i/>
        </w:rPr>
        <w:t>see also id</w:t>
      </w:r>
      <w:r w:rsidRPr="00A544F4">
        <w:t>. at 15700, para. 154.</w:t>
      </w:r>
    </w:p>
  </w:footnote>
  <w:footnote w:id="22">
    <w:p w:rsidR="009E6C7E" w:rsidRPr="00A544F4" w:rsidP="00A544F4" w14:paraId="40D6CEA7" w14:textId="45A683ED">
      <w:pPr>
        <w:pStyle w:val="FootnoteText"/>
      </w:pPr>
      <w:r w:rsidRPr="00A544F4">
        <w:rPr>
          <w:rStyle w:val="FootnoteReference"/>
        </w:rPr>
        <w:footnoteRef/>
      </w:r>
      <w:r w:rsidRPr="00A544F4">
        <w:t xml:space="preserve"> </w:t>
      </w:r>
      <w:r w:rsidRPr="00A544F4" w:rsidR="00A544F4">
        <w:rPr>
          <w:i/>
        </w:rPr>
        <w:t>Phase II Auction Order</w:t>
      </w:r>
      <w:r w:rsidRPr="00F82889">
        <w:t>,</w:t>
      </w:r>
      <w:r w:rsidRPr="003C43E0">
        <w:t xml:space="preserve"> </w:t>
      </w:r>
      <w:bookmarkStart w:id="2" w:name="OLE_LINK1"/>
      <w:r w:rsidRPr="00A544F4">
        <w:t xml:space="preserve">31 FCC Rcd </w:t>
      </w:r>
      <w:bookmarkEnd w:id="2"/>
      <w:r w:rsidRPr="00A544F4" w:rsidR="00A544F4">
        <w:t>at</w:t>
      </w:r>
      <w:r w:rsidRPr="00A544F4">
        <w:t xml:space="preserve"> 5965-66, para</w:t>
      </w:r>
      <w:r w:rsidRPr="00A544F4" w:rsidR="00D30436">
        <w:t>s</w:t>
      </w:r>
      <w:r w:rsidRPr="00A544F4">
        <w:t>. 44-46.</w:t>
      </w:r>
    </w:p>
  </w:footnote>
  <w:footnote w:id="23">
    <w:p w:rsidR="009E6C7E" w:rsidRPr="00A544F4" w:rsidP="00A544F4" w14:paraId="0BC2A31B" w14:textId="0785B554">
      <w:pPr>
        <w:pStyle w:val="FootnoteText"/>
      </w:pPr>
      <w:r w:rsidRPr="00A544F4">
        <w:rPr>
          <w:rStyle w:val="FootnoteReference"/>
        </w:rPr>
        <w:footnoteRef/>
      </w:r>
      <w:r w:rsidRPr="00A544F4">
        <w:t xml:space="preserve"> </w:t>
      </w:r>
      <w:r w:rsidRPr="00A544F4">
        <w:rPr>
          <w:i/>
        </w:rPr>
        <w:t xml:space="preserve">See id. </w:t>
      </w:r>
      <w:r w:rsidRPr="00A544F4">
        <w:t>at 5966, para. 47 (“Unlike the price cap carriers who are required to accept or decline the offer of model-based support at the state level, bidders in the Phase II competitive bidding process will be able to bid on smaller projects.  Potential bidders are responsible for undertaking the necessary due diligence in advance of bidding to identify particularly problematic census blocks when they are preparing their bids and have the option of not including such blocks in their bids.  Therefore, we see no reason to provide greater leniency in deployment obligations for recipients of support through the competitive bidding process.”)</w:t>
      </w:r>
      <w:r w:rsidRPr="00A544F4" w:rsidR="007269B1">
        <w:t xml:space="preserve">; </w:t>
      </w:r>
      <w:r w:rsidRPr="00A544F4" w:rsidR="007269B1">
        <w:rPr>
          <w:i/>
        </w:rPr>
        <w:t>see also</w:t>
      </w:r>
      <w:r w:rsidRPr="00A544F4" w:rsidR="007269B1">
        <w:t xml:space="preserve"> </w:t>
      </w:r>
      <w:r w:rsidRPr="00A544F4" w:rsidR="007269B1">
        <w:rPr>
          <w:bCs/>
          <w:i/>
          <w:color w:val="000000"/>
        </w:rPr>
        <w:t>Connect America Fund</w:t>
      </w:r>
      <w:r w:rsidRPr="00A544F4" w:rsidR="007269B1">
        <w:rPr>
          <w:bCs/>
          <w:color w:val="000000"/>
        </w:rPr>
        <w:t>, WC Docket No. 14-259, Order on Reconsideration, 33 FCC Rcd 1380, 1392, para. 32 (2018)</w:t>
      </w:r>
      <w:r w:rsidRPr="00A544F4" w:rsidR="007269B1">
        <w:t xml:space="preserve"> (“Because compliance will be determined on a state-wide basis, the bidder can identify additional locations in the other eligible census blocks within the census block group or choose to bid on additional census block groups where it is able to identify more locations in eligible census blocks than the CAM had identified to meet its statewide total.”) (</w:t>
      </w:r>
      <w:r w:rsidRPr="00A544F4" w:rsidR="007269B1">
        <w:rPr>
          <w:i/>
        </w:rPr>
        <w:t>Phase II Auction Reconsideration Order</w:t>
      </w:r>
      <w:r w:rsidRPr="00A544F4" w:rsidR="007269B1">
        <w:t>).</w:t>
      </w:r>
    </w:p>
  </w:footnote>
  <w:footnote w:id="24">
    <w:p w:rsidR="009E6C7E" w:rsidRPr="00A544F4" w:rsidP="00A544F4" w14:paraId="44F80366" w14:textId="5E5D1082">
      <w:pPr>
        <w:pStyle w:val="FootnoteText"/>
      </w:pPr>
      <w:r w:rsidRPr="00A544F4">
        <w:rPr>
          <w:rStyle w:val="FootnoteReference"/>
        </w:rPr>
        <w:footnoteRef/>
      </w:r>
      <w:r w:rsidRPr="00A544F4">
        <w:t xml:space="preserve"> </w:t>
      </w:r>
      <w:r w:rsidRPr="00A544F4" w:rsidR="007269B1">
        <w:rPr>
          <w:i/>
        </w:rPr>
        <w:t>Phase II Auction Reconsideration Order</w:t>
      </w:r>
      <w:r w:rsidRPr="00A544F4">
        <w:rPr>
          <w:bCs/>
          <w:color w:val="000000"/>
        </w:rPr>
        <w:t xml:space="preserve">, 33 FCC Rcd </w:t>
      </w:r>
      <w:r w:rsidRPr="00A544F4" w:rsidR="007269B1">
        <w:rPr>
          <w:bCs/>
          <w:color w:val="000000"/>
        </w:rPr>
        <w:t>at</w:t>
      </w:r>
      <w:r w:rsidRPr="00A544F4">
        <w:rPr>
          <w:bCs/>
          <w:color w:val="000000"/>
        </w:rPr>
        <w:t xml:space="preserve"> 1393, para. 35; </w:t>
      </w:r>
      <w:r w:rsidRPr="00A544F4">
        <w:rPr>
          <w:i/>
        </w:rPr>
        <w:t>Connect America Fund Phase II Auction Scheduled for July 24, 2018; Notice and Filing Requirements and Other Procedures for Auction 903</w:t>
      </w:r>
      <w:r w:rsidRPr="00A544F4">
        <w:t xml:space="preserve">, Public Notice, AU Docket No. 17-182, WC Docket No. 10-90, 33 FCC Rcd 1428, 1471, para. 114 (2018) (requiring Phase II auction support recipients to make a due diligence certification that includes </w:t>
      </w:r>
      <w:r w:rsidRPr="00A544F4" w:rsidR="001826FF">
        <w:t>verifying that the</w:t>
      </w:r>
      <w:r w:rsidRPr="00A544F4" w:rsidR="00A66444">
        <w:t>y</w:t>
      </w:r>
      <w:r w:rsidRPr="00A544F4" w:rsidR="001826FF">
        <w:t xml:space="preserve"> took steps to ascertain the </w:t>
      </w:r>
      <w:r w:rsidRPr="00A544F4">
        <w:t>number of actual locations within census blocks).</w:t>
      </w:r>
    </w:p>
  </w:footnote>
  <w:footnote w:id="25">
    <w:p w:rsidR="009E6C7E" w:rsidRPr="00A544F4" w:rsidP="00A544F4" w14:paraId="15625F6E" w14:textId="78ABA6A1">
      <w:pPr>
        <w:pStyle w:val="FootnoteText"/>
      </w:pPr>
      <w:r w:rsidRPr="00A544F4">
        <w:rPr>
          <w:rStyle w:val="FootnoteReference"/>
        </w:rPr>
        <w:footnoteRef/>
      </w:r>
      <w:r w:rsidRPr="00A544F4">
        <w:t xml:space="preserve"> </w:t>
      </w:r>
      <w:r w:rsidRPr="00A544F4">
        <w:rPr>
          <w:bCs/>
          <w:i/>
          <w:color w:val="000000"/>
        </w:rPr>
        <w:t>Phase II Auction Reconsideration Order</w:t>
      </w:r>
      <w:r w:rsidRPr="00A544F4">
        <w:t xml:space="preserve">, 33 FCC Rcd at </w:t>
      </w:r>
      <w:r w:rsidRPr="00A544F4">
        <w:rPr>
          <w:bCs/>
          <w:color w:val="000000"/>
        </w:rPr>
        <w:t>1389-92, paras. 23-28.</w:t>
      </w:r>
    </w:p>
  </w:footnote>
  <w:footnote w:id="26">
    <w:p w:rsidR="009E6C7E" w:rsidRPr="00A544F4" w:rsidP="00A544F4" w14:paraId="32404EAA" w14:textId="77777777">
      <w:pPr>
        <w:pStyle w:val="FootnoteText"/>
      </w:pPr>
      <w:r w:rsidRPr="00A544F4">
        <w:rPr>
          <w:rStyle w:val="FootnoteReference"/>
        </w:rPr>
        <w:footnoteRef/>
      </w:r>
      <w:r w:rsidRPr="00A544F4">
        <w:t xml:space="preserve"> </w:t>
      </w:r>
      <w:r w:rsidRPr="00A544F4">
        <w:rPr>
          <w:i/>
          <w:color w:val="000000"/>
        </w:rPr>
        <w:t xml:space="preserve">Id. </w:t>
      </w:r>
      <w:r w:rsidRPr="00A544F4">
        <w:rPr>
          <w:color w:val="000000"/>
        </w:rPr>
        <w:t xml:space="preserve">at 1389, para. 23 (providing that participants “must submit evidence of the total number of locations in the eligible areas in the state, including geolocation data (indicating the latitude/longitude and address of each location), in a format to be specified by the Bureau, for all the actual locations it could identify”); </w:t>
      </w:r>
      <w:r w:rsidRPr="00A544F4">
        <w:rPr>
          <w:i/>
          <w:color w:val="000000"/>
        </w:rPr>
        <w:t>id</w:t>
      </w:r>
      <w:r w:rsidRPr="00A544F4">
        <w:rPr>
          <w:color w:val="000000"/>
        </w:rPr>
        <w:t>. at 1389, para. 24 (directing the Bureau to “specify the types of information that a support recipient should submit to demonstrate that it could not locate additional locations on the ground, specify the types of evidence that commenters should submit to dispute the evidence provided by the support recipients and set the parameters of this review process, set the parameters for the audits, and adopt any other necessary implementation details,” after seeking notice and comment).</w:t>
      </w:r>
    </w:p>
  </w:footnote>
  <w:footnote w:id="27">
    <w:p w:rsidR="009E6C7E" w:rsidRPr="00A544F4" w:rsidP="00A544F4" w14:paraId="77B6D196" w14:textId="286F427F">
      <w:pPr>
        <w:pStyle w:val="FootnoteText"/>
      </w:pPr>
      <w:r w:rsidRPr="00A544F4">
        <w:rPr>
          <w:rStyle w:val="FootnoteReference"/>
        </w:rPr>
        <w:footnoteRef/>
      </w:r>
      <w:r w:rsidRPr="00A544F4">
        <w:t xml:space="preserve"> </w:t>
      </w:r>
      <w:r w:rsidRPr="00A544F4">
        <w:rPr>
          <w:i/>
        </w:rPr>
        <w:t>Id</w:t>
      </w:r>
      <w:r w:rsidRPr="00A544F4">
        <w:t>. at 1389, para. 23.</w:t>
      </w:r>
    </w:p>
  </w:footnote>
  <w:footnote w:id="28">
    <w:p w:rsidR="009E6C7E" w:rsidRPr="00A544F4" w:rsidP="00A544F4" w14:paraId="6DA65C5F" w14:textId="7D9A4B8C">
      <w:pPr>
        <w:pStyle w:val="FootnoteText"/>
      </w:pPr>
      <w:r w:rsidRPr="00A544F4">
        <w:rPr>
          <w:rStyle w:val="FootnoteReference"/>
        </w:rPr>
        <w:footnoteRef/>
      </w:r>
      <w:r w:rsidRPr="00A544F4">
        <w:t xml:space="preserve"> </w:t>
      </w:r>
      <w:r w:rsidRPr="00A544F4">
        <w:rPr>
          <w:i/>
        </w:rPr>
        <w:t>Id</w:t>
      </w:r>
      <w:r w:rsidRPr="00A544F4">
        <w:t xml:space="preserve">. at 1389, para. 24; </w:t>
      </w:r>
      <w:r w:rsidRPr="00A544F4">
        <w:rPr>
          <w:i/>
        </w:rPr>
        <w:t>see also id</w:t>
      </w:r>
      <w:r w:rsidRPr="00A544F4">
        <w:t>. at 1389, para. 24, n.62 (explaining that the new support amount in the state</w:t>
      </w:r>
      <w:r w:rsidR="00085A5D">
        <w:t xml:space="preserve"> would be calculated by subtracting from the total award, the average per location support awarded (</w:t>
      </w:r>
      <w:r w:rsidRPr="00A544F4">
        <w:t>total state support/model locations</w:t>
      </w:r>
      <w:r w:rsidR="00085A5D">
        <w:t xml:space="preserve">) multiplied by the total </w:t>
      </w:r>
      <w:r w:rsidRPr="00A544F4">
        <w:t>number of deficient locations</w:t>
      </w:r>
      <w:r w:rsidR="00085A5D">
        <w:t>)</w:t>
      </w:r>
      <w:r w:rsidRPr="00A544F4">
        <w:t>.</w:t>
      </w:r>
    </w:p>
  </w:footnote>
  <w:footnote w:id="29">
    <w:p w:rsidR="009E6C7E" w:rsidRPr="00A544F4" w:rsidP="00A544F4" w14:paraId="3C4E4F37" w14:textId="77777777">
      <w:pPr>
        <w:pStyle w:val="FootnoteText"/>
      </w:pPr>
      <w:r w:rsidRPr="00A544F4">
        <w:rPr>
          <w:rStyle w:val="FootnoteReference"/>
        </w:rPr>
        <w:footnoteRef/>
      </w:r>
      <w:r w:rsidRPr="00A544F4">
        <w:t xml:space="preserve"> </w:t>
      </w:r>
      <w:r w:rsidRPr="00A544F4">
        <w:rPr>
          <w:i/>
        </w:rPr>
        <w:t xml:space="preserve">Rural Broadband Experiment Support Authorized for Ten Winning Bids for </w:t>
      </w:r>
      <w:r w:rsidRPr="00A544F4">
        <w:rPr>
          <w:i/>
        </w:rPr>
        <w:t>Skybeam</w:t>
      </w:r>
      <w:r w:rsidRPr="00A544F4">
        <w:rPr>
          <w:i/>
        </w:rPr>
        <w:t>, LLC, Consolidated Communications Networks, Inc., Delta Communications LLC, and Allamakee-Clayton Electric Cooperative, Inc</w:t>
      </w:r>
      <w:r w:rsidRPr="00A544F4">
        <w:t>., Public Notice, 30 FCC Rcd 8283 (2015).</w:t>
      </w:r>
    </w:p>
  </w:footnote>
  <w:footnote w:id="30">
    <w:p w:rsidR="009E6C7E" w:rsidRPr="00A544F4" w:rsidP="00A544F4" w14:paraId="2341C068" w14:textId="77777777">
      <w:pPr>
        <w:pStyle w:val="FootnoteText"/>
      </w:pPr>
      <w:r w:rsidRPr="00A544F4">
        <w:rPr>
          <w:rStyle w:val="FootnoteReference"/>
        </w:rPr>
        <w:footnoteRef/>
      </w:r>
      <w:r w:rsidRPr="00A544F4">
        <w:t xml:space="preserve"> </w:t>
      </w:r>
      <w:r w:rsidRPr="00A544F4">
        <w:rPr>
          <w:i/>
        </w:rPr>
        <w:t>Id</w:t>
      </w:r>
      <w:r w:rsidRPr="00A544F4">
        <w:t>.</w:t>
      </w:r>
    </w:p>
  </w:footnote>
  <w:footnote w:id="31">
    <w:p w:rsidR="009E6C7E" w:rsidRPr="00A544F4" w:rsidP="00A544F4" w14:paraId="2C7F2967" w14:textId="1CAFF6E8">
      <w:pPr>
        <w:pStyle w:val="FootnoteText"/>
      </w:pPr>
      <w:r w:rsidRPr="00A544F4">
        <w:rPr>
          <w:rStyle w:val="FootnoteReference"/>
        </w:rPr>
        <w:footnoteRef/>
      </w:r>
      <w:r w:rsidRPr="00A544F4">
        <w:t xml:space="preserve"> ACEC Petition.</w:t>
      </w:r>
    </w:p>
  </w:footnote>
  <w:footnote w:id="32">
    <w:p w:rsidR="009E6C7E" w:rsidRPr="00A544F4" w:rsidP="00A544F4" w14:paraId="2564232B" w14:textId="2AED9E8A">
      <w:pPr>
        <w:pStyle w:val="FootnoteText"/>
      </w:pPr>
      <w:r w:rsidRPr="00A544F4">
        <w:rPr>
          <w:rStyle w:val="FootnoteReference"/>
        </w:rPr>
        <w:footnoteRef/>
      </w:r>
      <w:r w:rsidRPr="00A544F4">
        <w:t xml:space="preserve"> Consolidated Petition.</w:t>
      </w:r>
    </w:p>
  </w:footnote>
  <w:footnote w:id="33">
    <w:p w:rsidR="009E6C7E" w:rsidRPr="00A544F4" w:rsidP="00A544F4" w14:paraId="3128DB98" w14:textId="326BD03C">
      <w:pPr>
        <w:pStyle w:val="FootnoteText"/>
      </w:pPr>
      <w:r w:rsidRPr="00A544F4">
        <w:rPr>
          <w:rStyle w:val="FootnoteReference"/>
        </w:rPr>
        <w:footnoteRef/>
      </w:r>
      <w:r w:rsidRPr="00A544F4">
        <w:t xml:space="preserve"> ACEC Petition</w:t>
      </w:r>
      <w:r w:rsidRPr="00A544F4">
        <w:rPr>
          <w:i/>
        </w:rPr>
        <w:t xml:space="preserve"> </w:t>
      </w:r>
      <w:r w:rsidRPr="00A544F4">
        <w:t>at 4.</w:t>
      </w:r>
    </w:p>
  </w:footnote>
  <w:footnote w:id="34">
    <w:p w:rsidR="009E6C7E" w:rsidRPr="00A544F4" w:rsidP="00A544F4" w14:paraId="342C60E1" w14:textId="55E9F889">
      <w:pPr>
        <w:pStyle w:val="FootnoteText"/>
      </w:pPr>
      <w:r w:rsidRPr="00A544F4">
        <w:rPr>
          <w:rStyle w:val="FootnoteReference"/>
        </w:rPr>
        <w:footnoteRef/>
      </w:r>
      <w:r w:rsidRPr="00A544F4">
        <w:t xml:space="preserve"> </w:t>
      </w:r>
      <w:r w:rsidRPr="00A544F4">
        <w:rPr>
          <w:i/>
        </w:rPr>
        <w:t>Id</w:t>
      </w:r>
      <w:r w:rsidRPr="00A544F4">
        <w:t>.</w:t>
      </w:r>
    </w:p>
  </w:footnote>
  <w:footnote w:id="35">
    <w:p w:rsidR="009E6C7E" w:rsidRPr="00A544F4" w:rsidP="00A544F4" w14:paraId="1849EEF3" w14:textId="66FEA4C5">
      <w:pPr>
        <w:pStyle w:val="FootnoteText"/>
      </w:pPr>
      <w:r w:rsidRPr="00A544F4">
        <w:rPr>
          <w:rStyle w:val="FootnoteReference"/>
        </w:rPr>
        <w:footnoteRef/>
      </w:r>
      <w:r w:rsidRPr="00A544F4">
        <w:t xml:space="preserve"> </w:t>
      </w:r>
      <w:r w:rsidRPr="00A544F4">
        <w:rPr>
          <w:i/>
        </w:rPr>
        <w:t>Id</w:t>
      </w:r>
      <w:r w:rsidRPr="00A544F4">
        <w:t>. at 4.</w:t>
      </w:r>
    </w:p>
  </w:footnote>
  <w:footnote w:id="36">
    <w:p w:rsidR="009E6C7E" w:rsidRPr="00A544F4" w:rsidP="00A544F4" w14:paraId="1B2816AC" w14:textId="001729A5">
      <w:pPr>
        <w:pStyle w:val="FootnoteText"/>
      </w:pPr>
      <w:r w:rsidRPr="00A544F4">
        <w:rPr>
          <w:rStyle w:val="FootnoteReference"/>
        </w:rPr>
        <w:footnoteRef/>
      </w:r>
      <w:r w:rsidRPr="00A544F4">
        <w:t xml:space="preserve"> </w:t>
      </w:r>
      <w:r w:rsidRPr="00A544F4">
        <w:rPr>
          <w:i/>
        </w:rPr>
        <w:t>Id</w:t>
      </w:r>
      <w:r w:rsidRPr="00A544F4">
        <w:t>. at 4-5.</w:t>
      </w:r>
    </w:p>
  </w:footnote>
  <w:footnote w:id="37">
    <w:p w:rsidR="009E6C7E" w:rsidRPr="00A544F4" w:rsidP="00A544F4" w14:paraId="64D091F3" w14:textId="41951782">
      <w:pPr>
        <w:pStyle w:val="FootnoteText"/>
      </w:pPr>
      <w:r w:rsidRPr="00A544F4">
        <w:rPr>
          <w:rStyle w:val="FootnoteReference"/>
        </w:rPr>
        <w:footnoteRef/>
      </w:r>
      <w:r w:rsidRPr="00A544F4">
        <w:t xml:space="preserve"> </w:t>
      </w:r>
      <w:r w:rsidRPr="00A544F4">
        <w:rPr>
          <w:i/>
        </w:rPr>
        <w:t>Id</w:t>
      </w:r>
      <w:r w:rsidRPr="00A544F4">
        <w:t>. at 5.</w:t>
      </w:r>
    </w:p>
  </w:footnote>
  <w:footnote w:id="38">
    <w:p w:rsidR="009E6C7E" w:rsidRPr="00A544F4" w:rsidP="00A544F4" w14:paraId="235E5E34" w14:textId="1228C61F">
      <w:pPr>
        <w:pStyle w:val="FootnoteText"/>
      </w:pPr>
      <w:r w:rsidRPr="00A544F4">
        <w:rPr>
          <w:rStyle w:val="FootnoteReference"/>
        </w:rPr>
        <w:footnoteRef/>
      </w:r>
      <w:r w:rsidRPr="00A544F4">
        <w:t xml:space="preserve"> </w:t>
      </w:r>
      <w:r w:rsidRPr="00A544F4">
        <w:rPr>
          <w:i/>
        </w:rPr>
        <w:t>Id</w:t>
      </w:r>
      <w:r w:rsidRPr="00A544F4">
        <w:t>. at 5; ACEC Supplement.</w:t>
      </w:r>
    </w:p>
  </w:footnote>
  <w:footnote w:id="39">
    <w:p w:rsidR="009E6C7E" w:rsidRPr="00A544F4" w:rsidP="00A544F4" w14:paraId="635E656C" w14:textId="71864ABD">
      <w:pPr>
        <w:pStyle w:val="FootnoteText"/>
      </w:pPr>
      <w:r w:rsidRPr="00A544F4">
        <w:rPr>
          <w:rStyle w:val="FootnoteReference"/>
        </w:rPr>
        <w:footnoteRef/>
      </w:r>
      <w:r w:rsidRPr="00A544F4">
        <w:t xml:space="preserve"> ACEC Petition</w:t>
      </w:r>
      <w:r w:rsidRPr="00A544F4">
        <w:rPr>
          <w:i/>
        </w:rPr>
        <w:t xml:space="preserve"> </w:t>
      </w:r>
      <w:r w:rsidRPr="00A544F4">
        <w:t>at 6.</w:t>
      </w:r>
    </w:p>
  </w:footnote>
  <w:footnote w:id="40">
    <w:p w:rsidR="009E6C7E" w:rsidRPr="00A544F4" w:rsidP="00A544F4" w14:paraId="7650B1DA" w14:textId="581C507B">
      <w:pPr>
        <w:pStyle w:val="FootnoteText"/>
      </w:pPr>
      <w:r w:rsidRPr="00A544F4">
        <w:rPr>
          <w:rStyle w:val="FootnoteReference"/>
        </w:rPr>
        <w:footnoteRef/>
      </w:r>
      <w:r w:rsidRPr="00A544F4">
        <w:t xml:space="preserve"> </w:t>
      </w:r>
      <w:r w:rsidRPr="00A544F4">
        <w:rPr>
          <w:i/>
        </w:rPr>
        <w:t>Id</w:t>
      </w:r>
      <w:r w:rsidRPr="00A544F4">
        <w:t>. at 6.</w:t>
      </w:r>
    </w:p>
  </w:footnote>
  <w:footnote w:id="41">
    <w:p w:rsidR="009E6C7E" w:rsidRPr="00A544F4" w:rsidP="00A544F4" w14:paraId="7785C3CB" w14:textId="5F959D0F">
      <w:pPr>
        <w:pStyle w:val="FootnoteText"/>
      </w:pPr>
      <w:r w:rsidRPr="00A544F4">
        <w:rPr>
          <w:rStyle w:val="FootnoteReference"/>
        </w:rPr>
        <w:footnoteRef/>
      </w:r>
      <w:r w:rsidRPr="00A544F4">
        <w:t xml:space="preserve"> </w:t>
      </w:r>
      <w:r w:rsidRPr="00A544F4">
        <w:rPr>
          <w:i/>
        </w:rPr>
        <w:t>Id</w:t>
      </w:r>
      <w:r w:rsidRPr="00A544F4">
        <w:t>. at 7.</w:t>
      </w:r>
    </w:p>
  </w:footnote>
  <w:footnote w:id="42">
    <w:p w:rsidR="009E6C7E" w:rsidRPr="00A544F4" w:rsidP="00A544F4" w14:paraId="2663C766" w14:textId="512CC83F">
      <w:pPr>
        <w:pStyle w:val="FootnoteText"/>
      </w:pPr>
      <w:r w:rsidRPr="00A544F4">
        <w:rPr>
          <w:rStyle w:val="FootnoteReference"/>
        </w:rPr>
        <w:footnoteRef/>
      </w:r>
      <w:r w:rsidRPr="00A544F4">
        <w:t xml:space="preserve"> </w:t>
      </w:r>
      <w:r w:rsidRPr="00A544F4">
        <w:rPr>
          <w:i/>
        </w:rPr>
        <w:t>Id</w:t>
      </w:r>
      <w:r w:rsidRPr="00A544F4">
        <w:t>.</w:t>
      </w:r>
    </w:p>
  </w:footnote>
  <w:footnote w:id="43">
    <w:p w:rsidR="009E6C7E" w:rsidRPr="00A544F4" w:rsidP="00A544F4" w14:paraId="71668793" w14:textId="77777777">
      <w:pPr>
        <w:pStyle w:val="FootnoteText"/>
      </w:pPr>
      <w:r w:rsidRPr="00A544F4">
        <w:rPr>
          <w:rStyle w:val="FootnoteReference"/>
        </w:rPr>
        <w:footnoteRef/>
      </w:r>
      <w:r w:rsidRPr="00A544F4">
        <w:t xml:space="preserve"> Consolidated Petition at 3.</w:t>
      </w:r>
    </w:p>
  </w:footnote>
  <w:footnote w:id="44">
    <w:p w:rsidR="009E6C7E" w:rsidRPr="00A544F4" w:rsidP="00A544F4" w14:paraId="6BBA2B09" w14:textId="436AEE20">
      <w:pPr>
        <w:pStyle w:val="FootnoteText"/>
      </w:pPr>
      <w:r w:rsidRPr="00A544F4">
        <w:rPr>
          <w:rStyle w:val="FootnoteReference"/>
        </w:rPr>
        <w:footnoteRef/>
      </w:r>
      <w:r w:rsidRPr="00A544F4">
        <w:t xml:space="preserve"> </w:t>
      </w:r>
      <w:r w:rsidRPr="00A544F4">
        <w:rPr>
          <w:i/>
        </w:rPr>
        <w:t>Id</w:t>
      </w:r>
      <w:r w:rsidRPr="00A544F4">
        <w:t>.</w:t>
      </w:r>
    </w:p>
  </w:footnote>
  <w:footnote w:id="45">
    <w:p w:rsidR="009E6C7E" w:rsidRPr="00A544F4" w:rsidP="00A544F4" w14:paraId="47C974C7" w14:textId="052F0CF6">
      <w:pPr>
        <w:pStyle w:val="FootnoteText"/>
      </w:pPr>
      <w:r w:rsidRPr="00A544F4">
        <w:rPr>
          <w:rStyle w:val="FootnoteReference"/>
        </w:rPr>
        <w:footnoteRef/>
      </w:r>
      <w:r w:rsidRPr="00A544F4">
        <w:t xml:space="preserve"> </w:t>
      </w:r>
      <w:r w:rsidRPr="00A544F4">
        <w:rPr>
          <w:i/>
        </w:rPr>
        <w:t>Id</w:t>
      </w:r>
      <w:r w:rsidRPr="00A544F4">
        <w:t>.</w:t>
      </w:r>
    </w:p>
  </w:footnote>
  <w:footnote w:id="46">
    <w:p w:rsidR="009E6C7E" w:rsidRPr="00A544F4" w:rsidP="00A544F4" w14:paraId="595205AD" w14:textId="7FCD8BA0">
      <w:pPr>
        <w:pStyle w:val="FootnoteText"/>
      </w:pPr>
      <w:r w:rsidRPr="00A544F4">
        <w:rPr>
          <w:rStyle w:val="FootnoteReference"/>
        </w:rPr>
        <w:footnoteRef/>
      </w:r>
      <w:r w:rsidRPr="00A544F4">
        <w:t xml:space="preserve"> </w:t>
      </w:r>
      <w:r w:rsidRPr="00A544F4">
        <w:rPr>
          <w:i/>
        </w:rPr>
        <w:t>Id</w:t>
      </w:r>
      <w:r w:rsidRPr="00A544F4">
        <w:t>. at 5.</w:t>
      </w:r>
    </w:p>
  </w:footnote>
  <w:footnote w:id="47">
    <w:p w:rsidR="009E6C7E" w:rsidRPr="00A544F4" w:rsidP="00A544F4" w14:paraId="3AB093A4" w14:textId="41DEDAAD">
      <w:pPr>
        <w:pStyle w:val="FootnoteText"/>
      </w:pPr>
      <w:r w:rsidRPr="00A544F4">
        <w:rPr>
          <w:rStyle w:val="FootnoteReference"/>
        </w:rPr>
        <w:footnoteRef/>
      </w:r>
      <w:r w:rsidRPr="00A544F4">
        <w:t xml:space="preserve"> </w:t>
      </w:r>
      <w:r w:rsidRPr="00A544F4">
        <w:rPr>
          <w:i/>
        </w:rPr>
        <w:t>Id</w:t>
      </w:r>
      <w:r w:rsidRPr="00A544F4">
        <w:t>.</w:t>
      </w:r>
    </w:p>
  </w:footnote>
  <w:footnote w:id="48">
    <w:p w:rsidR="009E6C7E" w:rsidRPr="00A544F4" w:rsidP="00A544F4" w14:paraId="5FC2FD3F" w14:textId="6B45DF04">
      <w:pPr>
        <w:pStyle w:val="FootnoteText"/>
      </w:pPr>
      <w:r w:rsidRPr="00A544F4">
        <w:rPr>
          <w:rStyle w:val="FootnoteReference"/>
        </w:rPr>
        <w:footnoteRef/>
      </w:r>
      <w:r w:rsidRPr="00A544F4">
        <w:t xml:space="preserve"> </w:t>
      </w:r>
      <w:r w:rsidRPr="00A544F4">
        <w:rPr>
          <w:i/>
        </w:rPr>
        <w:t>Id</w:t>
      </w:r>
      <w:r w:rsidRPr="00A544F4">
        <w:t>.</w:t>
      </w:r>
    </w:p>
  </w:footnote>
  <w:footnote w:id="49">
    <w:p w:rsidR="009E6C7E" w:rsidRPr="00A544F4" w:rsidP="00A544F4" w14:paraId="5C685E46" w14:textId="2FF0E568">
      <w:pPr>
        <w:pStyle w:val="FootnoteText"/>
      </w:pPr>
      <w:r w:rsidRPr="00A544F4">
        <w:rPr>
          <w:rStyle w:val="FootnoteReference"/>
        </w:rPr>
        <w:footnoteRef/>
      </w:r>
      <w:r w:rsidRPr="00A544F4">
        <w:t xml:space="preserve"> </w:t>
      </w:r>
      <w:r w:rsidRPr="00A544F4">
        <w:rPr>
          <w:i/>
        </w:rPr>
        <w:t>Id</w:t>
      </w:r>
      <w:r w:rsidRPr="00A544F4">
        <w:t>.</w:t>
      </w:r>
    </w:p>
  </w:footnote>
  <w:footnote w:id="50">
    <w:p w:rsidR="009E6C7E" w:rsidRPr="00A544F4" w:rsidP="00A544F4" w14:paraId="791A1B27" w14:textId="49993164">
      <w:pPr>
        <w:pStyle w:val="FootnoteText"/>
      </w:pPr>
      <w:r w:rsidRPr="00A544F4">
        <w:rPr>
          <w:rStyle w:val="FootnoteReference"/>
        </w:rPr>
        <w:footnoteRef/>
      </w:r>
      <w:r w:rsidRPr="00A544F4">
        <w:t xml:space="preserve"> </w:t>
      </w:r>
      <w:r w:rsidRPr="00AE30BD" w:rsidR="009A1880">
        <w:rPr>
          <w:i/>
        </w:rPr>
        <w:t>Id</w:t>
      </w:r>
      <w:r w:rsidR="009A1880">
        <w:t xml:space="preserve">.  </w:t>
      </w:r>
      <w:r w:rsidRPr="00A544F4">
        <w:rPr>
          <w:i/>
        </w:rPr>
        <w:t xml:space="preserve">See </w:t>
      </w:r>
      <w:r w:rsidRPr="00A544F4" w:rsidR="000F27D4">
        <w:rPr>
          <w:i/>
        </w:rPr>
        <w:t>Rural Broadband Experiments Order</w:t>
      </w:r>
      <w:r w:rsidRPr="00A544F4">
        <w:t xml:space="preserve">, 29 FCC Rcd at 8795-97, paras. 76-85; </w:t>
      </w:r>
      <w:r w:rsidRPr="00A544F4">
        <w:rPr>
          <w:i/>
        </w:rPr>
        <w:t>Wireline Competition Bureau Provides Guidance to Carriers Receiving Connect America Fund Support Regarding Their Broadband Location Reporting Obligations</w:t>
      </w:r>
      <w:r w:rsidRPr="00A544F4">
        <w:t>, WC Docket No. 10-90, Public Notice, 31 FCC Rcd 12900, 12908 (WCB 2016) (aligning, for “administrative efficiency,” the timing of RBE support recipients annual reports with annual reporting requirements for Phase II recipients of model-based support and rate-of-return carriers and directing RBE support recipients to submit their three- and five-year milestone reporting and certifications to the HUBB).</w:t>
      </w:r>
    </w:p>
  </w:footnote>
  <w:footnote w:id="51">
    <w:p w:rsidR="009E6C7E" w:rsidRPr="00A544F4" w:rsidP="00A544F4" w14:paraId="04ED9A1C" w14:textId="29DA0C78">
      <w:pPr>
        <w:pStyle w:val="FootnoteText"/>
      </w:pPr>
      <w:r w:rsidRPr="00A544F4">
        <w:rPr>
          <w:rStyle w:val="FootnoteReference"/>
        </w:rPr>
        <w:footnoteRef/>
      </w:r>
      <w:r w:rsidRPr="00A544F4">
        <w:t xml:space="preserve"> </w:t>
      </w:r>
      <w:r w:rsidRPr="00A544F4">
        <w:rPr>
          <w:i/>
        </w:rPr>
        <w:t xml:space="preserve">See </w:t>
      </w:r>
      <w:r w:rsidRPr="00A544F4">
        <w:t>Consolidated Supplement.</w:t>
      </w:r>
    </w:p>
  </w:footnote>
  <w:footnote w:id="52">
    <w:p w:rsidR="009E6C7E" w:rsidRPr="00A544F4" w:rsidP="00A544F4" w14:paraId="381979D5" w14:textId="77777777">
      <w:pPr>
        <w:pStyle w:val="FootnoteText"/>
      </w:pPr>
      <w:r w:rsidRPr="00A544F4">
        <w:rPr>
          <w:rStyle w:val="FootnoteReference"/>
        </w:rPr>
        <w:footnoteRef/>
      </w:r>
      <w:r w:rsidRPr="00A544F4">
        <w:t xml:space="preserve"> 47 CFR § 1.3 (“</w:t>
      </w:r>
      <w:r w:rsidRPr="00A544F4">
        <w:rPr>
          <w:snapToGrid w:val="0"/>
          <w:kern w:val="28"/>
        </w:rPr>
        <w:t xml:space="preserve">Any provision of the rules may be waived by the </w:t>
      </w:r>
      <w:hyperlink r:id="rId2" w:tooltip="Commission" w:history="1">
        <w:r w:rsidRPr="00A544F4">
          <w:rPr>
            <w:snapToGrid w:val="0"/>
            <w:kern w:val="28"/>
          </w:rPr>
          <w:t>Commission</w:t>
        </w:r>
      </w:hyperlink>
      <w:r w:rsidRPr="00A544F4">
        <w:rPr>
          <w:snapToGrid w:val="0"/>
          <w:kern w:val="28"/>
        </w:rPr>
        <w:t xml:space="preserve"> on its own motion or on petition if good cause therefor is shown.”).</w:t>
      </w:r>
    </w:p>
  </w:footnote>
  <w:footnote w:id="53">
    <w:p w:rsidR="009E6C7E" w:rsidRPr="00A544F4" w:rsidP="00A544F4" w14:paraId="4463C336" w14:textId="77777777">
      <w:pPr>
        <w:pStyle w:val="FootnoteText"/>
      </w:pPr>
      <w:r w:rsidRPr="00A544F4">
        <w:rPr>
          <w:rStyle w:val="FootnoteReference"/>
        </w:rPr>
        <w:footnoteRef/>
      </w:r>
      <w:r w:rsidRPr="00A544F4">
        <w:t xml:space="preserve"> </w:t>
      </w:r>
      <w:r w:rsidRPr="00A544F4">
        <w:rPr>
          <w:i/>
        </w:rPr>
        <w:t>Ne. Cellular Tel. Co. v. FCC</w:t>
      </w:r>
      <w:r w:rsidRPr="00A544F4">
        <w:t>, 897 F.2d 1164, 1166 (D.C. Cir. 1990).</w:t>
      </w:r>
    </w:p>
  </w:footnote>
  <w:footnote w:id="54">
    <w:p w:rsidR="009E6C7E" w:rsidRPr="00A544F4" w:rsidP="00A544F4" w14:paraId="4244B87F" w14:textId="77777777">
      <w:pPr>
        <w:pStyle w:val="FootnoteText"/>
      </w:pPr>
      <w:r w:rsidRPr="00A544F4">
        <w:rPr>
          <w:rStyle w:val="FootnoteReference"/>
        </w:rPr>
        <w:footnoteRef/>
      </w:r>
      <w:r w:rsidRPr="00A544F4">
        <w:t xml:space="preserve"> </w:t>
      </w:r>
      <w:r w:rsidRPr="00A544F4">
        <w:rPr>
          <w:i/>
        </w:rPr>
        <w:t>WAIT Radio v. FCC</w:t>
      </w:r>
      <w:r w:rsidRPr="00A544F4">
        <w:t>, 418 F.2d 1153, 1159 (D.C. Cir. 1969).</w:t>
      </w:r>
    </w:p>
  </w:footnote>
  <w:footnote w:id="55">
    <w:p w:rsidR="009E6C7E" w:rsidRPr="00A544F4" w:rsidP="00A544F4" w14:paraId="6166BDB8" w14:textId="77777777">
      <w:pPr>
        <w:pStyle w:val="FootnoteText"/>
      </w:pPr>
      <w:r w:rsidRPr="00A544F4">
        <w:rPr>
          <w:rStyle w:val="FootnoteReference"/>
        </w:rPr>
        <w:footnoteRef/>
      </w:r>
      <w:r w:rsidRPr="00A544F4">
        <w:t xml:space="preserve"> </w:t>
      </w:r>
      <w:r w:rsidRPr="00A544F4">
        <w:rPr>
          <w:i/>
        </w:rPr>
        <w:t>Ne. Cellular Tel. Co.</w:t>
      </w:r>
      <w:r w:rsidRPr="00A544F4">
        <w:t>, 897 F.2d at 1166.</w:t>
      </w:r>
    </w:p>
  </w:footnote>
  <w:footnote w:id="56">
    <w:p w:rsidR="009E6C7E" w:rsidRPr="00A544F4" w:rsidP="00A544F4" w14:paraId="3D893707" w14:textId="77777777">
      <w:pPr>
        <w:pStyle w:val="FootnoteText"/>
      </w:pPr>
      <w:r w:rsidRPr="00A544F4">
        <w:rPr>
          <w:rStyle w:val="FootnoteReference"/>
        </w:rPr>
        <w:footnoteRef/>
      </w:r>
      <w:r w:rsidRPr="00A544F4">
        <w:t xml:space="preserve"> </w:t>
      </w:r>
      <w:r w:rsidRPr="00A544F4">
        <w:rPr>
          <w:i/>
        </w:rPr>
        <w:t xml:space="preserve">See, e.g., </w:t>
      </w:r>
      <w:r w:rsidRPr="00A544F4">
        <w:rPr>
          <w:i/>
          <w:color w:val="000000"/>
        </w:rPr>
        <w:t xml:space="preserve">Request for Permanent Renewal of, and Changes to Conditions on, Waiver Granted to </w:t>
      </w:r>
      <w:r w:rsidRPr="00A544F4">
        <w:rPr>
          <w:i/>
          <w:color w:val="000000"/>
        </w:rPr>
        <w:t>SafeView</w:t>
      </w:r>
      <w:r w:rsidRPr="00A544F4">
        <w:rPr>
          <w:i/>
          <w:color w:val="000000"/>
        </w:rPr>
        <w:t>, Inc.</w:t>
      </w:r>
      <w:r w:rsidRPr="00A544F4">
        <w:rPr>
          <w:color w:val="000000"/>
        </w:rPr>
        <w:t xml:space="preserve">, Order, 26 FCC Rcd 10250, 10252 (OET 2011) (citing </w:t>
      </w:r>
      <w:r w:rsidRPr="00A544F4">
        <w:rPr>
          <w:i/>
          <w:color w:val="000000"/>
        </w:rPr>
        <w:t>Ne. Cellular Tel. Co.</w:t>
      </w:r>
      <w:r w:rsidRPr="00A544F4">
        <w:rPr>
          <w:color w:val="000000"/>
        </w:rPr>
        <w:t xml:space="preserve">, 897 F.2d at 1166); </w:t>
      </w:r>
      <w:r w:rsidRPr="00A544F4">
        <w:rPr>
          <w:i/>
          <w:color w:val="000000"/>
        </w:rPr>
        <w:t>see also</w:t>
      </w:r>
      <w:r w:rsidRPr="00A544F4">
        <w:rPr>
          <w:i/>
        </w:rPr>
        <w:t xml:space="preserve"> WAIT Radio</w:t>
      </w:r>
      <w:r w:rsidRPr="00A544F4">
        <w:t xml:space="preserve">, 418 F.2d at 1155, 1157.  </w:t>
      </w:r>
    </w:p>
  </w:footnote>
  <w:footnote w:id="57">
    <w:p w:rsidR="0000673F" w:rsidRPr="00A544F4" w:rsidP="00A544F4" w14:paraId="4476AA7A" w14:textId="67E71E19">
      <w:pPr>
        <w:pStyle w:val="CommentText"/>
        <w:spacing w:after="120"/>
      </w:pPr>
      <w:r w:rsidRPr="00A544F4">
        <w:rPr>
          <w:rStyle w:val="FootnoteReference"/>
        </w:rPr>
        <w:footnoteRef/>
      </w:r>
      <w:r w:rsidRPr="00A544F4">
        <w:t xml:space="preserve"> </w:t>
      </w:r>
      <w:r w:rsidRPr="00A544F4">
        <w:rPr>
          <w:i/>
        </w:rPr>
        <w:t>See Phase II Auction Order</w:t>
      </w:r>
      <w:r w:rsidRPr="00A544F4">
        <w:t xml:space="preserve">, 31 FCC Rcd at 5992, para. 124 (recognizing that some defaulting carriers may continue to operate partially-built networks and that the Commission will only draw on the letter of credit for the entire amount disbursed if funding recipient fails to repay the support associated with the compliance gap, since, under those circumstances, “the risk that the entity will be unable to continue to serve its customers or may go into bankruptcy is more likely, and thus it is necessary to ensure that the Commission can recover the entire amount of support that it has disbursed.”); </w:t>
      </w:r>
      <w:r w:rsidRPr="00A544F4">
        <w:rPr>
          <w:i/>
        </w:rPr>
        <w:t>see also id</w:t>
      </w:r>
      <w:r w:rsidRPr="00A544F4">
        <w:t>. at 6018, para. 198 (emphasizing that where an ETC is unable to repay the support associated within a compliance gap, it is “also unlikely to be able to meet its obligations to use the support to offer service meeting the Commission's requirements,</w:t>
      </w:r>
      <w:r w:rsidRPr="00A544F4" w:rsidR="006708D5">
        <w:t>” and accordingly, “</w:t>
      </w:r>
      <w:r w:rsidRPr="00A544F4">
        <w:t>recovering 100 percent of the support will allow the Commission to re-award the support through an alternative mechanism to an ETC that will be able to meet its obligations</w:t>
      </w:r>
      <w:r w:rsidRPr="00A544F4" w:rsidR="006708D5">
        <w:t>.”).</w:t>
      </w:r>
    </w:p>
  </w:footnote>
  <w:footnote w:id="58">
    <w:p w:rsidR="009E6C7E" w:rsidRPr="00A544F4" w:rsidP="00A544F4" w14:paraId="56990558" w14:textId="70326D1B">
      <w:pPr>
        <w:pStyle w:val="FootnoteText"/>
      </w:pPr>
      <w:r w:rsidRPr="00A544F4">
        <w:rPr>
          <w:rStyle w:val="FootnoteReference"/>
        </w:rPr>
        <w:footnoteRef/>
      </w:r>
      <w:r w:rsidRPr="00A544F4">
        <w:t xml:space="preserve"> </w:t>
      </w:r>
      <w:r w:rsidRPr="00A544F4">
        <w:rPr>
          <w:i/>
        </w:rPr>
        <w:t>See supra</w:t>
      </w:r>
      <w:r w:rsidRPr="00A544F4">
        <w:t xml:space="preserve"> para</w:t>
      </w:r>
      <w:r w:rsidRPr="00A544F4" w:rsidR="00433831">
        <w:t>s.</w:t>
      </w:r>
      <w:r w:rsidRPr="00A544F4">
        <w:t xml:space="preserve"> 10-12.</w:t>
      </w:r>
    </w:p>
  </w:footnote>
  <w:footnote w:id="59">
    <w:p w:rsidR="009E6C7E" w:rsidRPr="00A544F4" w:rsidP="00A544F4" w14:paraId="5469E4D1" w14:textId="2EEA51A2">
      <w:pPr>
        <w:pStyle w:val="FootnoteText"/>
      </w:pPr>
      <w:r w:rsidRPr="00A544F4">
        <w:rPr>
          <w:rStyle w:val="FootnoteReference"/>
        </w:rPr>
        <w:footnoteRef/>
      </w:r>
      <w:r w:rsidRPr="00A544F4">
        <w:t xml:space="preserve"> Geolocation information for locations reported into the HUBB toward satisfaction of defined deployment obligations is available on the CAF Broadband Map, https://data.usac.org/publicreports/caf-map/.  Such locations a</w:t>
      </w:r>
      <w:r w:rsidRPr="00A544F4" w:rsidR="00431930">
        <w:t xml:space="preserve">re </w:t>
      </w:r>
      <w:r w:rsidRPr="00A544F4">
        <w:t xml:space="preserve">displayed on a publicly accessible map that allows for optional overlays, including eligible areas.  </w:t>
      </w:r>
    </w:p>
  </w:footnote>
  <w:footnote w:id="60">
    <w:p w:rsidR="009E6C7E" w:rsidRPr="00A544F4" w:rsidP="00A544F4" w14:paraId="5F8AE09C" w14:textId="64DF82DB">
      <w:pPr>
        <w:pStyle w:val="FootnoteText"/>
      </w:pPr>
      <w:r w:rsidRPr="00A544F4">
        <w:rPr>
          <w:rStyle w:val="FootnoteReference"/>
        </w:rPr>
        <w:footnoteRef/>
      </w:r>
      <w:r w:rsidRPr="00A544F4">
        <w:t xml:space="preserve"> Universal Service Administrative Company, Geolocation Methods: A Guide to Successfully Collecting Broadband Deployment Data, </w:t>
      </w:r>
      <w:hyperlink r:id="rId3" w:history="1">
        <w:r w:rsidRPr="00A544F4">
          <w:rPr>
            <w:rStyle w:val="Hyperlink"/>
            <w:bCs/>
          </w:rPr>
          <w:t>https://www.usac.org/_res/documents/hc/pdf/tools/HUBBGeolocationMethods.pdf</w:t>
        </w:r>
      </w:hyperlink>
      <w:r w:rsidRPr="00A544F4">
        <w:rPr>
          <w:bCs/>
          <w:color w:val="000000"/>
        </w:rPr>
        <w:t xml:space="preserve"> (</w:t>
      </w:r>
      <w:r w:rsidRPr="00A544F4">
        <w:t xml:space="preserve">for carriers reporting in the HUBB, USAC has published guidance on three generally accepted methods of geolocation (1) GPS in the field, (2) desktop geolocation using web-based maps and imagery, and (3) automated address geocoding (frequently reliant on third-party address data). </w:t>
      </w:r>
    </w:p>
  </w:footnote>
  <w:footnote w:id="61">
    <w:p w:rsidR="009E6C7E" w:rsidRPr="00A544F4" w:rsidP="00A544F4" w14:paraId="630571F5" w14:textId="119A2F1E">
      <w:pPr>
        <w:pStyle w:val="FootnoteText"/>
      </w:pPr>
      <w:r w:rsidRPr="00A544F4">
        <w:rPr>
          <w:rStyle w:val="FootnoteReference"/>
        </w:rPr>
        <w:footnoteRef/>
      </w:r>
      <w:r w:rsidRPr="00A544F4">
        <w:t xml:space="preserve"> </w:t>
      </w:r>
      <w:r w:rsidRPr="00A544F4">
        <w:rPr>
          <w:i/>
        </w:rPr>
        <w:t>See, e.g., Phase II Auction Reconsideration Order</w:t>
      </w:r>
      <w:r w:rsidRPr="00A544F4">
        <w:t>, 33 FCC Rcd at 1393, para. 35 (explaining that Phase II Auction participants would be hard pressed to demonstrate good cause for waiver if they did not plan on serving 100</w:t>
      </w:r>
      <w:r w:rsidRPr="00A544F4" w:rsidR="00873B00">
        <w:t>%</w:t>
      </w:r>
      <w:r w:rsidRPr="00A544F4">
        <w:t xml:space="preserve"> of their locations at the start of the program (as adjusted, as warranted, through the Commission’s adjustment process)); </w:t>
      </w:r>
      <w:r w:rsidRPr="00A544F4">
        <w:rPr>
          <w:i/>
        </w:rPr>
        <w:t>Phase II Auction Order</w:t>
      </w:r>
      <w:r w:rsidRPr="00A544F4">
        <w:t>, 31 FCC Rcd at 5966, para. 47 (acknowledging that the risk of noncompliance is a factor in the bidding process but emphasizing that recipients of support awarded through a competitive bidding process generally have control over project areas and size and bid amounts).</w:t>
      </w:r>
    </w:p>
  </w:footnote>
  <w:footnote w:id="62">
    <w:p w:rsidR="009E6C7E" w:rsidRPr="00A544F4" w:rsidP="00A544F4" w14:paraId="4221B6D7" w14:textId="1825967F">
      <w:pPr>
        <w:pStyle w:val="FootnoteText"/>
      </w:pPr>
      <w:r w:rsidRPr="00A544F4">
        <w:rPr>
          <w:rStyle w:val="FootnoteReference"/>
        </w:rPr>
        <w:footnoteRef/>
      </w:r>
      <w:r w:rsidRPr="00A544F4">
        <w:t xml:space="preserve"> Generally, the Commission has indicated that this time frame falls at the beginning of the support term.  </w:t>
      </w:r>
      <w:r w:rsidRPr="00A544F4">
        <w:rPr>
          <w:i/>
        </w:rPr>
        <w:t>See December 2014 Connect America Order</w:t>
      </w:r>
      <w:r w:rsidRPr="00A544F4">
        <w:t xml:space="preserve">, 29 FCC Rcd at 15659, para. 38, n.88; </w:t>
      </w:r>
      <w:r w:rsidRPr="00A544F4">
        <w:rPr>
          <w:bCs/>
          <w:i/>
          <w:color w:val="000000"/>
        </w:rPr>
        <w:t>Phase II Auction Reconsideration Order</w:t>
      </w:r>
      <w:r w:rsidRPr="00A544F4">
        <w:t xml:space="preserve">, 33 FCC Rcd at </w:t>
      </w:r>
      <w:r w:rsidRPr="00A544F4">
        <w:rPr>
          <w:bCs/>
          <w:color w:val="000000"/>
        </w:rPr>
        <w:t>1389-92, paras. 23-28.</w:t>
      </w:r>
    </w:p>
  </w:footnote>
  <w:footnote w:id="63">
    <w:p w:rsidR="009E6C7E" w:rsidRPr="00A544F4" w:rsidP="00A544F4" w14:paraId="4D4E2C4D" w14:textId="2C69B9B5">
      <w:pPr>
        <w:pStyle w:val="FootnoteText"/>
      </w:pPr>
      <w:r w:rsidRPr="00A544F4">
        <w:rPr>
          <w:rStyle w:val="FootnoteReference"/>
        </w:rPr>
        <w:footnoteRef/>
      </w:r>
      <w:r w:rsidRPr="00A544F4">
        <w:t xml:space="preserve"> </w:t>
      </w:r>
      <w:r w:rsidRPr="00A544F4">
        <w:rPr>
          <w:i/>
        </w:rPr>
        <w:t>See supra</w:t>
      </w:r>
      <w:r w:rsidRPr="00A544F4">
        <w:t xml:space="preserve"> para</w:t>
      </w:r>
      <w:r w:rsidRPr="00A544F4" w:rsidR="00BF3E52">
        <w:t>s.</w:t>
      </w:r>
      <w:r w:rsidRPr="00A544F4">
        <w:t xml:space="preserve"> 4-6.</w:t>
      </w:r>
    </w:p>
  </w:footnote>
  <w:footnote w:id="64">
    <w:p w:rsidR="009E6C7E" w:rsidRPr="00A544F4" w:rsidP="00A544F4" w14:paraId="42FFD851" w14:textId="4847BFC8">
      <w:pPr>
        <w:pStyle w:val="FootnoteText"/>
      </w:pPr>
      <w:r w:rsidRPr="00A544F4">
        <w:rPr>
          <w:rStyle w:val="FootnoteReference"/>
        </w:rPr>
        <w:footnoteRef/>
      </w:r>
      <w:r w:rsidRPr="00A544F4">
        <w:t xml:space="preserve"> </w:t>
      </w:r>
      <w:r w:rsidRPr="00A544F4" w:rsidR="000F27D4">
        <w:rPr>
          <w:i/>
        </w:rPr>
        <w:t>Rural Broadband Experiments Order</w:t>
      </w:r>
      <w:r w:rsidRPr="00A544F4">
        <w:t>, 29 FCC Rcd at 8799-800, paras. 92-93.</w:t>
      </w:r>
    </w:p>
  </w:footnote>
  <w:footnote w:id="65">
    <w:p w:rsidR="009E6C7E" w:rsidRPr="00A544F4" w:rsidP="00A544F4" w14:paraId="162605D8" w14:textId="5E5D31E6">
      <w:pPr>
        <w:pStyle w:val="FootnoteText"/>
      </w:pPr>
      <w:r w:rsidRPr="00A544F4">
        <w:rPr>
          <w:rStyle w:val="FootnoteReference"/>
        </w:rPr>
        <w:footnoteRef/>
      </w:r>
      <w:r w:rsidRPr="00A544F4">
        <w:t xml:space="preserve"> </w:t>
      </w:r>
      <w:r w:rsidRPr="00A544F4">
        <w:rPr>
          <w:i/>
        </w:rPr>
        <w:t>Cf. Phase II Auction Order</w:t>
      </w:r>
      <w:r w:rsidRPr="00A544F4">
        <w:t>, 31 FCC Rcd at 5992, para. 124</w:t>
      </w:r>
      <w:r w:rsidRPr="00A544F4" w:rsidR="005E1518">
        <w:t>.</w:t>
      </w:r>
    </w:p>
  </w:footnote>
  <w:footnote w:id="66">
    <w:p w:rsidR="009E6C7E" w:rsidRPr="00A544F4" w:rsidP="00A544F4" w14:paraId="7BD23BAF" w14:textId="0184CB26">
      <w:pPr>
        <w:pStyle w:val="FootnoteText"/>
      </w:pPr>
      <w:r w:rsidRPr="00A544F4">
        <w:rPr>
          <w:rStyle w:val="FootnoteReference"/>
        </w:rPr>
        <w:footnoteRef/>
      </w:r>
      <w:r w:rsidRPr="00A544F4">
        <w:t xml:space="preserve"> </w:t>
      </w:r>
      <w:r w:rsidRPr="00A544F4">
        <w:rPr>
          <w:i/>
        </w:rPr>
        <w:t xml:space="preserve">Phase II Auction Reconsideration Order, </w:t>
      </w:r>
      <w:r w:rsidRPr="00A544F4">
        <w:t>33 FCC Rcd at 1389, para. 24, n.62.</w:t>
      </w:r>
    </w:p>
  </w:footnote>
  <w:footnote w:id="67">
    <w:p w:rsidR="009E6C7E" w:rsidRPr="00A544F4" w:rsidP="00A544F4" w14:paraId="4065C225" w14:textId="34DA55BC">
      <w:pPr>
        <w:pStyle w:val="FootnoteText"/>
      </w:pPr>
      <w:r w:rsidRPr="00A544F4">
        <w:rPr>
          <w:rStyle w:val="FootnoteReference"/>
        </w:rPr>
        <w:footnoteRef/>
      </w:r>
      <w:r w:rsidRPr="00A544F4">
        <w:t xml:space="preserve"> </w:t>
      </w:r>
      <w:r w:rsidRPr="00A544F4">
        <w:rPr>
          <w:i/>
          <w:iCs/>
          <w:color w:val="000000"/>
        </w:rPr>
        <w:t>December 2014 Connect America Order</w:t>
      </w:r>
      <w:r w:rsidRPr="00A544F4">
        <w:rPr>
          <w:color w:val="000000"/>
        </w:rPr>
        <w:t xml:space="preserve">, 29 FCC Rcd at 15659, para. 38, n.88; </w:t>
      </w:r>
      <w:r w:rsidRPr="00A544F4">
        <w:rPr>
          <w:i/>
          <w:color w:val="000000"/>
        </w:rPr>
        <w:t>Phase II Auction Reconsideration Order</w:t>
      </w:r>
      <w:r w:rsidRPr="00A544F4">
        <w:rPr>
          <w:color w:val="000000"/>
        </w:rPr>
        <w:t xml:space="preserve">, 33 FCC Rcd at </w:t>
      </w:r>
      <w:r w:rsidRPr="00A544F4">
        <w:t>1389, para. 24, n.62.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C7E" w:rsidP="00906FEF" w14:paraId="5DF954FA" w14:textId="65BF16B8">
    <w:pPr>
      <w:pStyle w:val="Header"/>
      <w:rPr>
        <w:b w:val="0"/>
      </w:rPr>
    </w:pPr>
    <w:r>
      <w:tab/>
      <w:t>Federal Communications Commission</w:t>
    </w:r>
    <w:r>
      <w:tab/>
      <w:t>DA 19-</w:t>
    </w:r>
    <w:r w:rsidR="005C6652">
      <w:t>1145</w:t>
    </w:r>
  </w:p>
  <w:p w:rsidR="009E6C7E" w:rsidRPr="00E86A51" w:rsidP="00E86A51" w14:paraId="00A34B91" w14:textId="1D27614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C7E" w:rsidP="00906FEF" w14:paraId="46D7F697" w14:textId="2AB24AE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5C6652">
      <w:rPr>
        <w:spacing w:val="-2"/>
      </w:rPr>
      <w:t>1145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EE508A"/>
    <w:multiLevelType w:val="hybridMultilevel"/>
    <w:tmpl w:val="47DAFE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7"/>
    <w:lvlOverride w:ilvl="0">
      <w:startOverride w:val="1"/>
    </w:lvlOverride>
  </w:num>
  <w:num w:numId="8">
    <w:abstractNumId w:val="1"/>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6"/>
  </w:num>
  <w:num w:numId="18">
    <w:abstractNumId w:val="4"/>
  </w:num>
  <w:num w:numId="19">
    <w:abstractNumId w:val="7"/>
  </w:num>
  <w:num w:numId="20">
    <w:abstractNumId w:val="7"/>
  </w:num>
  <w:num w:numId="21">
    <w:abstractNumId w:val="7"/>
  </w:num>
  <w:num w:numId="22">
    <w:abstractNumId w:val="7"/>
    <w:lvlOverride w:ilvl="0">
      <w:startOverride w:val="1"/>
    </w:lvlOverride>
  </w:num>
  <w:num w:numId="23">
    <w:abstractNumId w:val="7"/>
    <w:lvlOverride w:ilvl="0">
      <w:startOverride w:val="1"/>
    </w:lvlOverride>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4"/>
  </w:num>
  <w:num w:numId="44">
    <w:abstractNumId w:val="7"/>
  </w:num>
  <w:num w:numId="45">
    <w:abstractNumId w:val="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43"/>
    <w:rsid w:val="000015EF"/>
    <w:rsid w:val="00002E6D"/>
    <w:rsid w:val="000055D5"/>
    <w:rsid w:val="00006217"/>
    <w:rsid w:val="0000673F"/>
    <w:rsid w:val="00010241"/>
    <w:rsid w:val="000105F1"/>
    <w:rsid w:val="000115BD"/>
    <w:rsid w:val="00011B8F"/>
    <w:rsid w:val="000144DF"/>
    <w:rsid w:val="0001555B"/>
    <w:rsid w:val="000178F4"/>
    <w:rsid w:val="00022B30"/>
    <w:rsid w:val="000236B2"/>
    <w:rsid w:val="000237EC"/>
    <w:rsid w:val="000251BD"/>
    <w:rsid w:val="00055C09"/>
    <w:rsid w:val="00062CF6"/>
    <w:rsid w:val="000666D0"/>
    <w:rsid w:val="0007000E"/>
    <w:rsid w:val="00070437"/>
    <w:rsid w:val="000730B6"/>
    <w:rsid w:val="00073E04"/>
    <w:rsid w:val="00075AFE"/>
    <w:rsid w:val="000813B8"/>
    <w:rsid w:val="00085A5D"/>
    <w:rsid w:val="00086F29"/>
    <w:rsid w:val="00087B10"/>
    <w:rsid w:val="00087BFF"/>
    <w:rsid w:val="00093ECC"/>
    <w:rsid w:val="00094258"/>
    <w:rsid w:val="00094262"/>
    <w:rsid w:val="000A1AF1"/>
    <w:rsid w:val="000A3B84"/>
    <w:rsid w:val="000A4D3E"/>
    <w:rsid w:val="000B5143"/>
    <w:rsid w:val="000B6B95"/>
    <w:rsid w:val="000C043A"/>
    <w:rsid w:val="000C7865"/>
    <w:rsid w:val="000D0D1B"/>
    <w:rsid w:val="000D773E"/>
    <w:rsid w:val="000E07AF"/>
    <w:rsid w:val="000E1919"/>
    <w:rsid w:val="000E2B65"/>
    <w:rsid w:val="000E68A5"/>
    <w:rsid w:val="000E7904"/>
    <w:rsid w:val="000F0532"/>
    <w:rsid w:val="000F251C"/>
    <w:rsid w:val="000F27D4"/>
    <w:rsid w:val="000F5078"/>
    <w:rsid w:val="000F64DC"/>
    <w:rsid w:val="001030EB"/>
    <w:rsid w:val="00105786"/>
    <w:rsid w:val="00105B8B"/>
    <w:rsid w:val="001151BE"/>
    <w:rsid w:val="00115A14"/>
    <w:rsid w:val="00115CD3"/>
    <w:rsid w:val="00116BCC"/>
    <w:rsid w:val="001218E9"/>
    <w:rsid w:val="00127397"/>
    <w:rsid w:val="00130059"/>
    <w:rsid w:val="00131E3F"/>
    <w:rsid w:val="00142063"/>
    <w:rsid w:val="001445EE"/>
    <w:rsid w:val="00144CB4"/>
    <w:rsid w:val="0014740C"/>
    <w:rsid w:val="00154044"/>
    <w:rsid w:val="00154177"/>
    <w:rsid w:val="001547DB"/>
    <w:rsid w:val="00155861"/>
    <w:rsid w:val="0015721E"/>
    <w:rsid w:val="00160C90"/>
    <w:rsid w:val="001623C0"/>
    <w:rsid w:val="001656D7"/>
    <w:rsid w:val="0016595E"/>
    <w:rsid w:val="0017446E"/>
    <w:rsid w:val="00177EAB"/>
    <w:rsid w:val="00181934"/>
    <w:rsid w:val="001826FF"/>
    <w:rsid w:val="001929D8"/>
    <w:rsid w:val="001931B4"/>
    <w:rsid w:val="00195C92"/>
    <w:rsid w:val="00197905"/>
    <w:rsid w:val="001A44E7"/>
    <w:rsid w:val="001A4E69"/>
    <w:rsid w:val="001B5094"/>
    <w:rsid w:val="001C096D"/>
    <w:rsid w:val="001C2D18"/>
    <w:rsid w:val="001C5200"/>
    <w:rsid w:val="001C5FD1"/>
    <w:rsid w:val="001D3549"/>
    <w:rsid w:val="001D37D8"/>
    <w:rsid w:val="001D5496"/>
    <w:rsid w:val="001E1478"/>
    <w:rsid w:val="001E71CB"/>
    <w:rsid w:val="001E7B28"/>
    <w:rsid w:val="001E7CA9"/>
    <w:rsid w:val="001F64CD"/>
    <w:rsid w:val="001F765A"/>
    <w:rsid w:val="00201862"/>
    <w:rsid w:val="00202AB4"/>
    <w:rsid w:val="00215B9E"/>
    <w:rsid w:val="0021650A"/>
    <w:rsid w:val="00224841"/>
    <w:rsid w:val="00232188"/>
    <w:rsid w:val="002329C1"/>
    <w:rsid w:val="00232EC4"/>
    <w:rsid w:val="00234CA4"/>
    <w:rsid w:val="00236B19"/>
    <w:rsid w:val="0024394C"/>
    <w:rsid w:val="00243F94"/>
    <w:rsid w:val="00252F27"/>
    <w:rsid w:val="0025324F"/>
    <w:rsid w:val="002534A2"/>
    <w:rsid w:val="00255698"/>
    <w:rsid w:val="002624A3"/>
    <w:rsid w:val="00263B39"/>
    <w:rsid w:val="00263F01"/>
    <w:rsid w:val="00265A06"/>
    <w:rsid w:val="00271617"/>
    <w:rsid w:val="00274682"/>
    <w:rsid w:val="00275EBA"/>
    <w:rsid w:val="00281B4B"/>
    <w:rsid w:val="0028476A"/>
    <w:rsid w:val="00285BAE"/>
    <w:rsid w:val="00287DF8"/>
    <w:rsid w:val="00294220"/>
    <w:rsid w:val="0029570A"/>
    <w:rsid w:val="00295B29"/>
    <w:rsid w:val="002A5CD2"/>
    <w:rsid w:val="002B0043"/>
    <w:rsid w:val="002B028A"/>
    <w:rsid w:val="002B126B"/>
    <w:rsid w:val="002B78D8"/>
    <w:rsid w:val="002D0610"/>
    <w:rsid w:val="002D5949"/>
    <w:rsid w:val="002E1287"/>
    <w:rsid w:val="002E7B31"/>
    <w:rsid w:val="002F2F1B"/>
    <w:rsid w:val="002F62A0"/>
    <w:rsid w:val="00314F55"/>
    <w:rsid w:val="00316798"/>
    <w:rsid w:val="0032108E"/>
    <w:rsid w:val="00323E5B"/>
    <w:rsid w:val="003318AD"/>
    <w:rsid w:val="00334DE6"/>
    <w:rsid w:val="00351A23"/>
    <w:rsid w:val="00352E85"/>
    <w:rsid w:val="0035554C"/>
    <w:rsid w:val="00356CC2"/>
    <w:rsid w:val="00356FBD"/>
    <w:rsid w:val="00361C70"/>
    <w:rsid w:val="003652B5"/>
    <w:rsid w:val="00373FE6"/>
    <w:rsid w:val="00375697"/>
    <w:rsid w:val="00377853"/>
    <w:rsid w:val="00377BE2"/>
    <w:rsid w:val="003814C6"/>
    <w:rsid w:val="003842D1"/>
    <w:rsid w:val="00390761"/>
    <w:rsid w:val="003914E4"/>
    <w:rsid w:val="0039408C"/>
    <w:rsid w:val="003A0D7F"/>
    <w:rsid w:val="003A1C03"/>
    <w:rsid w:val="003A42A3"/>
    <w:rsid w:val="003A516A"/>
    <w:rsid w:val="003A5D7F"/>
    <w:rsid w:val="003B4084"/>
    <w:rsid w:val="003C0D75"/>
    <w:rsid w:val="003C1F43"/>
    <w:rsid w:val="003C43E0"/>
    <w:rsid w:val="003C7ACF"/>
    <w:rsid w:val="003D00B2"/>
    <w:rsid w:val="003D55FE"/>
    <w:rsid w:val="003E22DC"/>
    <w:rsid w:val="003E3EB8"/>
    <w:rsid w:val="003E638F"/>
    <w:rsid w:val="003E6B43"/>
    <w:rsid w:val="003E6F5B"/>
    <w:rsid w:val="003F1CCD"/>
    <w:rsid w:val="003F2E38"/>
    <w:rsid w:val="00400D92"/>
    <w:rsid w:val="00402CDC"/>
    <w:rsid w:val="00412CF4"/>
    <w:rsid w:val="00414A57"/>
    <w:rsid w:val="00414AC8"/>
    <w:rsid w:val="004238F3"/>
    <w:rsid w:val="00426E9E"/>
    <w:rsid w:val="00427B07"/>
    <w:rsid w:val="00431167"/>
    <w:rsid w:val="00431930"/>
    <w:rsid w:val="00432D51"/>
    <w:rsid w:val="00433831"/>
    <w:rsid w:val="004340F8"/>
    <w:rsid w:val="004367A2"/>
    <w:rsid w:val="00440EB5"/>
    <w:rsid w:val="00441388"/>
    <w:rsid w:val="00443C97"/>
    <w:rsid w:val="004518E2"/>
    <w:rsid w:val="00455976"/>
    <w:rsid w:val="0046241B"/>
    <w:rsid w:val="0046297E"/>
    <w:rsid w:val="004633BA"/>
    <w:rsid w:val="0046432C"/>
    <w:rsid w:val="0046693F"/>
    <w:rsid w:val="00467099"/>
    <w:rsid w:val="0047479C"/>
    <w:rsid w:val="00475C94"/>
    <w:rsid w:val="0047667E"/>
    <w:rsid w:val="00480DE2"/>
    <w:rsid w:val="00481086"/>
    <w:rsid w:val="004835DA"/>
    <w:rsid w:val="00484BE8"/>
    <w:rsid w:val="00485A53"/>
    <w:rsid w:val="004901EA"/>
    <w:rsid w:val="004A3E88"/>
    <w:rsid w:val="004A6F4A"/>
    <w:rsid w:val="004B07E0"/>
    <w:rsid w:val="004B2DBB"/>
    <w:rsid w:val="004B7E9E"/>
    <w:rsid w:val="004C0747"/>
    <w:rsid w:val="004C3245"/>
    <w:rsid w:val="004C4252"/>
    <w:rsid w:val="004C6650"/>
    <w:rsid w:val="004D0C7F"/>
    <w:rsid w:val="004D1965"/>
    <w:rsid w:val="004D3F0B"/>
    <w:rsid w:val="004F47FC"/>
    <w:rsid w:val="004F6877"/>
    <w:rsid w:val="00501187"/>
    <w:rsid w:val="00506BC9"/>
    <w:rsid w:val="0050776C"/>
    <w:rsid w:val="00511325"/>
    <w:rsid w:val="00511D64"/>
    <w:rsid w:val="00512AE9"/>
    <w:rsid w:val="005151F0"/>
    <w:rsid w:val="0052011D"/>
    <w:rsid w:val="00520949"/>
    <w:rsid w:val="00520EA2"/>
    <w:rsid w:val="0052332F"/>
    <w:rsid w:val="005251BB"/>
    <w:rsid w:val="00527301"/>
    <w:rsid w:val="005372F0"/>
    <w:rsid w:val="00542F44"/>
    <w:rsid w:val="00543C28"/>
    <w:rsid w:val="0054593D"/>
    <w:rsid w:val="00554635"/>
    <w:rsid w:val="0055647F"/>
    <w:rsid w:val="00556975"/>
    <w:rsid w:val="00557F5D"/>
    <w:rsid w:val="005621AE"/>
    <w:rsid w:val="005625E3"/>
    <w:rsid w:val="00563336"/>
    <w:rsid w:val="00563B9E"/>
    <w:rsid w:val="0056709C"/>
    <w:rsid w:val="005812C6"/>
    <w:rsid w:val="005821BE"/>
    <w:rsid w:val="00583BAB"/>
    <w:rsid w:val="00584943"/>
    <w:rsid w:val="0059363C"/>
    <w:rsid w:val="00594CE7"/>
    <w:rsid w:val="00595E90"/>
    <w:rsid w:val="00596999"/>
    <w:rsid w:val="005A1AF4"/>
    <w:rsid w:val="005A79D9"/>
    <w:rsid w:val="005B0B24"/>
    <w:rsid w:val="005B18B9"/>
    <w:rsid w:val="005B4A96"/>
    <w:rsid w:val="005B59AD"/>
    <w:rsid w:val="005B6725"/>
    <w:rsid w:val="005C1DB2"/>
    <w:rsid w:val="005C1F4C"/>
    <w:rsid w:val="005C3E0B"/>
    <w:rsid w:val="005C6652"/>
    <w:rsid w:val="005C713D"/>
    <w:rsid w:val="005C72F6"/>
    <w:rsid w:val="005C7AB6"/>
    <w:rsid w:val="005D42F2"/>
    <w:rsid w:val="005E1518"/>
    <w:rsid w:val="005E4C3A"/>
    <w:rsid w:val="005E5B05"/>
    <w:rsid w:val="005E7447"/>
    <w:rsid w:val="005E7F63"/>
    <w:rsid w:val="005F3B51"/>
    <w:rsid w:val="005F7B73"/>
    <w:rsid w:val="005F7E84"/>
    <w:rsid w:val="006010D7"/>
    <w:rsid w:val="00605C43"/>
    <w:rsid w:val="006178B1"/>
    <w:rsid w:val="00632FDC"/>
    <w:rsid w:val="00632FFB"/>
    <w:rsid w:val="00633289"/>
    <w:rsid w:val="0063574A"/>
    <w:rsid w:val="006363AC"/>
    <w:rsid w:val="00636FBA"/>
    <w:rsid w:val="0064135D"/>
    <w:rsid w:val="00644ACC"/>
    <w:rsid w:val="006477A3"/>
    <w:rsid w:val="00661651"/>
    <w:rsid w:val="00661BCF"/>
    <w:rsid w:val="006642C1"/>
    <w:rsid w:val="00664C63"/>
    <w:rsid w:val="006704A4"/>
    <w:rsid w:val="006708D5"/>
    <w:rsid w:val="006724EF"/>
    <w:rsid w:val="0067764D"/>
    <w:rsid w:val="00694F7A"/>
    <w:rsid w:val="006B666D"/>
    <w:rsid w:val="006C30B4"/>
    <w:rsid w:val="006C31C3"/>
    <w:rsid w:val="006D2934"/>
    <w:rsid w:val="006D4DC1"/>
    <w:rsid w:val="006E02F7"/>
    <w:rsid w:val="006E28BB"/>
    <w:rsid w:val="006E7C26"/>
    <w:rsid w:val="006F10CB"/>
    <w:rsid w:val="006F2356"/>
    <w:rsid w:val="007025DC"/>
    <w:rsid w:val="00702EC4"/>
    <w:rsid w:val="0070399E"/>
    <w:rsid w:val="007043EF"/>
    <w:rsid w:val="00707ADE"/>
    <w:rsid w:val="00710695"/>
    <w:rsid w:val="00711590"/>
    <w:rsid w:val="0071185D"/>
    <w:rsid w:val="00715217"/>
    <w:rsid w:val="00715EEC"/>
    <w:rsid w:val="007169BF"/>
    <w:rsid w:val="0071748E"/>
    <w:rsid w:val="00721EF7"/>
    <w:rsid w:val="007238AE"/>
    <w:rsid w:val="00724910"/>
    <w:rsid w:val="007269B1"/>
    <w:rsid w:val="007309A4"/>
    <w:rsid w:val="00731783"/>
    <w:rsid w:val="0073441F"/>
    <w:rsid w:val="00735243"/>
    <w:rsid w:val="0074471F"/>
    <w:rsid w:val="00752F39"/>
    <w:rsid w:val="00756472"/>
    <w:rsid w:val="007566A5"/>
    <w:rsid w:val="00756DA4"/>
    <w:rsid w:val="0075794C"/>
    <w:rsid w:val="00760868"/>
    <w:rsid w:val="00760BB5"/>
    <w:rsid w:val="0076569E"/>
    <w:rsid w:val="00766B94"/>
    <w:rsid w:val="00777CE3"/>
    <w:rsid w:val="0078596D"/>
    <w:rsid w:val="007911E5"/>
    <w:rsid w:val="007941AA"/>
    <w:rsid w:val="007A6B2B"/>
    <w:rsid w:val="007B0F0A"/>
    <w:rsid w:val="007C0EC9"/>
    <w:rsid w:val="007C12B1"/>
    <w:rsid w:val="007C2AC9"/>
    <w:rsid w:val="007C5F2D"/>
    <w:rsid w:val="007D0DC0"/>
    <w:rsid w:val="007D14FF"/>
    <w:rsid w:val="007D2203"/>
    <w:rsid w:val="007D4B53"/>
    <w:rsid w:val="007D56AA"/>
    <w:rsid w:val="007D603E"/>
    <w:rsid w:val="007D7438"/>
    <w:rsid w:val="007E0F22"/>
    <w:rsid w:val="007E208A"/>
    <w:rsid w:val="007E313F"/>
    <w:rsid w:val="007E7AEB"/>
    <w:rsid w:val="007F5B42"/>
    <w:rsid w:val="007F765D"/>
    <w:rsid w:val="00806AA3"/>
    <w:rsid w:val="008101CF"/>
    <w:rsid w:val="00810A26"/>
    <w:rsid w:val="008129B6"/>
    <w:rsid w:val="00815D18"/>
    <w:rsid w:val="00820770"/>
    <w:rsid w:val="00821583"/>
    <w:rsid w:val="00822365"/>
    <w:rsid w:val="00823A0A"/>
    <w:rsid w:val="00827697"/>
    <w:rsid w:val="00835113"/>
    <w:rsid w:val="00843079"/>
    <w:rsid w:val="00846227"/>
    <w:rsid w:val="008463A5"/>
    <w:rsid w:val="00846856"/>
    <w:rsid w:val="00847321"/>
    <w:rsid w:val="00847B0D"/>
    <w:rsid w:val="00864AEA"/>
    <w:rsid w:val="008661EE"/>
    <w:rsid w:val="008710F3"/>
    <w:rsid w:val="00873B00"/>
    <w:rsid w:val="008745BA"/>
    <w:rsid w:val="00876255"/>
    <w:rsid w:val="00880968"/>
    <w:rsid w:val="00881039"/>
    <w:rsid w:val="00882754"/>
    <w:rsid w:val="00883A73"/>
    <w:rsid w:val="008853BD"/>
    <w:rsid w:val="00886CDC"/>
    <w:rsid w:val="008902B1"/>
    <w:rsid w:val="00893761"/>
    <w:rsid w:val="00893D90"/>
    <w:rsid w:val="00893F40"/>
    <w:rsid w:val="0089414B"/>
    <w:rsid w:val="008956EA"/>
    <w:rsid w:val="008A2795"/>
    <w:rsid w:val="008A2A81"/>
    <w:rsid w:val="008A3386"/>
    <w:rsid w:val="008A59A5"/>
    <w:rsid w:val="008A6E2C"/>
    <w:rsid w:val="008B0DC4"/>
    <w:rsid w:val="008B34A6"/>
    <w:rsid w:val="008C0E52"/>
    <w:rsid w:val="008C198D"/>
    <w:rsid w:val="008C4E19"/>
    <w:rsid w:val="008D0BC8"/>
    <w:rsid w:val="008D13D6"/>
    <w:rsid w:val="008D31AC"/>
    <w:rsid w:val="008E1C3F"/>
    <w:rsid w:val="008F014E"/>
    <w:rsid w:val="008F01D8"/>
    <w:rsid w:val="008F040E"/>
    <w:rsid w:val="008F0EBC"/>
    <w:rsid w:val="008F20A5"/>
    <w:rsid w:val="008F34D0"/>
    <w:rsid w:val="00903553"/>
    <w:rsid w:val="00903CF5"/>
    <w:rsid w:val="00906FEF"/>
    <w:rsid w:val="009140DF"/>
    <w:rsid w:val="00914458"/>
    <w:rsid w:val="00916312"/>
    <w:rsid w:val="0091789A"/>
    <w:rsid w:val="00927C87"/>
    <w:rsid w:val="00927D07"/>
    <w:rsid w:val="0093014B"/>
    <w:rsid w:val="00930698"/>
    <w:rsid w:val="0093226F"/>
    <w:rsid w:val="00932280"/>
    <w:rsid w:val="00935CF5"/>
    <w:rsid w:val="00936A98"/>
    <w:rsid w:val="00946416"/>
    <w:rsid w:val="00953780"/>
    <w:rsid w:val="00953A83"/>
    <w:rsid w:val="00954771"/>
    <w:rsid w:val="00955526"/>
    <w:rsid w:val="00961847"/>
    <w:rsid w:val="00964053"/>
    <w:rsid w:val="00965264"/>
    <w:rsid w:val="009674AF"/>
    <w:rsid w:val="009726CD"/>
    <w:rsid w:val="00973ACF"/>
    <w:rsid w:val="00975FCD"/>
    <w:rsid w:val="0097731C"/>
    <w:rsid w:val="00977B1C"/>
    <w:rsid w:val="0098498D"/>
    <w:rsid w:val="009903B4"/>
    <w:rsid w:val="00994D8E"/>
    <w:rsid w:val="009956DB"/>
    <w:rsid w:val="009978FE"/>
    <w:rsid w:val="009A1880"/>
    <w:rsid w:val="009A3E40"/>
    <w:rsid w:val="009A7325"/>
    <w:rsid w:val="009A7D14"/>
    <w:rsid w:val="009A7EC9"/>
    <w:rsid w:val="009B085B"/>
    <w:rsid w:val="009B1710"/>
    <w:rsid w:val="009B423E"/>
    <w:rsid w:val="009B4350"/>
    <w:rsid w:val="009B5723"/>
    <w:rsid w:val="009C0A5C"/>
    <w:rsid w:val="009C1860"/>
    <w:rsid w:val="009C4B59"/>
    <w:rsid w:val="009C4C16"/>
    <w:rsid w:val="009D2152"/>
    <w:rsid w:val="009D532B"/>
    <w:rsid w:val="009D540D"/>
    <w:rsid w:val="009D6F8A"/>
    <w:rsid w:val="009E6C7E"/>
    <w:rsid w:val="009E7319"/>
    <w:rsid w:val="009F475F"/>
    <w:rsid w:val="009F5CE2"/>
    <w:rsid w:val="00A00731"/>
    <w:rsid w:val="00A03704"/>
    <w:rsid w:val="00A04CEB"/>
    <w:rsid w:val="00A25F39"/>
    <w:rsid w:val="00A3045A"/>
    <w:rsid w:val="00A33EE2"/>
    <w:rsid w:val="00A4313D"/>
    <w:rsid w:val="00A46EBB"/>
    <w:rsid w:val="00A52B7A"/>
    <w:rsid w:val="00A544F4"/>
    <w:rsid w:val="00A63FF2"/>
    <w:rsid w:val="00A642C6"/>
    <w:rsid w:val="00A66444"/>
    <w:rsid w:val="00A70332"/>
    <w:rsid w:val="00A7167F"/>
    <w:rsid w:val="00A71DB6"/>
    <w:rsid w:val="00A72717"/>
    <w:rsid w:val="00A72F26"/>
    <w:rsid w:val="00A760CE"/>
    <w:rsid w:val="00A83D5B"/>
    <w:rsid w:val="00A97DA4"/>
    <w:rsid w:val="00AA0AC8"/>
    <w:rsid w:val="00AA3090"/>
    <w:rsid w:val="00AA32F0"/>
    <w:rsid w:val="00AA4606"/>
    <w:rsid w:val="00AB105D"/>
    <w:rsid w:val="00AC12AE"/>
    <w:rsid w:val="00AC242D"/>
    <w:rsid w:val="00AD2BA6"/>
    <w:rsid w:val="00AD2CF3"/>
    <w:rsid w:val="00AD323B"/>
    <w:rsid w:val="00AD6235"/>
    <w:rsid w:val="00AE1410"/>
    <w:rsid w:val="00AE2CB7"/>
    <w:rsid w:val="00AE30BD"/>
    <w:rsid w:val="00AE4C8C"/>
    <w:rsid w:val="00AF1F13"/>
    <w:rsid w:val="00AF22EA"/>
    <w:rsid w:val="00AF2B9F"/>
    <w:rsid w:val="00AF74C2"/>
    <w:rsid w:val="00B0253E"/>
    <w:rsid w:val="00B05082"/>
    <w:rsid w:val="00B05EC7"/>
    <w:rsid w:val="00B11012"/>
    <w:rsid w:val="00B1779C"/>
    <w:rsid w:val="00B21592"/>
    <w:rsid w:val="00B2447B"/>
    <w:rsid w:val="00B251ED"/>
    <w:rsid w:val="00B254EE"/>
    <w:rsid w:val="00B27B94"/>
    <w:rsid w:val="00B36481"/>
    <w:rsid w:val="00B407D6"/>
    <w:rsid w:val="00B410E1"/>
    <w:rsid w:val="00B41392"/>
    <w:rsid w:val="00B43C86"/>
    <w:rsid w:val="00B44659"/>
    <w:rsid w:val="00B50578"/>
    <w:rsid w:val="00B508CE"/>
    <w:rsid w:val="00B55367"/>
    <w:rsid w:val="00B64FCD"/>
    <w:rsid w:val="00B826F2"/>
    <w:rsid w:val="00B84ED3"/>
    <w:rsid w:val="00B85321"/>
    <w:rsid w:val="00B90357"/>
    <w:rsid w:val="00B91C5F"/>
    <w:rsid w:val="00B97DD1"/>
    <w:rsid w:val="00BB4C84"/>
    <w:rsid w:val="00BB68AA"/>
    <w:rsid w:val="00BC14D7"/>
    <w:rsid w:val="00BF2C10"/>
    <w:rsid w:val="00BF3E52"/>
    <w:rsid w:val="00BF4B30"/>
    <w:rsid w:val="00C0382F"/>
    <w:rsid w:val="00C119E7"/>
    <w:rsid w:val="00C13FA0"/>
    <w:rsid w:val="00C1633D"/>
    <w:rsid w:val="00C22F08"/>
    <w:rsid w:val="00C34233"/>
    <w:rsid w:val="00C360E4"/>
    <w:rsid w:val="00C37BBA"/>
    <w:rsid w:val="00C431D4"/>
    <w:rsid w:val="00C443CF"/>
    <w:rsid w:val="00C4691E"/>
    <w:rsid w:val="00C46B8E"/>
    <w:rsid w:val="00C4749E"/>
    <w:rsid w:val="00C47A4F"/>
    <w:rsid w:val="00C507D1"/>
    <w:rsid w:val="00C515E9"/>
    <w:rsid w:val="00C51CE5"/>
    <w:rsid w:val="00C52FE5"/>
    <w:rsid w:val="00C5600B"/>
    <w:rsid w:val="00C575E6"/>
    <w:rsid w:val="00C76A46"/>
    <w:rsid w:val="00C82BF0"/>
    <w:rsid w:val="00C908A2"/>
    <w:rsid w:val="00C92D45"/>
    <w:rsid w:val="00C94A2A"/>
    <w:rsid w:val="00CA0AF7"/>
    <w:rsid w:val="00CA3621"/>
    <w:rsid w:val="00CA69F4"/>
    <w:rsid w:val="00CA6EE0"/>
    <w:rsid w:val="00CA7326"/>
    <w:rsid w:val="00CA7ECA"/>
    <w:rsid w:val="00CA7FAD"/>
    <w:rsid w:val="00CB50D0"/>
    <w:rsid w:val="00CC0385"/>
    <w:rsid w:val="00CC1BE9"/>
    <w:rsid w:val="00CC2BE9"/>
    <w:rsid w:val="00CC319A"/>
    <w:rsid w:val="00CC48BC"/>
    <w:rsid w:val="00CD3A9C"/>
    <w:rsid w:val="00CD6E10"/>
    <w:rsid w:val="00CE2E5E"/>
    <w:rsid w:val="00CE54A3"/>
    <w:rsid w:val="00CF0086"/>
    <w:rsid w:val="00CF1EC3"/>
    <w:rsid w:val="00CF6497"/>
    <w:rsid w:val="00D03F9D"/>
    <w:rsid w:val="00D06AE9"/>
    <w:rsid w:val="00D079B2"/>
    <w:rsid w:val="00D110CD"/>
    <w:rsid w:val="00D138A2"/>
    <w:rsid w:val="00D14B72"/>
    <w:rsid w:val="00D20764"/>
    <w:rsid w:val="00D2132B"/>
    <w:rsid w:val="00D23324"/>
    <w:rsid w:val="00D2390A"/>
    <w:rsid w:val="00D25424"/>
    <w:rsid w:val="00D25707"/>
    <w:rsid w:val="00D25B42"/>
    <w:rsid w:val="00D25C76"/>
    <w:rsid w:val="00D30436"/>
    <w:rsid w:val="00D30662"/>
    <w:rsid w:val="00D30BF2"/>
    <w:rsid w:val="00D34691"/>
    <w:rsid w:val="00D4416F"/>
    <w:rsid w:val="00D523F3"/>
    <w:rsid w:val="00D53D90"/>
    <w:rsid w:val="00D5419F"/>
    <w:rsid w:val="00D56D5F"/>
    <w:rsid w:val="00D60B7C"/>
    <w:rsid w:val="00D60D12"/>
    <w:rsid w:val="00D621D1"/>
    <w:rsid w:val="00D62A01"/>
    <w:rsid w:val="00D63B39"/>
    <w:rsid w:val="00D659E8"/>
    <w:rsid w:val="00D7688F"/>
    <w:rsid w:val="00D81EEC"/>
    <w:rsid w:val="00D971AD"/>
    <w:rsid w:val="00D974CF"/>
    <w:rsid w:val="00D97C96"/>
    <w:rsid w:val="00D97F5F"/>
    <w:rsid w:val="00DA414F"/>
    <w:rsid w:val="00DA714F"/>
    <w:rsid w:val="00DB0B3D"/>
    <w:rsid w:val="00DB1488"/>
    <w:rsid w:val="00DB5A8A"/>
    <w:rsid w:val="00DB7F27"/>
    <w:rsid w:val="00DC043F"/>
    <w:rsid w:val="00DC232F"/>
    <w:rsid w:val="00DC2E16"/>
    <w:rsid w:val="00DC4A6E"/>
    <w:rsid w:val="00DD363B"/>
    <w:rsid w:val="00DD3EF3"/>
    <w:rsid w:val="00DF6899"/>
    <w:rsid w:val="00E0637A"/>
    <w:rsid w:val="00E11A68"/>
    <w:rsid w:val="00E13AED"/>
    <w:rsid w:val="00E13CB4"/>
    <w:rsid w:val="00E21F70"/>
    <w:rsid w:val="00E269ED"/>
    <w:rsid w:val="00E27029"/>
    <w:rsid w:val="00E31D9C"/>
    <w:rsid w:val="00E33CBD"/>
    <w:rsid w:val="00E35BB3"/>
    <w:rsid w:val="00E35EA0"/>
    <w:rsid w:val="00E41EFA"/>
    <w:rsid w:val="00E42894"/>
    <w:rsid w:val="00E42BF7"/>
    <w:rsid w:val="00E47E40"/>
    <w:rsid w:val="00E50037"/>
    <w:rsid w:val="00E53CB1"/>
    <w:rsid w:val="00E5544A"/>
    <w:rsid w:val="00E5644D"/>
    <w:rsid w:val="00E56762"/>
    <w:rsid w:val="00E60189"/>
    <w:rsid w:val="00E64779"/>
    <w:rsid w:val="00E67EDA"/>
    <w:rsid w:val="00E713C8"/>
    <w:rsid w:val="00E818BA"/>
    <w:rsid w:val="00E81B59"/>
    <w:rsid w:val="00E851FF"/>
    <w:rsid w:val="00E86A51"/>
    <w:rsid w:val="00E90DDA"/>
    <w:rsid w:val="00E94CE2"/>
    <w:rsid w:val="00E955AC"/>
    <w:rsid w:val="00EA0189"/>
    <w:rsid w:val="00EA1354"/>
    <w:rsid w:val="00EA676F"/>
    <w:rsid w:val="00EB77FB"/>
    <w:rsid w:val="00EC0C06"/>
    <w:rsid w:val="00EC31AA"/>
    <w:rsid w:val="00ED2D33"/>
    <w:rsid w:val="00ED417B"/>
    <w:rsid w:val="00EE1FB6"/>
    <w:rsid w:val="00EE2A4B"/>
    <w:rsid w:val="00EE4EBE"/>
    <w:rsid w:val="00EE5D93"/>
    <w:rsid w:val="00EE778C"/>
    <w:rsid w:val="00EF1B33"/>
    <w:rsid w:val="00EF1F4C"/>
    <w:rsid w:val="00F006F6"/>
    <w:rsid w:val="00F01970"/>
    <w:rsid w:val="00F05DED"/>
    <w:rsid w:val="00F078EB"/>
    <w:rsid w:val="00F24ADF"/>
    <w:rsid w:val="00F402B9"/>
    <w:rsid w:val="00F44FDA"/>
    <w:rsid w:val="00F45CE5"/>
    <w:rsid w:val="00F50BB0"/>
    <w:rsid w:val="00F50C47"/>
    <w:rsid w:val="00F517B0"/>
    <w:rsid w:val="00F61C62"/>
    <w:rsid w:val="00F6503A"/>
    <w:rsid w:val="00F72CEB"/>
    <w:rsid w:val="00F73587"/>
    <w:rsid w:val="00F80F90"/>
    <w:rsid w:val="00F822C5"/>
    <w:rsid w:val="00F82889"/>
    <w:rsid w:val="00F83ACE"/>
    <w:rsid w:val="00F867BC"/>
    <w:rsid w:val="00F86DD8"/>
    <w:rsid w:val="00F91027"/>
    <w:rsid w:val="00F92295"/>
    <w:rsid w:val="00F93AA5"/>
    <w:rsid w:val="00F9769D"/>
    <w:rsid w:val="00FA2F81"/>
    <w:rsid w:val="00FA400D"/>
    <w:rsid w:val="00FA644E"/>
    <w:rsid w:val="00FB07D3"/>
    <w:rsid w:val="00FB4753"/>
    <w:rsid w:val="00FB4F3C"/>
    <w:rsid w:val="00FB7CAD"/>
    <w:rsid w:val="00FC35E3"/>
    <w:rsid w:val="00FC3E4A"/>
    <w:rsid w:val="00FC5E3F"/>
    <w:rsid w:val="00FC62A4"/>
    <w:rsid w:val="00FC6BAE"/>
    <w:rsid w:val="00FD4508"/>
    <w:rsid w:val="00FD4DBD"/>
    <w:rsid w:val="00FE0C9B"/>
    <w:rsid w:val="00FE2D83"/>
    <w:rsid w:val="00FE4163"/>
    <w:rsid w:val="00FF5C0A"/>
    <w:rsid w:val="00FF61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1C2FA8"/>
  </w:style>
  <w:style w:type="character" w:customStyle="1" w:styleId="ParaNumCharChar1">
    <w:name w:val="ParaNum Char Char1"/>
    <w:link w:val="ParaNum"/>
    <w:locked/>
    <w:rsid w:val="001C2FA8"/>
    <w:rPr>
      <w:snapToGrid w:val="0"/>
      <w:kern w:val="28"/>
      <w:sz w:val="22"/>
    </w:rPr>
  </w:style>
  <w:style w:type="character" w:customStyle="1" w:styleId="searchterm">
    <w:name w:val="searchterm"/>
    <w:rsid w:val="001C2FA8"/>
  </w:style>
  <w:style w:type="character" w:styleId="CommentReference">
    <w:name w:val="annotation reference"/>
    <w:basedOn w:val="DefaultParagraphFont"/>
    <w:rsid w:val="00946CCB"/>
    <w:rPr>
      <w:sz w:val="16"/>
      <w:szCs w:val="16"/>
    </w:rPr>
  </w:style>
  <w:style w:type="paragraph" w:styleId="CommentText">
    <w:name w:val="annotation text"/>
    <w:basedOn w:val="Normal"/>
    <w:link w:val="CommentTextChar"/>
    <w:rsid w:val="00946CCB"/>
    <w:rPr>
      <w:sz w:val="20"/>
    </w:rPr>
  </w:style>
  <w:style w:type="character" w:customStyle="1" w:styleId="CommentTextChar">
    <w:name w:val="Comment Text Char"/>
    <w:basedOn w:val="DefaultParagraphFont"/>
    <w:link w:val="CommentText"/>
    <w:rsid w:val="00946CCB"/>
    <w:rPr>
      <w:snapToGrid w:val="0"/>
      <w:kern w:val="28"/>
    </w:rPr>
  </w:style>
  <w:style w:type="paragraph" w:styleId="CommentSubject">
    <w:name w:val="annotation subject"/>
    <w:basedOn w:val="CommentText"/>
    <w:next w:val="CommentText"/>
    <w:link w:val="CommentSubjectChar"/>
    <w:rsid w:val="00946CCB"/>
    <w:rPr>
      <w:b/>
      <w:bCs/>
    </w:rPr>
  </w:style>
  <w:style w:type="character" w:customStyle="1" w:styleId="CommentSubjectChar">
    <w:name w:val="Comment Subject Char"/>
    <w:basedOn w:val="CommentTextChar"/>
    <w:link w:val="CommentSubject"/>
    <w:rsid w:val="00946CCB"/>
    <w:rPr>
      <w:b/>
      <w:bCs/>
      <w:snapToGrid w:val="0"/>
      <w:kern w:val="28"/>
    </w:rPr>
  </w:style>
  <w:style w:type="paragraph" w:styleId="BalloonText">
    <w:name w:val="Balloon Text"/>
    <w:basedOn w:val="Normal"/>
    <w:link w:val="BalloonTextChar"/>
    <w:rsid w:val="00946CCB"/>
    <w:rPr>
      <w:rFonts w:ascii="Segoe UI" w:hAnsi="Segoe UI" w:cs="Segoe UI"/>
      <w:sz w:val="18"/>
      <w:szCs w:val="18"/>
    </w:rPr>
  </w:style>
  <w:style w:type="character" w:customStyle="1" w:styleId="BalloonTextChar">
    <w:name w:val="Balloon Text Char"/>
    <w:basedOn w:val="DefaultParagraphFont"/>
    <w:link w:val="BalloonText"/>
    <w:rsid w:val="00946CCB"/>
    <w:rPr>
      <w:rFonts w:ascii="Segoe UI" w:hAnsi="Segoe UI" w:cs="Segoe UI"/>
      <w:snapToGrid w:val="0"/>
      <w:kern w:val="28"/>
      <w:sz w:val="18"/>
      <w:szCs w:val="18"/>
    </w:rPr>
  </w:style>
  <w:style w:type="character" w:customStyle="1" w:styleId="cosearchterm">
    <w:name w:val="co_searchterm"/>
    <w:rsid w:val="00994389"/>
  </w:style>
  <w:style w:type="character" w:customStyle="1" w:styleId="maxwidth1418">
    <w:name w:val="maxwidth1418"/>
    <w:rsid w:val="005916BA"/>
  </w:style>
  <w:style w:type="paragraph" w:styleId="ListParagraph">
    <w:name w:val="List Paragraph"/>
    <w:basedOn w:val="Normal"/>
    <w:uiPriority w:val="34"/>
    <w:qFormat/>
    <w:rsid w:val="00AE1410"/>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ALTSFOOTNOTEChar2">
    <w:name w:val="ALTS FOOTNOTE Char2"/>
    <w:aliases w:val="ALTS FOOTNOTE Char Char1,FOOTNOTE Char,Footnote Text Char Char Char Char Char Char Char,Footnote Text Char Char Char Char1,Footnote Text Char1 Char Char1,Footnote Text Char1 Char1 Char Char Char Char,f Char1,fn Char Char1,fn Char2"/>
    <w:locked/>
    <w:rsid w:val="007D14FF"/>
  </w:style>
  <w:style w:type="table" w:styleId="TableGrid">
    <w:name w:val="Table Grid"/>
    <w:basedOn w:val="TableNormal"/>
    <w:uiPriority w:val="59"/>
    <w:rsid w:val="008129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6B95"/>
    <w:rPr>
      <w:snapToGrid w:val="0"/>
      <w:kern w:val="28"/>
      <w:sz w:val="22"/>
    </w:rPr>
  </w:style>
  <w:style w:type="character" w:styleId="Emphasis">
    <w:name w:val="Emphasis"/>
    <w:basedOn w:val="DefaultParagraphFont"/>
    <w:uiPriority w:val="20"/>
    <w:qFormat/>
    <w:rsid w:val="009B085B"/>
    <w:rPr>
      <w:i/>
      <w:iCs/>
    </w:rPr>
  </w:style>
  <w:style w:type="character" w:styleId="FollowedHyperlink">
    <w:name w:val="FollowedHyperlink"/>
    <w:basedOn w:val="DefaultParagraphFont"/>
    <w:rsid w:val="00B44659"/>
    <w:rPr>
      <w:color w:val="954F72" w:themeColor="followedHyperlink"/>
      <w:u w:val="single"/>
    </w:rPr>
  </w:style>
  <w:style w:type="character" w:customStyle="1" w:styleId="UnresolvedMention">
    <w:name w:val="Unresolved Mention"/>
    <w:basedOn w:val="DefaultParagraphFont"/>
    <w:rsid w:val="001E1478"/>
    <w:rPr>
      <w:color w:val="605E5C"/>
      <w:shd w:val="clear" w:color="auto" w:fill="E1DFDD"/>
    </w:rPr>
  </w:style>
  <w:style w:type="character" w:customStyle="1" w:styleId="sdsense">
    <w:name w:val="sdsense"/>
    <w:basedOn w:val="DefaultParagraphFont"/>
    <w:rsid w:val="007E0F22"/>
  </w:style>
  <w:style w:type="character" w:customStyle="1" w:styleId="sd">
    <w:name w:val="sd"/>
    <w:basedOn w:val="DefaultParagraphFont"/>
    <w:rsid w:val="007E0F22"/>
  </w:style>
  <w:style w:type="character" w:customStyle="1" w:styleId="dttext">
    <w:name w:val="dttext"/>
    <w:basedOn w:val="DefaultParagraphFont"/>
    <w:rsid w:val="007E0F22"/>
  </w:style>
  <w:style w:type="character" w:styleId="Strong">
    <w:name w:val="Strong"/>
    <w:basedOn w:val="DefaultParagraphFont"/>
    <w:uiPriority w:val="22"/>
    <w:qFormat/>
    <w:rsid w:val="007E0F22"/>
    <w:rPr>
      <w:b/>
      <w:bCs/>
    </w:rPr>
  </w:style>
  <w:style w:type="character" w:customStyle="1" w:styleId="costarpage">
    <w:name w:val="co_starpage"/>
    <w:basedOn w:val="DefaultParagraphFont"/>
    <w:rsid w:val="0067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transition.fcc.gov/wcb/CAMv.4.2Methodology.pdf" TargetMode="External" /><Relationship Id="rId2" Type="http://schemas.openxmlformats.org/officeDocument/2006/relationships/hyperlink" Target="https://www.law.cornell.edu/definitions/index.php?width=840&amp;height=800&amp;iframe=true&amp;def_id=a6297a35c9ac3fd0044718728be4adbe&amp;term_occur=1&amp;term_src=Title:47:Chapter:I:Subchapter:A:Part:1:Subpart:A:Subjgrp:147:1.3" TargetMode="External" /><Relationship Id="rId3" Type="http://schemas.openxmlformats.org/officeDocument/2006/relationships/hyperlink" Target="https://www.usac.org/_res/documents/hc/pdf/tools/HUBBGeolocationMethod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