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42485D" w:rsidP="00013A8B" w14:paraId="0FD0E157" w14:textId="145BF36E">
      <w:pPr>
        <w:jc w:val="right"/>
        <w:rPr>
          <w:b/>
          <w:szCs w:val="22"/>
        </w:rPr>
      </w:pPr>
      <w:r w:rsidRPr="0042485D">
        <w:rPr>
          <w:b/>
          <w:szCs w:val="22"/>
        </w:rPr>
        <w:t xml:space="preserve">DA </w:t>
      </w:r>
      <w:r w:rsidRPr="0042485D" w:rsidR="001C1E54">
        <w:rPr>
          <w:b/>
          <w:szCs w:val="22"/>
        </w:rPr>
        <w:t>19-</w:t>
      </w:r>
      <w:r w:rsidR="00093268">
        <w:rPr>
          <w:b/>
          <w:szCs w:val="22"/>
        </w:rPr>
        <w:t>1156</w:t>
      </w:r>
    </w:p>
    <w:p w:rsidR="00013A8B" w:rsidRPr="00B24CB8" w:rsidP="00577AB7" w14:paraId="5B6178E2" w14:textId="4D4D3DB2">
      <w:pPr>
        <w:jc w:val="right"/>
        <w:rPr>
          <w:b/>
          <w:szCs w:val="22"/>
        </w:rPr>
      </w:pPr>
      <w:r w:rsidRPr="0042485D">
        <w:rPr>
          <w:b/>
          <w:szCs w:val="22"/>
        </w:rPr>
        <w:t>Released</w:t>
      </w:r>
      <w:r w:rsidRPr="00B24CB8">
        <w:rPr>
          <w:b/>
          <w:szCs w:val="22"/>
        </w:rPr>
        <w:t xml:space="preserve">:  </w:t>
      </w:r>
      <w:r w:rsidRPr="003E0434" w:rsidR="003E0434">
        <w:rPr>
          <w:b/>
          <w:szCs w:val="22"/>
        </w:rPr>
        <w:t>November 7</w:t>
      </w:r>
      <w:r w:rsidRPr="003E0434" w:rsidR="002C1095">
        <w:rPr>
          <w:b/>
          <w:szCs w:val="22"/>
        </w:rPr>
        <w:t>, 201</w:t>
      </w:r>
      <w:r w:rsidRPr="003E0434" w:rsidR="001C1E54">
        <w:rPr>
          <w:b/>
          <w:szCs w:val="22"/>
        </w:rPr>
        <w:t>9</w:t>
      </w:r>
    </w:p>
    <w:p w:rsidR="00013A8B" w:rsidRPr="00B24CB8" w:rsidP="00577AB7" w14:paraId="45674B5F" w14:textId="77777777">
      <w:pPr>
        <w:jc w:val="center"/>
        <w:rPr>
          <w:szCs w:val="22"/>
        </w:rPr>
      </w:pPr>
    </w:p>
    <w:p w:rsidR="0043473C" w:rsidP="00577AB7" w14:paraId="26C34A1D" w14:textId="77777777">
      <w:pPr>
        <w:jc w:val="center"/>
        <w:rPr>
          <w:rFonts w:ascii="Times New Roman Bold" w:hAnsi="Times New Roman Bold"/>
          <w:b/>
          <w:caps/>
          <w:szCs w:val="22"/>
        </w:rPr>
      </w:pPr>
      <w:r w:rsidRPr="00B24CB8">
        <w:rPr>
          <w:rFonts w:ascii="Times New Roman Bold" w:hAnsi="Times New Roman Bold"/>
          <w:b/>
          <w:caps/>
          <w:szCs w:val="22"/>
        </w:rPr>
        <w:t>Consumer and Governmental Affairs BuReau Seeks Co</w:t>
      </w:r>
      <w:r w:rsidRPr="00B24CB8" w:rsidR="005904F6">
        <w:rPr>
          <w:rFonts w:ascii="Times New Roman Bold" w:hAnsi="Times New Roman Bold"/>
          <w:b/>
          <w:caps/>
          <w:szCs w:val="22"/>
        </w:rPr>
        <w:t xml:space="preserve">mment on </w:t>
      </w:r>
    </w:p>
    <w:p w:rsidR="00C3260A" w:rsidP="008E1ADA" w14:paraId="2CFF02C4" w14:textId="77777777">
      <w:pPr>
        <w:jc w:val="center"/>
        <w:rPr>
          <w:rFonts w:ascii="Times New Roman Bold" w:hAnsi="Times New Roman Bold"/>
          <w:b/>
          <w:caps/>
          <w:szCs w:val="22"/>
        </w:rPr>
      </w:pPr>
      <w:r w:rsidRPr="00B24CB8">
        <w:rPr>
          <w:rFonts w:ascii="Times New Roman Bold" w:hAnsi="Times New Roman Bold"/>
          <w:b/>
          <w:caps/>
          <w:szCs w:val="22"/>
        </w:rPr>
        <w:t>Petition for DEclaratory Ruli</w:t>
      </w:r>
      <w:r w:rsidR="008E1ADA">
        <w:rPr>
          <w:rFonts w:ascii="Times New Roman Bold" w:hAnsi="Times New Roman Bold"/>
          <w:b/>
          <w:caps/>
          <w:szCs w:val="22"/>
        </w:rPr>
        <w:t>NG</w:t>
      </w:r>
      <w:r w:rsidRPr="00B24CB8" w:rsidR="000C0A16">
        <w:rPr>
          <w:rFonts w:ascii="Times New Roman Bold" w:hAnsi="Times New Roman Bold"/>
          <w:b/>
          <w:caps/>
          <w:szCs w:val="22"/>
        </w:rPr>
        <w:t xml:space="preserve"> filed </w:t>
      </w:r>
      <w:r w:rsidRPr="00B24CB8" w:rsidR="006D46D8">
        <w:rPr>
          <w:rFonts w:ascii="Times New Roman Bold" w:hAnsi="Times New Roman Bold"/>
          <w:b/>
          <w:caps/>
          <w:szCs w:val="22"/>
        </w:rPr>
        <w:t xml:space="preserve">BY </w:t>
      </w:r>
      <w:r w:rsidR="008E1ADA">
        <w:rPr>
          <w:rFonts w:ascii="Times New Roman Bold" w:hAnsi="Times New Roman Bold"/>
          <w:b/>
          <w:caps/>
          <w:szCs w:val="22"/>
        </w:rPr>
        <w:t>CAPITAL ONE</w:t>
      </w:r>
      <w:r w:rsidR="00D33725">
        <w:rPr>
          <w:rFonts w:ascii="Times New Roman Bold" w:hAnsi="Times New Roman Bold"/>
          <w:b/>
          <w:caps/>
          <w:szCs w:val="22"/>
        </w:rPr>
        <w:t xml:space="preserve"> SerVICES, LLC</w:t>
      </w:r>
    </w:p>
    <w:p w:rsidR="00577AB7" w:rsidRPr="00B24CB8" w:rsidP="00577AB7" w14:paraId="4E19F6F0" w14:textId="77777777">
      <w:pPr>
        <w:jc w:val="center"/>
        <w:rPr>
          <w:rFonts w:ascii="Times New Roman Bold" w:hAnsi="Times New Roman Bold"/>
          <w:b/>
          <w:caps/>
          <w:szCs w:val="22"/>
        </w:rPr>
      </w:pPr>
    </w:p>
    <w:p w:rsidR="00013A8B" w:rsidRPr="00B24CB8" w:rsidP="00577AB7" w14:paraId="552337F1" w14:textId="77777777">
      <w:pPr>
        <w:spacing w:after="120"/>
        <w:jc w:val="center"/>
        <w:rPr>
          <w:b/>
          <w:szCs w:val="22"/>
        </w:rPr>
      </w:pPr>
      <w:r w:rsidRPr="00B24CB8">
        <w:rPr>
          <w:b/>
          <w:szCs w:val="22"/>
        </w:rPr>
        <w:t>CG Docket No</w:t>
      </w:r>
      <w:r w:rsidR="008E1ADA">
        <w:rPr>
          <w:b/>
          <w:szCs w:val="22"/>
        </w:rPr>
        <w:t>s</w:t>
      </w:r>
      <w:r w:rsidRPr="00B24CB8">
        <w:rPr>
          <w:b/>
          <w:szCs w:val="22"/>
        </w:rPr>
        <w:t xml:space="preserve">. </w:t>
      </w:r>
      <w:r w:rsidR="008E1ADA">
        <w:rPr>
          <w:b/>
          <w:szCs w:val="22"/>
        </w:rPr>
        <w:t xml:space="preserve">18-152 and </w:t>
      </w:r>
      <w:r w:rsidRPr="00B24CB8">
        <w:rPr>
          <w:b/>
          <w:szCs w:val="22"/>
        </w:rPr>
        <w:t>02-278</w:t>
      </w:r>
    </w:p>
    <w:p w:rsidR="008B7D28" w:rsidRPr="00B24CB8" w:rsidP="006A10FD" w14:paraId="432601D3" w14:textId="77777777">
      <w:pPr>
        <w:rPr>
          <w:b/>
          <w:szCs w:val="22"/>
        </w:rPr>
      </w:pPr>
      <w:r w:rsidRPr="00B24CB8">
        <w:rPr>
          <w:b/>
          <w:szCs w:val="22"/>
        </w:rPr>
        <w:t>Comment Date:</w:t>
      </w:r>
      <w:r w:rsidRPr="00B24CB8" w:rsidR="008322B2">
        <w:rPr>
          <w:b/>
          <w:szCs w:val="22"/>
        </w:rPr>
        <w:t xml:space="preserve">  </w:t>
      </w:r>
      <w:r w:rsidRPr="003E0434" w:rsidR="008E1ADA">
        <w:rPr>
          <w:b/>
          <w:szCs w:val="22"/>
        </w:rPr>
        <w:t>December 9</w:t>
      </w:r>
      <w:r w:rsidRPr="003E0434" w:rsidR="001D19C0">
        <w:rPr>
          <w:b/>
          <w:szCs w:val="22"/>
        </w:rPr>
        <w:t>, 2019</w:t>
      </w:r>
      <w:r w:rsidRPr="00B24CB8">
        <w:rPr>
          <w:b/>
          <w:szCs w:val="22"/>
        </w:rPr>
        <w:t xml:space="preserve">  </w:t>
      </w:r>
    </w:p>
    <w:p w:rsidR="008B7D28" w:rsidRPr="004E5D45" w:rsidP="006A10FD" w14:paraId="2420DD5C" w14:textId="77777777">
      <w:pPr>
        <w:rPr>
          <w:b/>
          <w:szCs w:val="22"/>
        </w:rPr>
      </w:pPr>
      <w:r w:rsidRPr="00B24CB8">
        <w:rPr>
          <w:b/>
          <w:szCs w:val="22"/>
        </w:rPr>
        <w:t xml:space="preserve">Reply </w:t>
      </w:r>
      <w:r w:rsidRPr="00B24CB8" w:rsidR="005904F6">
        <w:rPr>
          <w:b/>
          <w:szCs w:val="22"/>
        </w:rPr>
        <w:t>Comment Date:</w:t>
      </w:r>
      <w:r w:rsidRPr="00B24CB8" w:rsidR="001D19C0">
        <w:rPr>
          <w:b/>
          <w:szCs w:val="22"/>
        </w:rPr>
        <w:t xml:space="preserve">  </w:t>
      </w:r>
      <w:r w:rsidRPr="003E0434" w:rsidR="008E1ADA">
        <w:rPr>
          <w:b/>
          <w:szCs w:val="22"/>
        </w:rPr>
        <w:t>December 24</w:t>
      </w:r>
      <w:r w:rsidRPr="003E0434" w:rsidR="001D19C0">
        <w:rPr>
          <w:b/>
          <w:szCs w:val="22"/>
        </w:rPr>
        <w:t>, 2019</w:t>
      </w:r>
      <w:r w:rsidR="005904F6">
        <w:rPr>
          <w:b/>
          <w:szCs w:val="22"/>
        </w:rPr>
        <w:t xml:space="preserve"> </w:t>
      </w:r>
    </w:p>
    <w:p w:rsidR="001B5766" w:rsidP="00577AB7" w14:paraId="1BD8E6DE" w14:textId="77777777">
      <w:pPr>
        <w:spacing w:after="120"/>
        <w:rPr>
          <w:szCs w:val="22"/>
        </w:rPr>
      </w:pPr>
    </w:p>
    <w:p w:rsidR="008B7D28" w:rsidRPr="004F15F8" w:rsidP="00577AB7" w14:paraId="6B1DA152" w14:textId="77777777">
      <w:pPr>
        <w:pStyle w:val="ParaNum"/>
        <w:numPr>
          <w:ilvl w:val="0"/>
          <w:numId w:val="0"/>
        </w:numPr>
        <w:ind w:firstLine="720"/>
      </w:pPr>
      <w:r w:rsidRPr="000D7702">
        <w:t xml:space="preserve">With this Public Notice, </w:t>
      </w:r>
      <w:r w:rsidR="001B5766">
        <w:t xml:space="preserve">we seek comment </w:t>
      </w:r>
      <w:r w:rsidR="003248B2">
        <w:t>on a petition for declaratory ruling</w:t>
      </w:r>
      <w:r w:rsidR="00C3260A">
        <w:t xml:space="preserve"> </w:t>
      </w:r>
      <w:r w:rsidRPr="000D7702">
        <w:t xml:space="preserve">filed by </w:t>
      </w:r>
      <w:r w:rsidR="00D33725">
        <w:t>Capital One Services, LLC</w:t>
      </w:r>
      <w:r w:rsidR="00AA603E">
        <w:t xml:space="preserve"> (</w:t>
      </w:r>
      <w:r w:rsidR="00D33725">
        <w:t>Capital One</w:t>
      </w:r>
      <w:r w:rsidR="00AA603E">
        <w:t>)</w:t>
      </w:r>
      <w:r w:rsidR="003248B2">
        <w:t>.</w:t>
      </w:r>
      <w:r>
        <w:rPr>
          <w:rStyle w:val="FootnoteReference"/>
          <w:szCs w:val="22"/>
        </w:rPr>
        <w:footnoteReference w:id="3"/>
      </w:r>
      <w:r w:rsidR="003248B2">
        <w:t xml:space="preserve"> </w:t>
      </w:r>
      <w:r w:rsidR="001B5766">
        <w:t xml:space="preserve"> Specifically, the </w:t>
      </w:r>
      <w:r w:rsidR="001B5766">
        <w:rPr>
          <w:i/>
        </w:rPr>
        <w:t xml:space="preserve">Petition </w:t>
      </w:r>
      <w:r w:rsidR="00E54EDE">
        <w:t xml:space="preserve">requests a ruling that, “if the sender of a lawful informational text message transmitted through an automatic telephone dialing system (‘ATDS’) receives a valid opt-out request from the recipient in response to that message, and that informational message was part of a program in which the recipient had previously enrolled that transmits several categories of informational messages, then, pursuant to the Commission’s ruling in </w:t>
      </w:r>
      <w:r w:rsidRPr="00643A2D" w:rsidR="00E54EDE">
        <w:rPr>
          <w:i/>
        </w:rPr>
        <w:t>Soundbite</w:t>
      </w:r>
      <w:r w:rsidR="00E54EDE">
        <w:t xml:space="preserve">, the sender may clarify in an opt-out confirmation message to the recipient the scope of the recipient’s opt-out request without violating the </w:t>
      </w:r>
      <w:r w:rsidR="00AA603E">
        <w:t>Telephone Consumer Protection Act (</w:t>
      </w:r>
      <w:r w:rsidR="00E54EDE">
        <w:t>‘</w:t>
      </w:r>
      <w:r w:rsidR="00AA603E">
        <w:t>TCPA</w:t>
      </w:r>
      <w:r w:rsidR="002B2BB9">
        <w:t>’</w:t>
      </w:r>
      <w:r w:rsidR="00AA603E">
        <w:t>)</w:t>
      </w:r>
      <w:r w:rsidR="00B80284">
        <w:t xml:space="preserve"> </w:t>
      </w:r>
      <w:r w:rsidR="00E54EDE">
        <w:t>or related Commission</w:t>
      </w:r>
      <w:r w:rsidR="00F14533">
        <w:t xml:space="preserve"> </w:t>
      </w:r>
      <w:r w:rsidR="00E54EDE">
        <w:t>rules</w:t>
      </w:r>
      <w:r w:rsidR="00AA603E">
        <w:t>.</w:t>
      </w:r>
      <w:r w:rsidR="00F14533">
        <w:t>”</w:t>
      </w:r>
      <w:r>
        <w:rPr>
          <w:rStyle w:val="FootnoteReference"/>
          <w:szCs w:val="22"/>
        </w:rPr>
        <w:footnoteReference w:id="4"/>
      </w:r>
      <w:r w:rsidR="007C235B">
        <w:t xml:space="preserve">  </w:t>
      </w:r>
    </w:p>
    <w:p w:rsidR="001B5766" w:rsidRPr="00674185" w:rsidP="00577AB7" w14:paraId="6AC2BC59" w14:textId="77777777">
      <w:pPr>
        <w:pStyle w:val="ParaNum"/>
        <w:numPr>
          <w:ilvl w:val="0"/>
          <w:numId w:val="0"/>
        </w:numPr>
        <w:ind w:firstLine="720"/>
      </w:pPr>
      <w:r>
        <w:t xml:space="preserve">We seek comment on </w:t>
      </w:r>
      <w:r>
        <w:t>this</w:t>
      </w:r>
      <w:r>
        <w:t xml:space="preserve"> and any other issues raised in the </w:t>
      </w:r>
      <w:r w:rsidR="00CC4CF5">
        <w:rPr>
          <w:i/>
        </w:rPr>
        <w:t>P</w:t>
      </w:r>
      <w:r w:rsidRPr="006A10FD">
        <w:rPr>
          <w:i/>
        </w:rPr>
        <w:t>etition</w:t>
      </w:r>
      <w:r w:rsidR="00CC4CF5">
        <w:t>.</w:t>
      </w:r>
    </w:p>
    <w:p w:rsidR="008B7D28" w:rsidP="00577AB7" w14:paraId="4BC0A262" w14:textId="77777777">
      <w:pPr>
        <w:pStyle w:val="ParaNum"/>
        <w:numPr>
          <w:ilvl w:val="0"/>
          <w:numId w:val="0"/>
        </w:numPr>
        <w:ind w:firstLine="720"/>
      </w:pPr>
      <w:r w:rsidRPr="000D7702">
        <w:rPr>
          <w:i/>
        </w:rPr>
        <w:t xml:space="preserve">Filing Requirements.  </w:t>
      </w:r>
      <w:r w:rsidR="00855553">
        <w:t>Pursuant to section 1.2 of the Commission’s rules, i</w:t>
      </w:r>
      <w:r w:rsidRPr="000D7702">
        <w:t>nterested parties may file comments on or before the date indicated on the first page of this document.</w:t>
      </w:r>
      <w:r>
        <w:rPr>
          <w:vertAlign w:val="superscript"/>
        </w:rPr>
        <w:footnoteReference w:id="5"/>
      </w:r>
      <w:r w:rsidRPr="000D7702">
        <w:t xml:space="preserve">  </w:t>
      </w:r>
      <w:r w:rsidRPr="000D7702">
        <w:rPr>
          <w:iCs/>
        </w:rPr>
        <w:t>All filings mus</w:t>
      </w:r>
      <w:r w:rsidR="002A317B">
        <w:rPr>
          <w:iCs/>
        </w:rPr>
        <w:t>t reference CG Docket No</w:t>
      </w:r>
      <w:r w:rsidR="00BA4FBF">
        <w:rPr>
          <w:iCs/>
        </w:rPr>
        <w:t>s</w:t>
      </w:r>
      <w:r w:rsidR="002A317B">
        <w:rPr>
          <w:iCs/>
        </w:rPr>
        <w:t xml:space="preserve">. </w:t>
      </w:r>
      <w:r w:rsidR="00BA4FBF">
        <w:rPr>
          <w:iCs/>
        </w:rPr>
        <w:t xml:space="preserve">18-152 and </w:t>
      </w:r>
      <w:r w:rsidR="002A317B">
        <w:rPr>
          <w:iCs/>
        </w:rPr>
        <w:t>02-278</w:t>
      </w:r>
      <w:r w:rsidRPr="000D7702">
        <w:rPr>
          <w:iCs/>
        </w:rPr>
        <w:t xml:space="preserve">.  </w:t>
      </w:r>
      <w:r w:rsidRPr="000D7702">
        <w:t>Comments may be filed using the Commission’s Electronic Comment Filing System (ECFS).</w:t>
      </w:r>
      <w:r>
        <w:rPr>
          <w:vertAlign w:val="superscript"/>
        </w:rPr>
        <w:footnoteReference w:id="6"/>
      </w:r>
      <w:r w:rsidRPr="000D7702">
        <w:t xml:space="preserve">  </w:t>
      </w:r>
    </w:p>
    <w:p w:rsidR="008B7D28" w:rsidRPr="000D7702" w:rsidP="00577AB7" w14:paraId="382273B3" w14:textId="77777777">
      <w:pPr>
        <w:widowControl/>
        <w:numPr>
          <w:ilvl w:val="0"/>
          <w:numId w:val="7"/>
        </w:numPr>
        <w:spacing w:after="120"/>
        <w:rPr>
          <w:szCs w:val="22"/>
        </w:rPr>
      </w:pPr>
      <w:r w:rsidRPr="000D7702">
        <w:rPr>
          <w:szCs w:val="22"/>
        </w:rPr>
        <w:t xml:space="preserve">Electronic Filers:  Comments may be filed electronically using the Internet by accessing ECFS:  </w:t>
      </w:r>
      <w:hyperlink r:id="rId5" w:history="1">
        <w:r w:rsidRPr="000D7702">
          <w:rPr>
            <w:color w:val="0000FF"/>
            <w:szCs w:val="22"/>
            <w:u w:val="single"/>
          </w:rPr>
          <w:t>https://www.fcc.gov/ecfs/</w:t>
        </w:r>
      </w:hyperlink>
      <w:r w:rsidRPr="000D7702">
        <w:rPr>
          <w:szCs w:val="22"/>
        </w:rPr>
        <w:t xml:space="preserve">.  </w:t>
      </w:r>
    </w:p>
    <w:p w:rsidR="008B7D28" w:rsidRPr="000D7702" w:rsidP="00577AB7" w14:paraId="1CBD7BA9" w14:textId="77777777">
      <w:pPr>
        <w:widowControl/>
        <w:numPr>
          <w:ilvl w:val="0"/>
          <w:numId w:val="7"/>
        </w:numPr>
        <w:spacing w:after="120"/>
        <w:rPr>
          <w:szCs w:val="22"/>
        </w:rPr>
      </w:pPr>
      <w:r w:rsidRPr="000D7702">
        <w:rPr>
          <w:szCs w:val="22"/>
        </w:rPr>
        <w:t>Paper Filers:  Parties who choose to file by paper must file an original and one copy of each filing.</w:t>
      </w:r>
    </w:p>
    <w:p w:rsidR="008B7D28" w:rsidRPr="000D7702" w:rsidP="00577AB7" w14:paraId="2C3DCFDF" w14:textId="77777777">
      <w:pPr>
        <w:widowControl/>
        <w:spacing w:after="120"/>
        <w:ind w:left="720"/>
        <w:rPr>
          <w:szCs w:val="22"/>
        </w:rPr>
      </w:pPr>
      <w:r w:rsidRPr="000D7702">
        <w:rPr>
          <w:szCs w:val="22"/>
        </w:rPr>
        <w:t>Filings can be sent by hand or messenger delivery, by commercial overnight courier, or by fir</w:t>
      </w:r>
      <w:bookmarkStart w:id="0" w:name="_GoBack"/>
      <w:bookmarkEnd w:id="0"/>
      <w:r w:rsidRPr="000D7702">
        <w:rPr>
          <w:szCs w:val="22"/>
        </w:rPr>
        <w:t>st-class or overnight U.S. Postal Service mail.  All filings must be addressed to the Commission’s Secretary, Office of the Secretary, Federal Communications Commission.</w:t>
      </w:r>
    </w:p>
    <w:p w:rsidR="008B7D28" w:rsidRPr="000D7702" w:rsidP="00577AB7" w14:paraId="5A5C70CE" w14:textId="77777777">
      <w:pPr>
        <w:widowControl/>
        <w:numPr>
          <w:ilvl w:val="1"/>
          <w:numId w:val="8"/>
        </w:numPr>
        <w:spacing w:after="120"/>
        <w:rPr>
          <w:szCs w:val="22"/>
        </w:rPr>
      </w:pPr>
      <w:r w:rsidRPr="000D7702">
        <w:rPr>
          <w:szCs w:val="22"/>
        </w:rPr>
        <w:t>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before entering the building.</w:t>
      </w:r>
    </w:p>
    <w:p w:rsidR="008B7D28" w:rsidRPr="000D7702" w:rsidP="00577AB7" w14:paraId="27608407" w14:textId="77777777">
      <w:pPr>
        <w:widowControl/>
        <w:numPr>
          <w:ilvl w:val="1"/>
          <w:numId w:val="8"/>
        </w:numPr>
        <w:spacing w:after="120"/>
        <w:rPr>
          <w:szCs w:val="22"/>
        </w:rPr>
      </w:pPr>
      <w:r w:rsidRPr="000D7702">
        <w:rPr>
          <w:szCs w:val="22"/>
        </w:rPr>
        <w:t>Commercial overnight mail (other than U.S. Postal Service Express Mail and Priority Mail) must be sent to 9050 Junction Drive, Annapolis Junction, MD 20701.</w:t>
      </w:r>
    </w:p>
    <w:p w:rsidR="008B7D28" w:rsidRPr="000D7702" w:rsidP="00577AB7" w14:paraId="3CB5B751" w14:textId="77777777">
      <w:pPr>
        <w:widowControl/>
        <w:numPr>
          <w:ilvl w:val="1"/>
          <w:numId w:val="8"/>
        </w:numPr>
        <w:spacing w:after="120"/>
        <w:rPr>
          <w:szCs w:val="22"/>
        </w:rPr>
      </w:pPr>
      <w:r w:rsidRPr="000D7702">
        <w:rPr>
          <w:szCs w:val="22"/>
        </w:rPr>
        <w:t>U.S. Postal Service first-class, Express, and Priority mail must be addressed to 445 12th Street, SW, Washington DC  20554.</w:t>
      </w:r>
    </w:p>
    <w:p w:rsidR="008B7D28" w:rsidRPr="000D7702" w:rsidP="00577AB7" w14:paraId="22466FCD" w14:textId="77777777">
      <w:pPr>
        <w:pStyle w:val="ParaNum"/>
        <w:numPr>
          <w:ilvl w:val="0"/>
          <w:numId w:val="0"/>
        </w:numPr>
        <w:ind w:firstLine="720"/>
      </w:pPr>
      <w:r w:rsidRPr="000D7702">
        <w:rPr>
          <w:i/>
        </w:rPr>
        <w:t xml:space="preserve">Ex </w:t>
      </w:r>
      <w:r w:rsidRPr="000D7702">
        <w:rPr>
          <w:i/>
        </w:rPr>
        <w:t>Parte</w:t>
      </w:r>
      <w:r w:rsidRPr="000D7702">
        <w:rPr>
          <w:i/>
        </w:rPr>
        <w:t xml:space="preserve"> Rules</w:t>
      </w:r>
      <w:r w:rsidRPr="000D7702">
        <w:t xml:space="preserve">.  The proceeding this Notice initiates shall be treated as a “permit-but-disclose” proceeding in accordance with the Commission’s </w:t>
      </w:r>
      <w:r w:rsidRPr="000D7702">
        <w:rPr>
          <w:i/>
          <w:iCs/>
        </w:rPr>
        <w:t xml:space="preserve">ex </w:t>
      </w:r>
      <w:r w:rsidRPr="000D7702">
        <w:rPr>
          <w:i/>
          <w:iCs/>
        </w:rPr>
        <w:t>parte</w:t>
      </w:r>
      <w:r w:rsidRPr="000D7702">
        <w:rPr>
          <w:i/>
          <w:iCs/>
        </w:rPr>
        <w:t xml:space="preserve"> </w:t>
      </w:r>
      <w:r w:rsidRPr="000D7702">
        <w:t>rules.</w:t>
      </w:r>
      <w:r>
        <w:rPr>
          <w:vertAlign w:val="superscript"/>
        </w:rPr>
        <w:footnoteReference w:id="7"/>
      </w:r>
      <w:r w:rsidRPr="000D7702">
        <w:t xml:space="preserve">  Persons making </w:t>
      </w:r>
      <w:r w:rsidRPr="000D7702">
        <w:rPr>
          <w:i/>
        </w:rPr>
        <w:t xml:space="preserve">ex </w:t>
      </w:r>
      <w:r w:rsidRPr="000D7702">
        <w:rPr>
          <w:i/>
        </w:rPr>
        <w:t>parte</w:t>
      </w:r>
      <w:r w:rsidRPr="000D7702">
        <w:rPr>
          <w:i/>
        </w:rPr>
        <w:t xml:space="preserve"> </w:t>
      </w:r>
      <w:r w:rsidRPr="000D7702">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D7702">
        <w:rPr>
          <w:i/>
          <w:iCs/>
        </w:rPr>
        <w:t xml:space="preserve">ex </w:t>
      </w:r>
      <w:r w:rsidRPr="000D7702">
        <w:rPr>
          <w:i/>
          <w:iCs/>
        </w:rPr>
        <w:t>parte</w:t>
      </w:r>
      <w:r w:rsidRPr="000D7702">
        <w:rPr>
          <w:i/>
          <w:iCs/>
        </w:rPr>
        <w:t xml:space="preserve"> </w:t>
      </w:r>
      <w:r w:rsidRPr="000D7702">
        <w:t xml:space="preserve">presentations are reminded that memoranda summarizing the presentation must (1) list all persons attending or otherwise participating in the meeting at which the </w:t>
      </w:r>
      <w:r w:rsidRPr="000D7702">
        <w:rPr>
          <w:i/>
          <w:iCs/>
        </w:rPr>
        <w:t xml:space="preserve">ex </w:t>
      </w:r>
      <w:r w:rsidRPr="000D7702">
        <w:rPr>
          <w:i/>
          <w:iCs/>
        </w:rPr>
        <w:t>parte</w:t>
      </w:r>
      <w:r w:rsidRPr="000D7702">
        <w:rPr>
          <w:i/>
          <w:iCs/>
        </w:rPr>
        <w:t xml:space="preserve"> </w:t>
      </w:r>
      <w:r w:rsidRPr="000D7702">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D7702">
        <w:rPr>
          <w:i/>
          <w:iCs/>
        </w:rPr>
        <w:t xml:space="preserve">ex </w:t>
      </w:r>
      <w:r w:rsidRPr="000D7702">
        <w:rPr>
          <w:i/>
          <w:iCs/>
        </w:rPr>
        <w:t>parte</w:t>
      </w:r>
      <w:r w:rsidRPr="000D7702">
        <w:rPr>
          <w:i/>
          <w:iCs/>
        </w:rPr>
        <w:t xml:space="preserve"> </w:t>
      </w:r>
      <w:r w:rsidRPr="000D7702">
        <w:t xml:space="preserve">meetings are deemed to be written </w:t>
      </w:r>
      <w:r w:rsidRPr="000D7702">
        <w:rPr>
          <w:i/>
          <w:iCs/>
        </w:rPr>
        <w:t xml:space="preserve">ex </w:t>
      </w:r>
      <w:r w:rsidRPr="000D7702">
        <w:rPr>
          <w:i/>
          <w:iCs/>
        </w:rPr>
        <w:t>parte</w:t>
      </w:r>
      <w:r w:rsidRPr="000D7702">
        <w:t xml:space="preserve"> presentations and must be filed consistent with rule 1.1206(b).  In proceedings governed by rule 1.49(f) or for which the Commission has made available a method of electronic filing, written </w:t>
      </w:r>
      <w:r w:rsidRPr="000D7702">
        <w:rPr>
          <w:i/>
          <w:iCs/>
        </w:rPr>
        <w:t xml:space="preserve">ex </w:t>
      </w:r>
      <w:r w:rsidRPr="000D7702">
        <w:rPr>
          <w:i/>
          <w:iCs/>
        </w:rPr>
        <w:t>parte</w:t>
      </w:r>
      <w:r w:rsidRPr="000D7702">
        <w:rPr>
          <w:i/>
          <w:iCs/>
        </w:rPr>
        <w:t xml:space="preserve"> </w:t>
      </w:r>
      <w:r w:rsidRPr="000D7702">
        <w:t xml:space="preserve">presentations and memoranda summarizing oral </w:t>
      </w:r>
      <w:r w:rsidRPr="000D7702">
        <w:rPr>
          <w:i/>
          <w:iCs/>
        </w:rPr>
        <w:t xml:space="preserve">ex </w:t>
      </w:r>
      <w:r w:rsidRPr="000D7702">
        <w:rPr>
          <w:i/>
          <w:iCs/>
        </w:rPr>
        <w:t>parte</w:t>
      </w:r>
      <w:r w:rsidRPr="000D7702">
        <w:rPr>
          <w:i/>
          <w:iCs/>
        </w:rPr>
        <w:t xml:space="preserve"> </w:t>
      </w:r>
      <w:r w:rsidRPr="000D7702">
        <w:t>presentations, and all attachments thereto, must be filed through the electronic comment filing system available for that proceeding, and must be filed in their native format (</w:t>
      </w:r>
      <w:r w:rsidRPr="00295AF6">
        <w:rPr>
          <w:iCs/>
        </w:rPr>
        <w:t>e.g.</w:t>
      </w:r>
      <w:r w:rsidRPr="000D7702">
        <w:t xml:space="preserve">, .doc, .xml, .ppt, searchable .pdf).  Participants in this proceeding should familiarize themselves with the Commission’s </w:t>
      </w:r>
      <w:r w:rsidRPr="000D7702">
        <w:rPr>
          <w:i/>
          <w:iCs/>
        </w:rPr>
        <w:t xml:space="preserve">ex </w:t>
      </w:r>
      <w:r w:rsidRPr="000D7702">
        <w:rPr>
          <w:i/>
          <w:iCs/>
        </w:rPr>
        <w:t>parte</w:t>
      </w:r>
      <w:r w:rsidRPr="000D7702">
        <w:rPr>
          <w:i/>
          <w:iCs/>
        </w:rPr>
        <w:t xml:space="preserve"> </w:t>
      </w:r>
      <w:r w:rsidRPr="000D7702">
        <w:t>rules.</w:t>
      </w:r>
    </w:p>
    <w:p w:rsidR="008B7D28" w:rsidRPr="000D7702" w:rsidP="00577AB7" w14:paraId="033BC8FE" w14:textId="77777777">
      <w:pPr>
        <w:pStyle w:val="ParaNum"/>
        <w:numPr>
          <w:ilvl w:val="0"/>
          <w:numId w:val="0"/>
        </w:numPr>
        <w:ind w:firstLine="720"/>
      </w:pPr>
      <w:r w:rsidRPr="000D7702">
        <w:rPr>
          <w:i/>
        </w:rPr>
        <w:t xml:space="preserve">People with Disabilities.  </w:t>
      </w:r>
      <w:r w:rsidRPr="000D7702">
        <w:t xml:space="preserve">To request materials in accessible formats for people with disabilities (Braille, large print, electronic files, audio format), send an e-mail to </w:t>
      </w:r>
      <w:hyperlink r:id="rId6" w:history="1">
        <w:r w:rsidRPr="000D7702">
          <w:rPr>
            <w:color w:val="0000FF"/>
            <w:u w:val="single"/>
          </w:rPr>
          <w:t>fcc504@fcc.gov</w:t>
        </w:r>
      </w:hyperlink>
      <w:r w:rsidRPr="000D7702">
        <w:t xml:space="preserve"> or call the Consumer and Governmental Affairs Bureau at 202-418-0530 (voice), 844-432-2275 (videophone), or 202-418-0432 (TTY).  </w:t>
      </w:r>
    </w:p>
    <w:p w:rsidR="008B7D28" w:rsidP="00577AB7" w14:paraId="279A709F" w14:textId="77777777">
      <w:pPr>
        <w:pStyle w:val="ParaNum"/>
        <w:numPr>
          <w:ilvl w:val="0"/>
          <w:numId w:val="0"/>
        </w:numPr>
        <w:ind w:firstLine="720"/>
      </w:pPr>
      <w:r w:rsidRPr="000D7702">
        <w:t>For further information regarding this Noti</w:t>
      </w:r>
      <w:r w:rsidR="00C66FCD">
        <w:t xml:space="preserve">ce, please contact </w:t>
      </w:r>
      <w:r w:rsidR="00643A2D">
        <w:t>Erica H. McMahon</w:t>
      </w:r>
      <w:r w:rsidR="00C66FCD">
        <w:t>, Consumer Policy Division</w:t>
      </w:r>
      <w:r w:rsidRPr="000D7702">
        <w:t>, Consumer and Governmental Affairs Bur</w:t>
      </w:r>
      <w:r w:rsidR="005904F6">
        <w:t xml:space="preserve">eau, at </w:t>
      </w:r>
      <w:r w:rsidR="00643A2D">
        <w:t>202-418-0346</w:t>
      </w:r>
      <w:r w:rsidRPr="000D7702">
        <w:t xml:space="preserve"> or by e-mail to </w:t>
      </w:r>
      <w:hyperlink r:id="rId7" w:history="1">
        <w:r w:rsidRPr="00404E63" w:rsidR="00B67F00">
          <w:rPr>
            <w:rStyle w:val="Hyperlink"/>
            <w:szCs w:val="22"/>
          </w:rPr>
          <w:t>Erica.McMahon@fcc.gov</w:t>
        </w:r>
      </w:hyperlink>
      <w:r w:rsidRPr="000D7702">
        <w:t>.</w:t>
      </w:r>
    </w:p>
    <w:p w:rsidR="00930ECF" w:rsidRPr="00577AB7" w:rsidP="00577AB7" w14:paraId="6ADF4E04" w14:textId="77777777">
      <w:pPr>
        <w:widowControl/>
        <w:spacing w:after="120"/>
        <w:jc w:val="center"/>
        <w:rPr>
          <w:b/>
          <w:szCs w:val="22"/>
        </w:rPr>
      </w:pPr>
      <w:r w:rsidRPr="000D7702">
        <w:rPr>
          <w:b/>
          <w:szCs w:val="22"/>
        </w:rPr>
        <w:t>–FCC–</w:t>
      </w:r>
    </w:p>
    <w:sectPr w:rsidSect="00577AB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0434" w:rsidP="0055614C" w14:paraId="3AF6E909" w14:textId="77777777">
    <w:pPr>
      <w:pStyle w:val="Footer"/>
      <w:framePr w:wrap="around" w:vAnchor="text" w:hAnchor="margin" w:xAlign="center" w:y="1"/>
    </w:pPr>
    <w:r>
      <w:fldChar w:fldCharType="begin"/>
    </w:r>
    <w:r>
      <w:instrText xml:space="preserve">PAGE  </w:instrText>
    </w:r>
    <w:r>
      <w:fldChar w:fldCharType="separate"/>
    </w:r>
    <w:r>
      <w:fldChar w:fldCharType="end"/>
    </w:r>
  </w:p>
  <w:p w:rsidR="003E0434" w14:paraId="2D56D79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0434" w:rsidP="0043473C" w14:paraId="5188019F" w14:textId="77777777">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sidR="004410D1">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0434" w:rsidP="0043473C" w14:paraId="23FE8B44" w14:textId="77777777">
    <w:pPr>
      <w:pStyle w:val="Footer"/>
      <w:tabs>
        <w:tab w:val="clear" w:pos="4320"/>
        <w:tab w:val="center" w:pos="468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E0434" w14:paraId="23AFFDEC" w14:textId="77777777">
      <w:r>
        <w:separator/>
      </w:r>
    </w:p>
  </w:footnote>
  <w:footnote w:type="continuationSeparator" w:id="1">
    <w:p w:rsidR="003E0434" w14:paraId="58ADC5BF" w14:textId="77777777">
      <w:pPr>
        <w:rPr>
          <w:sz w:val="20"/>
        </w:rPr>
      </w:pPr>
      <w:r>
        <w:rPr>
          <w:sz w:val="20"/>
        </w:rPr>
        <w:t xml:space="preserve">(Continued from previous page)  </w:t>
      </w:r>
      <w:r>
        <w:rPr>
          <w:sz w:val="20"/>
        </w:rPr>
        <w:separator/>
      </w:r>
    </w:p>
  </w:footnote>
  <w:footnote w:type="continuationNotice" w:id="2">
    <w:p w:rsidR="003E0434" w:rsidP="00910F12" w14:paraId="09F4029B" w14:textId="77777777">
      <w:pPr>
        <w:jc w:val="right"/>
        <w:rPr>
          <w:sz w:val="20"/>
        </w:rPr>
      </w:pPr>
      <w:r>
        <w:rPr>
          <w:sz w:val="20"/>
        </w:rPr>
        <w:t>(continued….)</w:t>
      </w:r>
    </w:p>
  </w:footnote>
  <w:footnote w:id="3">
    <w:p w:rsidR="003E0434" w14:paraId="69B7DC06" w14:textId="6F49ADB5">
      <w:pPr>
        <w:pStyle w:val="FootnoteText"/>
      </w:pPr>
      <w:r>
        <w:rPr>
          <w:rStyle w:val="FootnoteReference"/>
        </w:rPr>
        <w:footnoteRef/>
      </w:r>
      <w:r>
        <w:t xml:space="preserve"> Capital One Services, LLC, Petition for Declaratory Ruling, CG Docket Nos. 18-152 and 02-278 (filed Nov. 1, 2019),</w:t>
      </w:r>
      <w:r w:rsidRPr="00C66FCD">
        <w:t xml:space="preserve"> </w:t>
      </w:r>
      <w:hyperlink r:id="rId1" w:history="1">
        <w:r>
          <w:rPr>
            <w:rStyle w:val="Hyperlink"/>
          </w:rPr>
          <w:t>https://www.fcc.gov/ecfs/filing/110141644656</w:t>
        </w:r>
      </w:hyperlink>
      <w:r>
        <w:t xml:space="preserve"> (</w:t>
      </w:r>
      <w:r w:rsidRPr="00C23559">
        <w:rPr>
          <w:i/>
        </w:rPr>
        <w:t>Petition</w:t>
      </w:r>
      <w:r>
        <w:t>).</w:t>
      </w:r>
    </w:p>
  </w:footnote>
  <w:footnote w:id="4">
    <w:p w:rsidR="003E0434" w14:paraId="4D80BFF3" w14:textId="327D3726">
      <w:pPr>
        <w:pStyle w:val="FootnoteText"/>
      </w:pPr>
      <w:r>
        <w:rPr>
          <w:rStyle w:val="FootnoteReference"/>
        </w:rPr>
        <w:footnoteRef/>
      </w:r>
      <w:r>
        <w:t xml:space="preserve"> </w:t>
      </w:r>
      <w:r>
        <w:rPr>
          <w:i/>
        </w:rPr>
        <w:t>Id.</w:t>
      </w:r>
      <w:r>
        <w:t xml:space="preserve"> at 1-2.  The TCPA is codified at 47 U.S.C. § 227.  The Commission’s implementing rules are codified at 47 CFR § 64.1200.  Among other things, the TCPA and the related rules prohibit,</w:t>
      </w:r>
      <w:r w:rsidRPr="00214D03">
        <w:t xml:space="preserve"> without the prior express consent of the called party</w:t>
      </w:r>
      <w:r>
        <w:t xml:space="preserve"> or some other exception</w:t>
      </w:r>
      <w:r w:rsidRPr="00214D03">
        <w:t xml:space="preserve">, a non-emergency call using an automatic telephone dialing system or an artificial or prerecorded voice to any telephone number assigned to a cellular telephone service. </w:t>
      </w:r>
      <w:r>
        <w:t xml:space="preserve"> </w:t>
      </w:r>
      <w:r w:rsidRPr="00214D03">
        <w:t>47 U.S.C. § 227(b)(1)(A)(iii); 47 CFR § 64.1200(a)(1)(iii)</w:t>
      </w:r>
      <w:r>
        <w:t xml:space="preserve">; </w:t>
      </w:r>
      <w:r>
        <w:rPr>
          <w:i/>
        </w:rPr>
        <w:t>s</w:t>
      </w:r>
      <w:r w:rsidRPr="00F14533">
        <w:rPr>
          <w:i/>
        </w:rPr>
        <w:t>ee also Soundbite Communications, Inc.</w:t>
      </w:r>
      <w:r>
        <w:rPr>
          <w:i/>
        </w:rPr>
        <w:t>,</w:t>
      </w:r>
      <w:r w:rsidRPr="00F14533">
        <w:rPr>
          <w:i/>
        </w:rPr>
        <w:t xml:space="preserve"> Petition for </w:t>
      </w:r>
      <w:r>
        <w:rPr>
          <w:i/>
        </w:rPr>
        <w:t xml:space="preserve">Expedited </w:t>
      </w:r>
      <w:r w:rsidRPr="00F14533">
        <w:rPr>
          <w:i/>
        </w:rPr>
        <w:t>Declaratory Ruling</w:t>
      </w:r>
      <w:r>
        <w:t xml:space="preserve">, CG Docket No. 02-278, Declaratory Ruling, 27 FCC </w:t>
      </w:r>
      <w:r>
        <w:t>Rcd</w:t>
      </w:r>
      <w:r>
        <w:t xml:space="preserve"> 15391 (2012) (</w:t>
      </w:r>
      <w:r w:rsidRPr="00643A2D">
        <w:rPr>
          <w:i/>
        </w:rPr>
        <w:t>Soundbite</w:t>
      </w:r>
      <w:r>
        <w:t xml:space="preserve">). </w:t>
      </w:r>
    </w:p>
  </w:footnote>
  <w:footnote w:id="5">
    <w:p w:rsidR="003E0434" w:rsidRPr="00801F23" w:rsidP="008B7D28" w14:paraId="5F50AB16" w14:textId="77777777">
      <w:pPr>
        <w:pStyle w:val="FootnoteText"/>
      </w:pPr>
      <w:r w:rsidRPr="00801F23">
        <w:rPr>
          <w:rStyle w:val="FootnoteReference"/>
        </w:rPr>
        <w:footnoteRef/>
      </w:r>
      <w:r w:rsidRPr="00801F23">
        <w:t xml:space="preserve"> 47 CFR §</w:t>
      </w:r>
      <w:r>
        <w:t> 1.2</w:t>
      </w:r>
      <w:r w:rsidRPr="00801F23">
        <w:t>.</w:t>
      </w:r>
    </w:p>
  </w:footnote>
  <w:footnote w:id="6">
    <w:p w:rsidR="003E0434" w:rsidRPr="00801F23" w:rsidP="008B7D28" w14:paraId="34C054B8" w14:textId="77777777">
      <w:pPr>
        <w:pStyle w:val="FootnoteText"/>
      </w:pPr>
      <w:r w:rsidRPr="00801F23">
        <w:rPr>
          <w:rStyle w:val="FootnoteReference"/>
        </w:rPr>
        <w:footnoteRef/>
      </w:r>
      <w:r w:rsidRPr="00801F23">
        <w:t xml:space="preserve"> </w:t>
      </w:r>
      <w:r w:rsidRPr="00801F23">
        <w:rPr>
          <w:i/>
        </w:rPr>
        <w:t>See Electronic Filing of Documents in Rulemaking Proceedings</w:t>
      </w:r>
      <w:r w:rsidRPr="00801F23">
        <w:t>, 63 FR 24121 (1998).</w:t>
      </w:r>
    </w:p>
  </w:footnote>
  <w:footnote w:id="7">
    <w:p w:rsidR="003E0434" w:rsidRPr="00801F23" w:rsidP="008B7D28" w14:paraId="517ED5A2"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0434" w:rsidRPr="009838BC" w:rsidP="009838BC" w14:paraId="2250E7B0" w14:textId="1B7CB4F1">
    <w:pPr>
      <w:tabs>
        <w:tab w:val="center" w:pos="4680"/>
        <w:tab w:val="right" w:pos="9360"/>
      </w:tabs>
    </w:pPr>
    <w:r w:rsidRPr="009838BC">
      <w:rPr>
        <w:b/>
      </w:rPr>
      <w:tab/>
      <w:t>Federal Communications Commission</w:t>
    </w:r>
    <w:r w:rsidRPr="009838BC">
      <w:rPr>
        <w:b/>
      </w:rPr>
      <w:tab/>
    </w:r>
    <w:r>
      <w:rPr>
        <w:b/>
      </w:rPr>
      <w:t>DA 19-</w:t>
    </w:r>
    <w:r w:rsidR="00093268">
      <w:rPr>
        <w:b/>
      </w:rPr>
      <w:t>1156</w:t>
    </w:r>
  </w:p>
  <w:p w:rsidR="003E0434" w:rsidRPr="009838BC" w:rsidP="009838BC" w14:paraId="14D51DF6" w14:textId="26D27AE1">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635"/>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w10:wrap anchorx="margin"/>
            </v:rect>
          </w:pict>
        </mc:Fallback>
      </mc:AlternateContent>
    </w:r>
  </w:p>
  <w:p w:rsidR="003E0434" w:rsidRPr="009838BC" w:rsidP="009838BC" w14:paraId="4EEB23B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0434" w:rsidRPr="00A866AC" w:rsidP="009838BC" w14:paraId="184DDDB8" w14:textId="2454A9AD">
    <w:pPr>
      <w:spacing w:before="40"/>
      <w:rPr>
        <w:rFonts w:ascii="Arial" w:hAnsi="Arial" w:cs="Arial"/>
        <w:b/>
        <w:sz w:val="96"/>
      </w:rPr>
    </w:pPr>
    <w:r>
      <w:rPr>
        <w:noProof/>
        <w:snapToGrid/>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6350" t="4445" r="0" b="3175"/>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3E0434" w:rsidP="009838BC" w14:textId="77777777">
                          <w:pPr>
                            <w:rPr>
                              <w:rFonts w:ascii="Arial" w:hAnsi="Arial"/>
                              <w:b/>
                            </w:rPr>
                          </w:pPr>
                          <w:r>
                            <w:rPr>
                              <w:rFonts w:ascii="Arial" w:hAnsi="Arial"/>
                              <w:b/>
                            </w:rPr>
                            <w:t>Federal Communications Commission</w:t>
                          </w:r>
                        </w:p>
                        <w:p w:rsidR="003E0434"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E0434"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3E0434" w:rsidP="009838BC" w14:paraId="067666C0" w14:textId="77777777">
                    <w:pPr>
                      <w:rPr>
                        <w:rFonts w:ascii="Arial" w:hAnsi="Arial"/>
                        <w:b/>
                      </w:rPr>
                    </w:pPr>
                    <w:r>
                      <w:rPr>
                        <w:rFonts w:ascii="Arial" w:hAnsi="Arial"/>
                        <w:b/>
                      </w:rPr>
                      <w:t>Federal Communications Commission</w:t>
                    </w:r>
                  </w:p>
                  <w:p w:rsidR="003E0434" w:rsidP="009838BC" w14:paraId="07508DD3"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E0434" w:rsidP="009838BC" w14:paraId="385D825D" w14:textId="77777777">
                    <w:pPr>
                      <w:rPr>
                        <w:rFonts w:ascii="Arial" w:hAnsi="Arial"/>
                        <w:sz w:val="24"/>
                      </w:rPr>
                    </w:pPr>
                    <w:r>
                      <w:rPr>
                        <w:rFonts w:ascii="Arial" w:hAnsi="Arial"/>
                        <w:b/>
                      </w:rPr>
                      <w:t>Washington, D.C. 20554</w:t>
                    </w:r>
                  </w:p>
                </w:txbxContent>
              </v:textbox>
              <w10:wrap anchorx="margin"/>
            </v:shape>
          </w:pict>
        </mc:Fallback>
      </mc:AlternateContent>
    </w:r>
    <w:r>
      <w:rPr>
        <w:noProof/>
        <w:snapToGrid/>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39358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3E0434" w:rsidRPr="00357D50" w:rsidP="009838BC" w14:paraId="7E3F965C" w14:textId="71DC0155">
    <w:pPr>
      <w:spacing w:before="40"/>
      <w:rPr>
        <w:rFonts w:ascii="Arial" w:hAnsi="Arial" w:cs="Arial"/>
        <w:b/>
        <w:sz w:val="96"/>
      </w:rPr>
    </w:pPr>
    <w:r>
      <w:rPr>
        <w:noProof/>
        <w:snapToGrid/>
      </w:rPr>
      <mc:AlternateContent>
        <mc:Choice Requires="wps">
          <w:drawing>
            <wp:anchor distT="0" distB="0" distL="114300" distR="114300" simplePos="0" relativeHeight="251662336" behindDoc="0" locked="0" layoutInCell="0" allowOverlap="1">
              <wp:simplePos x="0" y="0"/>
              <wp:positionH relativeFrom="column">
                <wp:posOffset>3390900</wp:posOffset>
              </wp:positionH>
              <wp:positionV relativeFrom="paragraph">
                <wp:posOffset>111760</wp:posOffset>
              </wp:positionV>
              <wp:extent cx="2640965" cy="447675"/>
              <wp:effectExtent l="0" t="0" r="635" b="0"/>
              <wp:wrapNone/>
              <wp:docPr id="2"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3E0434" w:rsidP="009838BC" w14:textId="77777777">
                          <w:pPr>
                            <w:spacing w:before="40"/>
                            <w:jc w:val="right"/>
                            <w:rPr>
                              <w:rFonts w:ascii="Arial" w:hAnsi="Arial"/>
                              <w:b/>
                              <w:sz w:val="16"/>
                            </w:rPr>
                          </w:pPr>
                          <w:r>
                            <w:rPr>
                              <w:rFonts w:ascii="Arial" w:hAnsi="Arial"/>
                              <w:b/>
                              <w:sz w:val="16"/>
                            </w:rPr>
                            <w:t>News Media Information 202 / 418-0500</w:t>
                          </w:r>
                        </w:p>
                        <w:p w:rsidR="003E0434"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3E0434"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8.8pt;margin-left:267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3E0434" w:rsidP="009838BC" w14:paraId="336EC194" w14:textId="77777777">
                    <w:pPr>
                      <w:spacing w:before="40"/>
                      <w:jc w:val="right"/>
                      <w:rPr>
                        <w:rFonts w:ascii="Arial" w:hAnsi="Arial"/>
                        <w:b/>
                        <w:sz w:val="16"/>
                      </w:rPr>
                    </w:pPr>
                    <w:r>
                      <w:rPr>
                        <w:rFonts w:ascii="Arial" w:hAnsi="Arial"/>
                        <w:b/>
                        <w:sz w:val="16"/>
                      </w:rPr>
                      <w:t>News Media Information 202 / 418-0500</w:t>
                    </w:r>
                  </w:p>
                  <w:p w:rsidR="003E0434" w:rsidP="009838BC" w14:paraId="3B051386"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3E0434" w:rsidP="009838BC" w14:paraId="4CCABD77" w14:textId="77777777">
                    <w:pPr>
                      <w:jc w:val="right"/>
                    </w:pPr>
                    <w:r>
                      <w:rPr>
                        <w:rFonts w:ascii="Arial" w:hAnsi="Arial"/>
                        <w:b/>
                        <w:sz w:val="16"/>
                      </w:rPr>
                      <w:t>TTY: 1-888-835-5322</w:t>
                    </w:r>
                  </w:p>
                </w:txbxContent>
              </v:textbox>
            </v:shape>
          </w:pict>
        </mc:Fallback>
      </mc:AlternateContent>
    </w:r>
    <w:r>
      <w:rPr>
        <w:noProof/>
        <w:snapToGrid/>
      </w:rPr>
      <mc:AlternateContent>
        <mc:Choice Requires="wps">
          <w:drawing>
            <wp:anchor distT="0" distB="0" distL="114300" distR="114300" simplePos="0" relativeHeight="251658240" behindDoc="0" locked="0" layoutInCell="0" allowOverlap="1">
              <wp:simplePos x="0" y="0"/>
              <wp:positionH relativeFrom="margin">
                <wp:align>right</wp:align>
              </wp:positionH>
              <wp:positionV relativeFrom="paragraph">
                <wp:posOffset>720090</wp:posOffset>
              </wp:positionV>
              <wp:extent cx="5943600" cy="0"/>
              <wp:effectExtent l="10160" t="8890" r="27940" b="29210"/>
              <wp:wrapNone/>
              <wp:docPr id="1"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2"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59264" from="416.8pt,56.7pt" to="884.8pt,56.7pt" o:allowincell="f">
              <w10:wrap anchorx="margin"/>
            </v:line>
          </w:pict>
        </mc:Fallback>
      </mc:AlternateContent>
    </w:r>
  </w:p>
  <w:p w:rsidR="003E0434" w:rsidRPr="009838BC" w:rsidP="00577AB7" w14:paraId="6878424D" w14:textId="77777777">
    <w:pPr>
      <w:pStyle w:val="Header"/>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BFD37C3"/>
    <w:multiLevelType w:val="hybridMultilevel"/>
    <w:tmpl w:val="FA704A3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DA3A4C"/>
    <w:rsid w:val="00013A8B"/>
    <w:rsid w:val="00026574"/>
    <w:rsid w:val="00047EB6"/>
    <w:rsid w:val="00066218"/>
    <w:rsid w:val="00093268"/>
    <w:rsid w:val="000A5065"/>
    <w:rsid w:val="000C0A16"/>
    <w:rsid w:val="000D0740"/>
    <w:rsid w:val="000D7702"/>
    <w:rsid w:val="001070AE"/>
    <w:rsid w:val="0012325A"/>
    <w:rsid w:val="00135FB8"/>
    <w:rsid w:val="0019379B"/>
    <w:rsid w:val="001B5766"/>
    <w:rsid w:val="001C1E54"/>
    <w:rsid w:val="001D19C0"/>
    <w:rsid w:val="001D7413"/>
    <w:rsid w:val="001E40CC"/>
    <w:rsid w:val="001E7198"/>
    <w:rsid w:val="001F02B9"/>
    <w:rsid w:val="00214D03"/>
    <w:rsid w:val="00253646"/>
    <w:rsid w:val="00295AF6"/>
    <w:rsid w:val="002A317B"/>
    <w:rsid w:val="002B2BB9"/>
    <w:rsid w:val="002C1095"/>
    <w:rsid w:val="002E7775"/>
    <w:rsid w:val="003012EA"/>
    <w:rsid w:val="003248B2"/>
    <w:rsid w:val="00357D50"/>
    <w:rsid w:val="003C4DC9"/>
    <w:rsid w:val="003E0434"/>
    <w:rsid w:val="00404E63"/>
    <w:rsid w:val="00405156"/>
    <w:rsid w:val="0042485D"/>
    <w:rsid w:val="0043473C"/>
    <w:rsid w:val="004410D1"/>
    <w:rsid w:val="004C00AC"/>
    <w:rsid w:val="004C267C"/>
    <w:rsid w:val="004C5A20"/>
    <w:rsid w:val="004E2FB7"/>
    <w:rsid w:val="004E52A0"/>
    <w:rsid w:val="004E5D45"/>
    <w:rsid w:val="004F00D2"/>
    <w:rsid w:val="004F15F8"/>
    <w:rsid w:val="0055614C"/>
    <w:rsid w:val="005600EC"/>
    <w:rsid w:val="00577AB7"/>
    <w:rsid w:val="005904F6"/>
    <w:rsid w:val="005D5D36"/>
    <w:rsid w:val="00603ACB"/>
    <w:rsid w:val="00616DEA"/>
    <w:rsid w:val="006220F9"/>
    <w:rsid w:val="00633867"/>
    <w:rsid w:val="00643A2D"/>
    <w:rsid w:val="00674185"/>
    <w:rsid w:val="00695C5A"/>
    <w:rsid w:val="006A10FD"/>
    <w:rsid w:val="006D46D8"/>
    <w:rsid w:val="006F0B50"/>
    <w:rsid w:val="006F3C75"/>
    <w:rsid w:val="006F7393"/>
    <w:rsid w:val="007431FC"/>
    <w:rsid w:val="00787D6D"/>
    <w:rsid w:val="007C235B"/>
    <w:rsid w:val="00801F23"/>
    <w:rsid w:val="008322B2"/>
    <w:rsid w:val="008332DC"/>
    <w:rsid w:val="00855553"/>
    <w:rsid w:val="00855EAE"/>
    <w:rsid w:val="0087416C"/>
    <w:rsid w:val="008A6518"/>
    <w:rsid w:val="008B7D28"/>
    <w:rsid w:val="008E1ADA"/>
    <w:rsid w:val="00910F12"/>
    <w:rsid w:val="0091222B"/>
    <w:rsid w:val="00930ECF"/>
    <w:rsid w:val="00966719"/>
    <w:rsid w:val="009764BC"/>
    <w:rsid w:val="009838BC"/>
    <w:rsid w:val="00995540"/>
    <w:rsid w:val="009A4878"/>
    <w:rsid w:val="009B2B2E"/>
    <w:rsid w:val="009B4653"/>
    <w:rsid w:val="009F1555"/>
    <w:rsid w:val="009F5FA4"/>
    <w:rsid w:val="00A717A9"/>
    <w:rsid w:val="00A76933"/>
    <w:rsid w:val="00A866AC"/>
    <w:rsid w:val="00AA603E"/>
    <w:rsid w:val="00AB1832"/>
    <w:rsid w:val="00AC2008"/>
    <w:rsid w:val="00B24CB8"/>
    <w:rsid w:val="00B44DC6"/>
    <w:rsid w:val="00B459B4"/>
    <w:rsid w:val="00B52A9A"/>
    <w:rsid w:val="00B67F00"/>
    <w:rsid w:val="00B80284"/>
    <w:rsid w:val="00B97D1A"/>
    <w:rsid w:val="00BA05A4"/>
    <w:rsid w:val="00BA4FBF"/>
    <w:rsid w:val="00C0022F"/>
    <w:rsid w:val="00C142CB"/>
    <w:rsid w:val="00C23559"/>
    <w:rsid w:val="00C30CC7"/>
    <w:rsid w:val="00C3260A"/>
    <w:rsid w:val="00C46A5A"/>
    <w:rsid w:val="00C500D0"/>
    <w:rsid w:val="00C516B1"/>
    <w:rsid w:val="00C61D14"/>
    <w:rsid w:val="00C62BAF"/>
    <w:rsid w:val="00C66FCD"/>
    <w:rsid w:val="00CC4CF5"/>
    <w:rsid w:val="00CD42FD"/>
    <w:rsid w:val="00D0273A"/>
    <w:rsid w:val="00D216CD"/>
    <w:rsid w:val="00D33725"/>
    <w:rsid w:val="00D9311E"/>
    <w:rsid w:val="00DA3A4C"/>
    <w:rsid w:val="00DC224B"/>
    <w:rsid w:val="00E17388"/>
    <w:rsid w:val="00E54EDE"/>
    <w:rsid w:val="00E55B9D"/>
    <w:rsid w:val="00E56858"/>
    <w:rsid w:val="00EC76B9"/>
    <w:rsid w:val="00ED1F4C"/>
    <w:rsid w:val="00ED2697"/>
    <w:rsid w:val="00ED462A"/>
    <w:rsid w:val="00ED7F5F"/>
    <w:rsid w:val="00EE4C5B"/>
    <w:rsid w:val="00EE7FDE"/>
    <w:rsid w:val="00F14533"/>
    <w:rsid w:val="00F26D5E"/>
    <w:rsid w:val="00F83438"/>
    <w:rsid w:val="00F96F63"/>
    <w:rsid w:val="00F97F71"/>
    <w:rsid w:val="00FC2795"/>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4361849A-2974-49A5-8D0F-E6CC9922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268"/>
    <w:pPr>
      <w:widowControl w:val="0"/>
    </w:pPr>
    <w:rPr>
      <w:snapToGrid w:val="0"/>
      <w:kern w:val="28"/>
      <w:sz w:val="22"/>
    </w:rPr>
  </w:style>
  <w:style w:type="paragraph" w:styleId="Heading1">
    <w:name w:val="heading 1"/>
    <w:basedOn w:val="Normal"/>
    <w:next w:val="ParaNum"/>
    <w:qFormat/>
    <w:rsid w:val="0009326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93268"/>
    <w:pPr>
      <w:keepNext/>
      <w:numPr>
        <w:ilvl w:val="1"/>
        <w:numId w:val="3"/>
      </w:numPr>
      <w:spacing w:after="120"/>
      <w:outlineLvl w:val="1"/>
    </w:pPr>
    <w:rPr>
      <w:b/>
    </w:rPr>
  </w:style>
  <w:style w:type="paragraph" w:styleId="Heading3">
    <w:name w:val="heading 3"/>
    <w:basedOn w:val="Normal"/>
    <w:next w:val="ParaNum"/>
    <w:qFormat/>
    <w:rsid w:val="00093268"/>
    <w:pPr>
      <w:keepNext/>
      <w:numPr>
        <w:ilvl w:val="2"/>
        <w:numId w:val="3"/>
      </w:numPr>
      <w:tabs>
        <w:tab w:val="left" w:pos="2160"/>
      </w:tabs>
      <w:spacing w:after="120"/>
      <w:outlineLvl w:val="2"/>
    </w:pPr>
    <w:rPr>
      <w:b/>
    </w:rPr>
  </w:style>
  <w:style w:type="paragraph" w:styleId="Heading4">
    <w:name w:val="heading 4"/>
    <w:basedOn w:val="Normal"/>
    <w:next w:val="ParaNum"/>
    <w:qFormat/>
    <w:rsid w:val="00093268"/>
    <w:pPr>
      <w:keepNext/>
      <w:numPr>
        <w:ilvl w:val="3"/>
        <w:numId w:val="3"/>
      </w:numPr>
      <w:tabs>
        <w:tab w:val="left" w:pos="2880"/>
      </w:tabs>
      <w:spacing w:after="120"/>
      <w:outlineLvl w:val="3"/>
    </w:pPr>
    <w:rPr>
      <w:b/>
    </w:rPr>
  </w:style>
  <w:style w:type="paragraph" w:styleId="Heading5">
    <w:name w:val="heading 5"/>
    <w:basedOn w:val="Normal"/>
    <w:next w:val="ParaNum"/>
    <w:qFormat/>
    <w:rsid w:val="000932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93268"/>
    <w:pPr>
      <w:numPr>
        <w:ilvl w:val="5"/>
        <w:numId w:val="3"/>
      </w:numPr>
      <w:tabs>
        <w:tab w:val="left" w:pos="4320"/>
      </w:tabs>
      <w:spacing w:after="120"/>
      <w:outlineLvl w:val="5"/>
    </w:pPr>
    <w:rPr>
      <w:b/>
    </w:rPr>
  </w:style>
  <w:style w:type="paragraph" w:styleId="Heading7">
    <w:name w:val="heading 7"/>
    <w:basedOn w:val="Normal"/>
    <w:next w:val="ParaNum"/>
    <w:qFormat/>
    <w:rsid w:val="0009326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9326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9326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0932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93268"/>
  </w:style>
  <w:style w:type="paragraph" w:customStyle="1" w:styleId="ParaNum">
    <w:name w:val="ParaNum"/>
    <w:basedOn w:val="Normal"/>
    <w:rsid w:val="00093268"/>
    <w:pPr>
      <w:numPr>
        <w:numId w:val="2"/>
      </w:numPr>
      <w:tabs>
        <w:tab w:val="clear" w:pos="1080"/>
        <w:tab w:val="num" w:pos="1440"/>
      </w:tabs>
      <w:spacing w:after="120"/>
    </w:pPr>
  </w:style>
  <w:style w:type="paragraph" w:styleId="EndnoteText">
    <w:name w:val="endnote text"/>
    <w:basedOn w:val="Normal"/>
    <w:semiHidden/>
    <w:rsid w:val="00093268"/>
    <w:rPr>
      <w:sz w:val="20"/>
    </w:rPr>
  </w:style>
  <w:style w:type="character" w:styleId="EndnoteReference">
    <w:name w:val="endnote reference"/>
    <w:semiHidden/>
    <w:rsid w:val="00093268"/>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93268"/>
    <w:pPr>
      <w:spacing w:after="120"/>
    </w:pPr>
  </w:style>
  <w:style w:type="character" w:styleId="FootnoteReference">
    <w:name w:val="footnote reference"/>
    <w:aliases w:val="(NECG) Footnote Reference,A,Appel note de bas de p,FR,Footnote Reference/,Footnote Reference1,Style 12,Style 124,Style 13,Style 17,Style 3,Style 34,Style 4,Style 6,Style 7,Style 9,fr,o"/>
    <w:rsid w:val="00093268"/>
    <w:rPr>
      <w:rFonts w:ascii="Times New Roman" w:hAnsi="Times New Roman"/>
      <w:dstrike w:val="0"/>
      <w:color w:val="auto"/>
      <w:sz w:val="22"/>
      <w:vertAlign w:val="superscript"/>
    </w:rPr>
  </w:style>
  <w:style w:type="paragraph" w:styleId="TOC1">
    <w:name w:val="toc 1"/>
    <w:basedOn w:val="Normal"/>
    <w:next w:val="Normal"/>
    <w:uiPriority w:val="39"/>
    <w:rsid w:val="0009326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93268"/>
    <w:pPr>
      <w:tabs>
        <w:tab w:val="left" w:pos="720"/>
        <w:tab w:val="right" w:leader="dot" w:pos="9360"/>
      </w:tabs>
      <w:suppressAutoHyphens/>
      <w:ind w:left="720" w:right="720" w:hanging="360"/>
    </w:pPr>
    <w:rPr>
      <w:noProof/>
    </w:rPr>
  </w:style>
  <w:style w:type="paragraph" w:styleId="TOC3">
    <w:name w:val="toc 3"/>
    <w:basedOn w:val="Normal"/>
    <w:next w:val="Normal"/>
    <w:semiHidden/>
    <w:rsid w:val="0009326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9326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9326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9326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9326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9326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9326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93268"/>
    <w:pPr>
      <w:tabs>
        <w:tab w:val="right" w:pos="9360"/>
      </w:tabs>
      <w:suppressAutoHyphens/>
    </w:pPr>
  </w:style>
  <w:style w:type="character" w:customStyle="1" w:styleId="EquationCaption">
    <w:name w:val="_Equation Caption"/>
    <w:rsid w:val="00093268"/>
  </w:style>
  <w:style w:type="paragraph" w:styleId="Header">
    <w:name w:val="header"/>
    <w:basedOn w:val="Normal"/>
    <w:autoRedefine/>
    <w:rsid w:val="00093268"/>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093268"/>
    <w:pPr>
      <w:tabs>
        <w:tab w:val="center" w:pos="4320"/>
        <w:tab w:val="right" w:pos="8640"/>
      </w:tabs>
    </w:pPr>
  </w:style>
  <w:style w:type="character" w:styleId="PageNumber">
    <w:name w:val="page number"/>
    <w:basedOn w:val="DefaultParagraphFont"/>
    <w:rsid w:val="00093268"/>
  </w:style>
  <w:style w:type="paragraph" w:styleId="BlockText">
    <w:name w:val="Block Text"/>
    <w:basedOn w:val="Normal"/>
    <w:rsid w:val="00093268"/>
    <w:pPr>
      <w:spacing w:after="240"/>
      <w:ind w:left="1440" w:right="1440"/>
    </w:pPr>
  </w:style>
  <w:style w:type="paragraph" w:customStyle="1" w:styleId="Paratitle">
    <w:name w:val="Para title"/>
    <w:basedOn w:val="Normal"/>
    <w:rsid w:val="00093268"/>
    <w:pPr>
      <w:tabs>
        <w:tab w:val="center" w:pos="9270"/>
      </w:tabs>
      <w:spacing w:after="240"/>
    </w:pPr>
    <w:rPr>
      <w:spacing w:val="-2"/>
    </w:rPr>
  </w:style>
  <w:style w:type="paragraph" w:customStyle="1" w:styleId="Bullet">
    <w:name w:val="Bullet"/>
    <w:basedOn w:val="Normal"/>
    <w:rsid w:val="00093268"/>
    <w:pPr>
      <w:numPr>
        <w:numId w:val="1"/>
      </w:numPr>
      <w:tabs>
        <w:tab w:val="clear" w:pos="360"/>
        <w:tab w:val="left" w:pos="2160"/>
      </w:tabs>
      <w:spacing w:after="220"/>
      <w:ind w:left="2160" w:hanging="720"/>
    </w:pPr>
  </w:style>
  <w:style w:type="paragraph" w:customStyle="1" w:styleId="TableFormat">
    <w:name w:val="TableFormat"/>
    <w:basedOn w:val="Bullet"/>
    <w:rsid w:val="00093268"/>
    <w:pPr>
      <w:numPr>
        <w:numId w:val="0"/>
      </w:numPr>
      <w:tabs>
        <w:tab w:val="clear" w:pos="2160"/>
        <w:tab w:val="left" w:pos="5040"/>
      </w:tabs>
      <w:ind w:left="5040" w:hanging="3600"/>
    </w:pPr>
  </w:style>
  <w:style w:type="paragraph" w:customStyle="1" w:styleId="TOCTitle">
    <w:name w:val="TOC Title"/>
    <w:basedOn w:val="Normal"/>
    <w:rsid w:val="0009326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3268"/>
    <w:pPr>
      <w:jc w:val="center"/>
    </w:pPr>
    <w:rPr>
      <w:rFonts w:ascii="Times New Roman Bold" w:hAnsi="Times New Roman Bold"/>
      <w:b/>
      <w:bCs/>
      <w:caps/>
      <w:szCs w:val="22"/>
    </w:rPr>
  </w:style>
  <w:style w:type="character" w:styleId="Hyperlink">
    <w:name w:val="Hyperlink"/>
    <w:rsid w:val="00093268"/>
    <w:rPr>
      <w:color w:val="0000FF"/>
      <w:u w:val="single"/>
    </w:rPr>
  </w:style>
  <w:style w:type="character" w:customStyle="1" w:styleId="FooterChar">
    <w:name w:val="Footer Char"/>
    <w:link w:val="Footer"/>
    <w:uiPriority w:val="99"/>
    <w:rsid w:val="00093268"/>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8B7D28"/>
  </w:style>
  <w:style w:type="character" w:customStyle="1" w:styleId="UnresolvedMention1">
    <w:name w:val="Unresolved Mention1"/>
    <w:uiPriority w:val="99"/>
    <w:rsid w:val="00C66FCD"/>
    <w:rPr>
      <w:color w:val="808080"/>
      <w:shd w:val="clear" w:color="auto" w:fill="E6E6E6"/>
    </w:rPr>
  </w:style>
  <w:style w:type="character" w:styleId="FollowedHyperlink">
    <w:name w:val="FollowedHyperlink"/>
    <w:uiPriority w:val="99"/>
    <w:semiHidden/>
    <w:unhideWhenUsed/>
    <w:rsid w:val="001E7198"/>
    <w:rPr>
      <w:color w:val="954F72"/>
      <w:u w:val="single"/>
    </w:rPr>
  </w:style>
  <w:style w:type="paragraph" w:styleId="BalloonText">
    <w:name w:val="Balloon Text"/>
    <w:basedOn w:val="Normal"/>
    <w:link w:val="BalloonTextChar"/>
    <w:uiPriority w:val="99"/>
    <w:semiHidden/>
    <w:unhideWhenUsed/>
    <w:rsid w:val="00674185"/>
    <w:rPr>
      <w:sz w:val="18"/>
      <w:szCs w:val="18"/>
    </w:rPr>
  </w:style>
  <w:style w:type="character" w:customStyle="1" w:styleId="BalloonTextChar">
    <w:name w:val="Balloon Text Char"/>
    <w:link w:val="BalloonText"/>
    <w:uiPriority w:val="99"/>
    <w:semiHidden/>
    <w:rsid w:val="00674185"/>
    <w:rPr>
      <w:snapToGrid w:val="0"/>
      <w:kern w:val="28"/>
      <w:sz w:val="18"/>
      <w:szCs w:val="18"/>
    </w:rPr>
  </w:style>
  <w:style w:type="character" w:styleId="CommentReference">
    <w:name w:val="annotation reference"/>
    <w:uiPriority w:val="99"/>
    <w:semiHidden/>
    <w:unhideWhenUsed/>
    <w:rsid w:val="009F1555"/>
    <w:rPr>
      <w:sz w:val="16"/>
      <w:szCs w:val="16"/>
    </w:rPr>
  </w:style>
  <w:style w:type="paragraph" w:styleId="CommentText">
    <w:name w:val="annotation text"/>
    <w:basedOn w:val="Normal"/>
    <w:link w:val="CommentTextChar"/>
    <w:uiPriority w:val="99"/>
    <w:semiHidden/>
    <w:unhideWhenUsed/>
    <w:rsid w:val="009F1555"/>
    <w:rPr>
      <w:sz w:val="20"/>
    </w:rPr>
  </w:style>
  <w:style w:type="character" w:customStyle="1" w:styleId="CommentTextChar">
    <w:name w:val="Comment Text Char"/>
    <w:link w:val="CommentText"/>
    <w:uiPriority w:val="99"/>
    <w:semiHidden/>
    <w:rsid w:val="009F1555"/>
    <w:rPr>
      <w:snapToGrid w:val="0"/>
      <w:kern w:val="28"/>
    </w:rPr>
  </w:style>
  <w:style w:type="paragraph" w:styleId="CommentSubject">
    <w:name w:val="annotation subject"/>
    <w:basedOn w:val="CommentText"/>
    <w:next w:val="CommentText"/>
    <w:link w:val="CommentSubjectChar"/>
    <w:uiPriority w:val="99"/>
    <w:semiHidden/>
    <w:unhideWhenUsed/>
    <w:rsid w:val="009F1555"/>
    <w:rPr>
      <w:b/>
      <w:bCs/>
    </w:rPr>
  </w:style>
  <w:style w:type="character" w:customStyle="1" w:styleId="CommentSubjectChar">
    <w:name w:val="Comment Subject Char"/>
    <w:link w:val="CommentSubject"/>
    <w:uiPriority w:val="99"/>
    <w:semiHidden/>
    <w:rsid w:val="009F1555"/>
    <w:rPr>
      <w:b/>
      <w:bCs/>
      <w:snapToGrid w:val="0"/>
      <w:kern w:val="28"/>
    </w:rPr>
  </w:style>
  <w:style w:type="character" w:customStyle="1" w:styleId="UnresolvedMention2">
    <w:name w:val="Unresolved Mention2"/>
    <w:uiPriority w:val="99"/>
    <w:rsid w:val="00EE7FDE"/>
    <w:rPr>
      <w:color w:val="605E5C"/>
      <w:shd w:val="clear" w:color="auto" w:fill="E1DFDD"/>
    </w:rPr>
  </w:style>
  <w:style w:type="character" w:customStyle="1" w:styleId="UnresolvedMention3">
    <w:name w:val="Unresolved Mention3"/>
    <w:uiPriority w:val="99"/>
    <w:rsid w:val="00643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Erica.McMahon@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10141644656"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