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4EEE57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BE6E185" w14:textId="77777777">
      <w:pPr>
        <w:pStyle w:val="StyleBoldCentered"/>
      </w:pPr>
      <w:r>
        <w:t>F</w:t>
      </w:r>
      <w:r>
        <w:rPr>
          <w:caps w:val="0"/>
        </w:rPr>
        <w:t>ederal Communications Commission</w:t>
      </w:r>
    </w:p>
    <w:p w:rsidR="004C2EE3" w:rsidP="00096D8C" w14:paraId="1366A7DA" w14:textId="77777777">
      <w:pPr>
        <w:pStyle w:val="StyleBoldCentered"/>
      </w:pPr>
      <w:r>
        <w:rPr>
          <w:caps w:val="0"/>
        </w:rPr>
        <w:t>Washington, D.C. 20554</w:t>
      </w:r>
    </w:p>
    <w:p w:rsidR="004C2EE3" w:rsidP="0070224F" w14:paraId="64420579" w14:textId="77777777"/>
    <w:p w:rsidR="004C2EE3" w:rsidP="0070224F" w14:paraId="53D8E466" w14:textId="77777777"/>
    <w:tbl>
      <w:tblPr>
        <w:tblW w:w="0" w:type="auto"/>
        <w:tblLayout w:type="fixed"/>
        <w:tblLook w:val="0000"/>
      </w:tblPr>
      <w:tblGrid>
        <w:gridCol w:w="4698"/>
        <w:gridCol w:w="630"/>
        <w:gridCol w:w="4248"/>
      </w:tblGrid>
      <w:tr w14:paraId="651322DC" w14:textId="77777777">
        <w:tblPrEx>
          <w:tblW w:w="0" w:type="auto"/>
          <w:tblLayout w:type="fixed"/>
          <w:tblLook w:val="0000"/>
        </w:tblPrEx>
        <w:tc>
          <w:tcPr>
            <w:tcW w:w="4698" w:type="dxa"/>
          </w:tcPr>
          <w:p w:rsidR="004C2EE3" w14:paraId="42BEF70B" w14:textId="77777777">
            <w:pPr>
              <w:tabs>
                <w:tab w:val="center" w:pos="4680"/>
              </w:tabs>
              <w:suppressAutoHyphens/>
              <w:rPr>
                <w:spacing w:val="-2"/>
              </w:rPr>
            </w:pPr>
            <w:r>
              <w:rPr>
                <w:spacing w:val="-2"/>
              </w:rPr>
              <w:t>In the Matter of</w:t>
            </w:r>
          </w:p>
          <w:p w:rsidR="004C2EE3" w14:paraId="3318409B" w14:textId="77777777">
            <w:pPr>
              <w:tabs>
                <w:tab w:val="center" w:pos="4680"/>
              </w:tabs>
              <w:suppressAutoHyphens/>
              <w:rPr>
                <w:spacing w:val="-2"/>
              </w:rPr>
            </w:pPr>
          </w:p>
          <w:p w:rsidR="001C6335" w:rsidRPr="001C6335" w:rsidP="001C6335" w14:paraId="44734B75" w14:textId="77777777">
            <w:pPr>
              <w:tabs>
                <w:tab w:val="center" w:pos="4680"/>
              </w:tabs>
              <w:suppressAutoHyphens/>
              <w:rPr>
                <w:spacing w:val="-2"/>
              </w:rPr>
            </w:pPr>
            <w:r w:rsidRPr="001C6335">
              <w:rPr>
                <w:spacing w:val="-2"/>
              </w:rPr>
              <w:t>Implementation of State and Local Governments’ Obligation to Approve Certain Wireless Facility Modification Requests Under Section 6409(a) of the Spectrum Act of 2012</w:t>
            </w:r>
          </w:p>
          <w:p w:rsidR="00660917" w:rsidP="00660917" w14:paraId="1622967B" w14:textId="77777777">
            <w:pPr>
              <w:tabs>
                <w:tab w:val="center" w:pos="4680"/>
              </w:tabs>
              <w:suppressAutoHyphens/>
              <w:rPr>
                <w:spacing w:val="-2"/>
              </w:rPr>
            </w:pPr>
          </w:p>
          <w:p w:rsidR="00660917" w:rsidRPr="00660917" w:rsidP="00660917" w14:paraId="47F3B165" w14:textId="77777777">
            <w:pPr>
              <w:tabs>
                <w:tab w:val="center" w:pos="4680"/>
              </w:tabs>
              <w:suppressAutoHyphens/>
              <w:rPr>
                <w:spacing w:val="-2"/>
              </w:rPr>
            </w:pPr>
            <w:r w:rsidRPr="00660917">
              <w:rPr>
                <w:spacing w:val="-2"/>
              </w:rPr>
              <w:t>Accelerating Wireline Broadband Deployment by Removing Barriers to Infrastructure Investment</w:t>
            </w:r>
          </w:p>
          <w:p w:rsidR="004C2EE3" w:rsidRPr="007115F7" w:rsidP="007115F7" w14:paraId="6AE938D2" w14:textId="77777777">
            <w:pPr>
              <w:tabs>
                <w:tab w:val="center" w:pos="4680"/>
              </w:tabs>
              <w:suppressAutoHyphens/>
              <w:rPr>
                <w:spacing w:val="-2"/>
              </w:rPr>
            </w:pPr>
          </w:p>
        </w:tc>
        <w:tc>
          <w:tcPr>
            <w:tcW w:w="630" w:type="dxa"/>
          </w:tcPr>
          <w:p w:rsidR="004C2EE3" w14:paraId="1035B4EC" w14:textId="77777777">
            <w:pPr>
              <w:tabs>
                <w:tab w:val="center" w:pos="4680"/>
              </w:tabs>
              <w:suppressAutoHyphens/>
              <w:rPr>
                <w:b/>
                <w:spacing w:val="-2"/>
              </w:rPr>
            </w:pPr>
            <w:r>
              <w:rPr>
                <w:b/>
                <w:spacing w:val="-2"/>
              </w:rPr>
              <w:t>)</w:t>
            </w:r>
          </w:p>
          <w:p w:rsidR="004C2EE3" w14:paraId="776A731C" w14:textId="77777777">
            <w:pPr>
              <w:tabs>
                <w:tab w:val="center" w:pos="4680"/>
              </w:tabs>
              <w:suppressAutoHyphens/>
              <w:rPr>
                <w:b/>
                <w:spacing w:val="-2"/>
              </w:rPr>
            </w:pPr>
            <w:r>
              <w:rPr>
                <w:b/>
                <w:spacing w:val="-2"/>
              </w:rPr>
              <w:t>)</w:t>
            </w:r>
          </w:p>
          <w:p w:rsidR="004C2EE3" w14:paraId="49CEEDE9" w14:textId="77777777">
            <w:pPr>
              <w:tabs>
                <w:tab w:val="center" w:pos="4680"/>
              </w:tabs>
              <w:suppressAutoHyphens/>
              <w:rPr>
                <w:b/>
                <w:spacing w:val="-2"/>
              </w:rPr>
            </w:pPr>
            <w:r>
              <w:rPr>
                <w:b/>
                <w:spacing w:val="-2"/>
              </w:rPr>
              <w:t>)</w:t>
            </w:r>
          </w:p>
          <w:p w:rsidR="004C2EE3" w14:paraId="2289DD7C" w14:textId="77777777">
            <w:pPr>
              <w:tabs>
                <w:tab w:val="center" w:pos="4680"/>
              </w:tabs>
              <w:suppressAutoHyphens/>
              <w:rPr>
                <w:b/>
                <w:spacing w:val="-2"/>
              </w:rPr>
            </w:pPr>
            <w:r>
              <w:rPr>
                <w:b/>
                <w:spacing w:val="-2"/>
              </w:rPr>
              <w:t>)</w:t>
            </w:r>
          </w:p>
          <w:p w:rsidR="004C2EE3" w14:paraId="1E02AFB9" w14:textId="77777777">
            <w:pPr>
              <w:tabs>
                <w:tab w:val="center" w:pos="4680"/>
              </w:tabs>
              <w:suppressAutoHyphens/>
              <w:rPr>
                <w:b/>
                <w:spacing w:val="-2"/>
              </w:rPr>
            </w:pPr>
            <w:r>
              <w:rPr>
                <w:b/>
                <w:spacing w:val="-2"/>
              </w:rPr>
              <w:t>)</w:t>
            </w:r>
          </w:p>
          <w:p w:rsidR="004C2EE3" w14:paraId="681BFF3B" w14:textId="77777777">
            <w:pPr>
              <w:tabs>
                <w:tab w:val="center" w:pos="4680"/>
              </w:tabs>
              <w:suppressAutoHyphens/>
              <w:rPr>
                <w:b/>
                <w:spacing w:val="-2"/>
              </w:rPr>
            </w:pPr>
            <w:r>
              <w:rPr>
                <w:b/>
                <w:spacing w:val="-2"/>
              </w:rPr>
              <w:t>)</w:t>
            </w:r>
          </w:p>
          <w:p w:rsidR="004C2EE3" w14:paraId="151B6F06" w14:textId="77777777">
            <w:pPr>
              <w:tabs>
                <w:tab w:val="center" w:pos="4680"/>
              </w:tabs>
              <w:suppressAutoHyphens/>
              <w:rPr>
                <w:b/>
                <w:spacing w:val="-2"/>
              </w:rPr>
            </w:pPr>
            <w:r>
              <w:rPr>
                <w:b/>
                <w:spacing w:val="-2"/>
              </w:rPr>
              <w:t>)</w:t>
            </w:r>
          </w:p>
          <w:p w:rsidR="004C2EE3" w14:paraId="587F04EE" w14:textId="77777777">
            <w:pPr>
              <w:tabs>
                <w:tab w:val="center" w:pos="4680"/>
              </w:tabs>
              <w:suppressAutoHyphens/>
              <w:rPr>
                <w:b/>
                <w:spacing w:val="-2"/>
              </w:rPr>
            </w:pPr>
            <w:r>
              <w:rPr>
                <w:b/>
                <w:spacing w:val="-2"/>
              </w:rPr>
              <w:t>)</w:t>
            </w:r>
          </w:p>
          <w:p w:rsidR="004C2EE3" w14:paraId="1BED10CE" w14:textId="77777777">
            <w:pPr>
              <w:tabs>
                <w:tab w:val="center" w:pos="4680"/>
              </w:tabs>
              <w:suppressAutoHyphens/>
              <w:rPr>
                <w:spacing w:val="-2"/>
              </w:rPr>
            </w:pPr>
            <w:r>
              <w:rPr>
                <w:b/>
                <w:spacing w:val="-2"/>
              </w:rPr>
              <w:t>)</w:t>
            </w:r>
          </w:p>
        </w:tc>
        <w:tc>
          <w:tcPr>
            <w:tcW w:w="4248" w:type="dxa"/>
          </w:tcPr>
          <w:p w:rsidR="004C2EE3" w14:paraId="70AA695A" w14:textId="77777777">
            <w:pPr>
              <w:tabs>
                <w:tab w:val="center" w:pos="4680"/>
              </w:tabs>
              <w:suppressAutoHyphens/>
              <w:rPr>
                <w:spacing w:val="-2"/>
              </w:rPr>
            </w:pPr>
          </w:p>
          <w:p w:rsidR="004C2EE3" w14:paraId="54989C94" w14:textId="77777777">
            <w:pPr>
              <w:pStyle w:val="TOAHeading"/>
              <w:tabs>
                <w:tab w:val="center" w:pos="4680"/>
                <w:tab w:val="clear" w:pos="9360"/>
              </w:tabs>
              <w:rPr>
                <w:spacing w:val="-2"/>
              </w:rPr>
            </w:pPr>
          </w:p>
          <w:p w:rsidR="00660917" w:rsidRPr="00660917" w:rsidP="00660917" w14:paraId="7DBBAF68" w14:textId="77777777">
            <w:pPr>
              <w:pStyle w:val="TOAHeading"/>
              <w:tabs>
                <w:tab w:val="center" w:pos="4680"/>
              </w:tabs>
              <w:rPr>
                <w:spacing w:val="-2"/>
              </w:rPr>
            </w:pPr>
            <w:r w:rsidRPr="00660917">
              <w:rPr>
                <w:spacing w:val="-2"/>
              </w:rPr>
              <w:t>WT Docket No. 19-250</w:t>
            </w:r>
          </w:p>
          <w:p w:rsidR="00660917" w:rsidP="00660917" w14:paraId="24451A3A" w14:textId="77777777">
            <w:pPr>
              <w:pStyle w:val="TOAHeading"/>
              <w:tabs>
                <w:tab w:val="center" w:pos="4680"/>
              </w:tabs>
              <w:rPr>
                <w:spacing w:val="-2"/>
              </w:rPr>
            </w:pPr>
            <w:r w:rsidRPr="00660917">
              <w:rPr>
                <w:spacing w:val="-2"/>
              </w:rPr>
              <w:t>RM-11849</w:t>
            </w:r>
          </w:p>
          <w:p w:rsidR="00660917" w:rsidRPr="00CD42AD" w:rsidP="00660917" w14:paraId="0A0BD6D9" w14:textId="77777777">
            <w:pPr>
              <w:rPr>
                <w:rFonts w:eastAsia="Calibri"/>
              </w:rPr>
            </w:pPr>
          </w:p>
          <w:p w:rsidR="00660917" w:rsidRPr="00CD42AD" w:rsidP="00660917" w14:paraId="033E0A05" w14:textId="77777777">
            <w:pPr>
              <w:rPr>
                <w:rFonts w:eastAsia="Calibri"/>
              </w:rPr>
            </w:pPr>
          </w:p>
          <w:p w:rsidR="00660917" w:rsidRPr="00CD42AD" w:rsidP="00660917" w14:paraId="7E13045B" w14:textId="77777777">
            <w:pPr>
              <w:rPr>
                <w:rFonts w:eastAsia="Calibri"/>
              </w:rPr>
            </w:pPr>
          </w:p>
          <w:p w:rsidR="00660917" w:rsidRPr="00CD42AD" w:rsidP="00660917" w14:paraId="3A9B0D26" w14:textId="77777777">
            <w:pPr>
              <w:rPr>
                <w:rFonts w:eastAsia="Calibri"/>
              </w:rPr>
            </w:pPr>
            <w:r w:rsidRPr="00CD42AD">
              <w:rPr>
                <w:rFonts w:eastAsia="Calibri"/>
              </w:rPr>
              <w:t>WC Docket No. 17-84</w:t>
            </w:r>
          </w:p>
          <w:p w:rsidR="00660917" w:rsidRPr="00CD42AD" w:rsidP="00660917" w14:paraId="69543F8C" w14:textId="77777777">
            <w:pPr>
              <w:rPr>
                <w:rFonts w:eastAsia="Calibri"/>
              </w:rPr>
            </w:pPr>
          </w:p>
          <w:p w:rsidR="004C2EE3" w14:paraId="6016C868" w14:textId="77777777">
            <w:pPr>
              <w:tabs>
                <w:tab w:val="center" w:pos="4680"/>
              </w:tabs>
              <w:suppressAutoHyphens/>
              <w:rPr>
                <w:spacing w:val="-2"/>
              </w:rPr>
            </w:pPr>
          </w:p>
        </w:tc>
      </w:tr>
    </w:tbl>
    <w:p w:rsidR="004C2EE3" w:rsidP="0070224F" w14:paraId="2A2D2D09" w14:textId="77777777"/>
    <w:p w:rsidR="00841AB1" w:rsidP="00F021FA" w14:paraId="22258751" w14:textId="50C99064">
      <w:pPr>
        <w:pStyle w:val="StyleBoldCentered"/>
      </w:pPr>
      <w:r>
        <w:t xml:space="preserve">ORDER </w:t>
      </w:r>
      <w:r w:rsidR="00B160C9">
        <w:t>GRANTING</w:t>
      </w:r>
      <w:r>
        <w:t xml:space="preserve"> MOTION FOR EXTENSION OF TIME</w:t>
      </w:r>
    </w:p>
    <w:p w:rsidR="004C2EE3" w14:paraId="14C4E820" w14:textId="77777777">
      <w:pPr>
        <w:tabs>
          <w:tab w:val="left" w:pos="-720"/>
        </w:tabs>
        <w:suppressAutoHyphens/>
        <w:spacing w:line="227" w:lineRule="auto"/>
        <w:rPr>
          <w:spacing w:val="-2"/>
        </w:rPr>
      </w:pPr>
    </w:p>
    <w:p w:rsidR="004C2EE3" w:rsidP="00133F79" w14:paraId="6109C1DB" w14:textId="0F807BDD">
      <w:pPr>
        <w:tabs>
          <w:tab w:val="left" w:pos="720"/>
          <w:tab w:val="right" w:pos="9360"/>
        </w:tabs>
        <w:suppressAutoHyphens/>
        <w:spacing w:line="227" w:lineRule="auto"/>
        <w:rPr>
          <w:b/>
          <w:spacing w:val="-2"/>
        </w:rPr>
      </w:pPr>
      <w:r>
        <w:rPr>
          <w:b/>
          <w:spacing w:val="-2"/>
        </w:rPr>
        <w:t xml:space="preserve">Adopted:  </w:t>
      </w:r>
      <w:r w:rsidR="00FF6D54">
        <w:rPr>
          <w:b/>
          <w:spacing w:val="-2"/>
        </w:rPr>
        <w:t xml:space="preserve">November </w:t>
      </w:r>
      <w:r w:rsidR="00EF6856">
        <w:rPr>
          <w:b/>
          <w:spacing w:val="-2"/>
        </w:rPr>
        <w:t>8</w:t>
      </w:r>
      <w:r w:rsidR="00FF6D54">
        <w:rPr>
          <w:b/>
          <w:spacing w:val="-2"/>
        </w:rPr>
        <w:t>,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F6D54">
        <w:rPr>
          <w:b/>
          <w:spacing w:val="-2"/>
        </w:rPr>
        <w:t xml:space="preserve">November </w:t>
      </w:r>
      <w:r w:rsidR="00EF6856">
        <w:rPr>
          <w:b/>
          <w:spacing w:val="-2"/>
        </w:rPr>
        <w:t>8</w:t>
      </w:r>
      <w:r w:rsidR="00FF6D54">
        <w:rPr>
          <w:b/>
          <w:spacing w:val="-2"/>
        </w:rPr>
        <w:t>, 2019</w:t>
      </w:r>
    </w:p>
    <w:p w:rsidR="0068198C" w:rsidP="00133F79" w14:paraId="511EE7EF" w14:textId="29B49D75">
      <w:pPr>
        <w:tabs>
          <w:tab w:val="left" w:pos="720"/>
          <w:tab w:val="right" w:pos="9360"/>
        </w:tabs>
        <w:suppressAutoHyphens/>
        <w:spacing w:line="227" w:lineRule="auto"/>
        <w:rPr>
          <w:b/>
          <w:spacing w:val="-2"/>
        </w:rPr>
      </w:pPr>
    </w:p>
    <w:p w:rsidR="0068198C" w:rsidP="00133F79" w14:paraId="11095EFC" w14:textId="27D6638A">
      <w:pPr>
        <w:tabs>
          <w:tab w:val="left" w:pos="720"/>
          <w:tab w:val="right" w:pos="9360"/>
        </w:tabs>
        <w:suppressAutoHyphens/>
        <w:spacing w:line="227" w:lineRule="auto"/>
        <w:rPr>
          <w:spacing w:val="-2"/>
        </w:rPr>
      </w:pPr>
      <w:r>
        <w:rPr>
          <w:b/>
          <w:spacing w:val="-2"/>
        </w:rPr>
        <w:t xml:space="preserve">Reply Comment Date:  November </w:t>
      </w:r>
      <w:r w:rsidR="00EF6856">
        <w:rPr>
          <w:b/>
          <w:spacing w:val="-2"/>
        </w:rPr>
        <w:t>20</w:t>
      </w:r>
      <w:r>
        <w:rPr>
          <w:b/>
          <w:spacing w:val="-2"/>
        </w:rPr>
        <w:t xml:space="preserve">, 2019  </w:t>
      </w:r>
    </w:p>
    <w:p w:rsidR="00822CE0" w14:paraId="4E5ECB2B" w14:textId="77777777"/>
    <w:p w:rsidR="004C2EE3" w:rsidRPr="0069424D" w14:paraId="25A51DF2" w14:textId="77777777">
      <w:pPr>
        <w:rPr>
          <w:szCs w:val="22"/>
        </w:rPr>
      </w:pPr>
      <w:r>
        <w:t xml:space="preserve">By </w:t>
      </w:r>
      <w:r w:rsidR="004E4A22">
        <w:t>the</w:t>
      </w:r>
      <w:r w:rsidR="002A2D2E">
        <w:t xml:space="preserve"> </w:t>
      </w:r>
      <w:r w:rsidRPr="00F747F4" w:rsidR="00064A2C">
        <w:rPr>
          <w:szCs w:val="22"/>
        </w:rPr>
        <w:t>Chiefs, Wireless Telecommunications Bureau and Wireline Competition Bureau:</w:t>
      </w:r>
    </w:p>
    <w:p w:rsidR="00822CE0" w14:paraId="4A7A80EA" w14:textId="77777777">
      <w:pPr>
        <w:rPr>
          <w:spacing w:val="-2"/>
        </w:rPr>
      </w:pPr>
    </w:p>
    <w:p w:rsidR="00B138DB" w:rsidP="007C7A89" w14:paraId="58B06D18" w14:textId="7929A7F2">
      <w:pPr>
        <w:pStyle w:val="ParaNum"/>
      </w:pPr>
      <w:r w:rsidRPr="00D03431">
        <w:t xml:space="preserve">In this Order, the </w:t>
      </w:r>
      <w:r w:rsidRPr="007C7A89">
        <w:t xml:space="preserve">Wireless Telecommunications Bureau (WTB) and the Wireline Competition Bureau (WCB) </w:t>
      </w:r>
      <w:r w:rsidR="00593530">
        <w:t xml:space="preserve">(collectively, Bureaus) </w:t>
      </w:r>
      <w:r w:rsidR="00A8131D">
        <w:t xml:space="preserve">grant in part </w:t>
      </w:r>
      <w:r w:rsidRPr="00D03431">
        <w:t xml:space="preserve">a </w:t>
      </w:r>
      <w:r>
        <w:t xml:space="preserve">motion </w:t>
      </w:r>
      <w:r w:rsidRPr="00D03431">
        <w:t xml:space="preserve">filed by </w:t>
      </w:r>
      <w:r w:rsidR="00593530">
        <w:t xml:space="preserve">the National League of Cities </w:t>
      </w:r>
      <w:r w:rsidRPr="00D03431">
        <w:t>a</w:t>
      </w:r>
      <w:r w:rsidR="00593530">
        <w:t>nd</w:t>
      </w:r>
      <w:r w:rsidRPr="00D03431">
        <w:t xml:space="preserve"> </w:t>
      </w:r>
      <w:r w:rsidR="00593530">
        <w:t>a number</w:t>
      </w:r>
      <w:r w:rsidRPr="00D03431" w:rsidR="00593530">
        <w:t xml:space="preserve"> </w:t>
      </w:r>
      <w:r w:rsidRPr="00D03431">
        <w:t>of local governments and associations representing local governments</w:t>
      </w:r>
      <w:r w:rsidR="004A1619">
        <w:t xml:space="preserve"> (</w:t>
      </w:r>
      <w:r w:rsidR="00593530">
        <w:t>collectively, NLC</w:t>
      </w:r>
      <w:r w:rsidR="00EE2CD9">
        <w:t xml:space="preserve"> et al.</w:t>
      </w:r>
      <w:r w:rsidR="004A1619">
        <w:t>)</w:t>
      </w:r>
      <w:r w:rsidRPr="00D03431">
        <w:t xml:space="preserve"> seeking an extension of time to </w:t>
      </w:r>
      <w:r>
        <w:t>file reply comments in the above-captioned proceedings.</w:t>
      </w:r>
      <w:r>
        <w:rPr>
          <w:rStyle w:val="FootnoteReference"/>
        </w:rPr>
        <w:footnoteReference w:id="3"/>
      </w:r>
      <w:r>
        <w:t xml:space="preserve">  </w:t>
      </w:r>
      <w:r w:rsidR="00A8131D">
        <w:t xml:space="preserve">  For the reasons stated below, we find that a</w:t>
      </w:r>
      <w:r w:rsidR="0068198C">
        <w:t xml:space="preserve"> </w:t>
      </w:r>
      <w:r w:rsidR="00EF6856">
        <w:t xml:space="preserve">seven </w:t>
      </w:r>
      <w:r w:rsidR="0068198C">
        <w:t xml:space="preserve">day extension </w:t>
      </w:r>
      <w:r w:rsidR="00A8131D">
        <w:t xml:space="preserve">of time is warranted, and we </w:t>
      </w:r>
      <w:r w:rsidR="0068198C">
        <w:t xml:space="preserve">extend the deadline to file reply comments to November </w:t>
      </w:r>
      <w:r w:rsidR="00EF6856">
        <w:t>20</w:t>
      </w:r>
      <w:r w:rsidR="0068198C">
        <w:t>, 2019</w:t>
      </w:r>
      <w:r w:rsidR="00A8131D">
        <w:t xml:space="preserve">. </w:t>
      </w:r>
    </w:p>
    <w:p w:rsidR="00B138DB" w:rsidP="004A1619" w14:paraId="035614A1" w14:textId="6D1195EA">
      <w:pPr>
        <w:pStyle w:val="ParaNum"/>
      </w:pPr>
      <w:r>
        <w:t xml:space="preserve">On September 13, 2019, </w:t>
      </w:r>
      <w:bookmarkStart w:id="1" w:name="_Hlk23934690"/>
      <w:r w:rsidR="00593530">
        <w:t>the Bureaus</w:t>
      </w:r>
      <w:r w:rsidRPr="007C7A89">
        <w:t xml:space="preserve"> </w:t>
      </w:r>
      <w:bookmarkEnd w:id="1"/>
      <w:r w:rsidRPr="007C7A89">
        <w:t>issued a Public Notice seeking comment on a Petition for Rulemaking and a Petition for Declaratory Ruling filed by the Wireless Infrastructure Association (WIA) and a Petition for Declaratory Ruling filed by CTIA—The Wireless Association (CTIA).</w:t>
      </w:r>
      <w:r>
        <w:rPr>
          <w:rStyle w:val="FootnoteReference"/>
        </w:rPr>
        <w:footnoteReference w:id="4"/>
      </w:r>
      <w:r>
        <w:t xml:space="preserve">  </w:t>
      </w:r>
      <w:r w:rsidRPr="007C7A89">
        <w:t>The Public Notice established comment and reply comment filing dates of October 15 and October 30, 2019, respectively.</w:t>
      </w:r>
      <w:r>
        <w:t xml:space="preserve">  </w:t>
      </w:r>
      <w:r w:rsidR="00593530">
        <w:t>O</w:t>
      </w:r>
      <w:r w:rsidRPr="001E783A" w:rsidR="001E783A">
        <w:t xml:space="preserve">rganizations representing utilities and local government associations </w:t>
      </w:r>
      <w:r w:rsidR="001E783A">
        <w:t xml:space="preserve">subsequently </w:t>
      </w:r>
      <w:r w:rsidRPr="001E783A" w:rsidR="001E783A">
        <w:t xml:space="preserve">filed separate motions requesting that the comment </w:t>
      </w:r>
      <w:r w:rsidR="000A1A60">
        <w:t xml:space="preserve">deadline be extended to November 14 </w:t>
      </w:r>
      <w:r w:rsidRPr="001E783A" w:rsidR="001E783A">
        <w:t xml:space="preserve">and </w:t>
      </w:r>
      <w:r w:rsidR="000A1A60">
        <w:t xml:space="preserve">that the </w:t>
      </w:r>
      <w:r w:rsidRPr="001E783A" w:rsidR="001E783A">
        <w:t xml:space="preserve">reply comment </w:t>
      </w:r>
      <w:r w:rsidR="000A1A60">
        <w:t>deadline</w:t>
      </w:r>
      <w:r w:rsidRPr="001E783A" w:rsidR="001E783A">
        <w:t xml:space="preserve"> be extended to December 16, 2019</w:t>
      </w:r>
      <w:r>
        <w:t>.</w:t>
      </w:r>
      <w:r>
        <w:rPr>
          <w:rStyle w:val="FootnoteReference"/>
        </w:rPr>
        <w:footnoteReference w:id="5"/>
      </w:r>
      <w:r>
        <w:t xml:space="preserve">  In an Order released on September 30, 2019, </w:t>
      </w:r>
      <w:r w:rsidR="00593530">
        <w:t>the Bureaus</w:t>
      </w:r>
      <w:r>
        <w:t xml:space="preserve"> granted </w:t>
      </w:r>
      <w:r w:rsidRPr="00B138DB">
        <w:t>a 14-day extension of time</w:t>
      </w:r>
      <w:r w:rsidR="004A1619">
        <w:t xml:space="preserve">, which made the deadlines for comments and reply comments </w:t>
      </w:r>
      <w:r w:rsidRPr="00B138DB">
        <w:t>October 29 and November 13, respectively.</w:t>
      </w:r>
      <w:r>
        <w:rPr>
          <w:rStyle w:val="FootnoteReference"/>
        </w:rPr>
        <w:footnoteReference w:id="6"/>
      </w:r>
      <w:r w:rsidR="004A1619">
        <w:t xml:space="preserve">  </w:t>
      </w:r>
    </w:p>
    <w:p w:rsidR="001D0F45" w:rsidP="00C75EBC" w14:paraId="18620EFA" w14:textId="251A7B84">
      <w:pPr>
        <w:pStyle w:val="ParaNum"/>
        <w:rPr>
          <w:rFonts w:eastAsia="Calibri"/>
          <w:snapToGrid/>
          <w:kern w:val="0"/>
          <w:szCs w:val="22"/>
        </w:rPr>
      </w:pPr>
      <w:r w:rsidRPr="007C7A89">
        <w:t>On November 4, 2019,</w:t>
      </w:r>
      <w:r w:rsidR="00B33AF7">
        <w:t xml:space="preserve"> </w:t>
      </w:r>
      <w:bookmarkStart w:id="3" w:name="_Hlk23935170"/>
      <w:r w:rsidR="00593530">
        <w:t>NLC</w:t>
      </w:r>
      <w:r w:rsidR="00EE2CD9">
        <w:t xml:space="preserve"> et al.</w:t>
      </w:r>
      <w:r w:rsidR="004A1619">
        <w:t xml:space="preserve"> filed a motion </w:t>
      </w:r>
      <w:r w:rsidR="00593530">
        <w:t>that requested</w:t>
      </w:r>
      <w:r w:rsidR="00F37690">
        <w:t xml:space="preserve"> another extension</w:t>
      </w:r>
      <w:r w:rsidR="00112D21">
        <w:t xml:space="preserve"> for filing reply comments</w:t>
      </w:r>
      <w:r w:rsidR="00593530">
        <w:t>, this time for</w:t>
      </w:r>
      <w:r w:rsidR="00112D21">
        <w:t xml:space="preserve"> 21 days to December 4, 2019.</w:t>
      </w:r>
      <w:r>
        <w:rPr>
          <w:rStyle w:val="FootnoteReference"/>
        </w:rPr>
        <w:footnoteReference w:id="7"/>
      </w:r>
      <w:r w:rsidR="00112D21">
        <w:t xml:space="preserve">  </w:t>
      </w:r>
      <w:r w:rsidR="00B30E9E">
        <w:t>The</w:t>
      </w:r>
      <w:r w:rsidR="00B33AF7">
        <w:t xml:space="preserve"> motion</w:t>
      </w:r>
      <w:r w:rsidR="000A1A60">
        <w:t xml:space="preserve"> argue</w:t>
      </w:r>
      <w:r w:rsidR="00B33AF7">
        <w:t>s</w:t>
      </w:r>
      <w:r w:rsidR="00B30E9E">
        <w:t xml:space="preserve"> </w:t>
      </w:r>
      <w:r w:rsidR="00B20553">
        <w:t xml:space="preserve">that the </w:t>
      </w:r>
      <w:r w:rsidR="00B30E9E">
        <w:t xml:space="preserve">November 13 deadline for </w:t>
      </w:r>
      <w:r w:rsidRPr="001D0F45" w:rsidR="00B30E9E">
        <w:rPr>
          <w:rFonts w:eastAsia="Calibri"/>
          <w:snapToGrid/>
          <w:kern w:val="0"/>
          <w:szCs w:val="22"/>
        </w:rPr>
        <w:t xml:space="preserve">reply comments does not provide </w:t>
      </w:r>
      <w:r w:rsidR="000A1A60">
        <w:rPr>
          <w:rFonts w:eastAsia="Calibri"/>
          <w:snapToGrid/>
          <w:kern w:val="0"/>
          <w:szCs w:val="22"/>
        </w:rPr>
        <w:t>local governments</w:t>
      </w:r>
      <w:r w:rsidRPr="001D0F45" w:rsidR="00B30E9E">
        <w:rPr>
          <w:rFonts w:eastAsia="Calibri"/>
          <w:snapToGrid/>
          <w:kern w:val="0"/>
          <w:szCs w:val="22"/>
        </w:rPr>
        <w:t xml:space="preserve"> with enough time </w:t>
      </w:r>
      <w:r w:rsidRPr="001D0F45" w:rsidR="003258A1">
        <w:rPr>
          <w:rFonts w:eastAsia="Calibri"/>
          <w:snapToGrid/>
          <w:kern w:val="0"/>
          <w:szCs w:val="22"/>
        </w:rPr>
        <w:t>t</w:t>
      </w:r>
      <w:r w:rsidRPr="001D0F45" w:rsidR="00B30E9E">
        <w:rPr>
          <w:rFonts w:eastAsia="Calibri"/>
          <w:snapToGrid/>
          <w:kern w:val="0"/>
          <w:szCs w:val="22"/>
        </w:rPr>
        <w:t xml:space="preserve">o </w:t>
      </w:r>
      <w:r w:rsidR="00840FBC">
        <w:rPr>
          <w:rFonts w:eastAsia="Calibri"/>
          <w:snapToGrid/>
          <w:kern w:val="0"/>
          <w:szCs w:val="22"/>
        </w:rPr>
        <w:t xml:space="preserve">respond to </w:t>
      </w:r>
      <w:r w:rsidRPr="001D0F45" w:rsidR="003258A1">
        <w:rPr>
          <w:rFonts w:eastAsia="Calibri"/>
          <w:snapToGrid/>
          <w:kern w:val="0"/>
          <w:szCs w:val="22"/>
        </w:rPr>
        <w:t xml:space="preserve">the volume of material </w:t>
      </w:r>
      <w:r w:rsidRPr="001D0F45" w:rsidR="0048374F">
        <w:rPr>
          <w:rFonts w:eastAsia="Calibri"/>
          <w:snapToGrid/>
          <w:kern w:val="0"/>
          <w:szCs w:val="22"/>
        </w:rPr>
        <w:t xml:space="preserve">and technical content </w:t>
      </w:r>
      <w:r w:rsidR="00947610">
        <w:rPr>
          <w:rFonts w:eastAsia="Calibri"/>
          <w:snapToGrid/>
          <w:kern w:val="0"/>
          <w:szCs w:val="22"/>
        </w:rPr>
        <w:t>of the material</w:t>
      </w:r>
      <w:r w:rsidR="00872807">
        <w:rPr>
          <w:rFonts w:eastAsia="Calibri"/>
          <w:snapToGrid/>
          <w:kern w:val="0"/>
          <w:szCs w:val="22"/>
        </w:rPr>
        <w:t xml:space="preserve"> filed in the record</w:t>
      </w:r>
      <w:r w:rsidR="00840FBC">
        <w:rPr>
          <w:rFonts w:eastAsia="Calibri"/>
          <w:snapToGrid/>
          <w:kern w:val="0"/>
          <w:szCs w:val="22"/>
        </w:rPr>
        <w:t>, or</w:t>
      </w:r>
      <w:r w:rsidR="00EE2CD9">
        <w:rPr>
          <w:rFonts w:eastAsia="Calibri"/>
          <w:snapToGrid/>
          <w:kern w:val="0"/>
          <w:szCs w:val="22"/>
        </w:rPr>
        <w:t xml:space="preserve"> to</w:t>
      </w:r>
      <w:r w:rsidR="00840FBC">
        <w:rPr>
          <w:rFonts w:eastAsia="Calibri"/>
          <w:snapToGrid/>
          <w:kern w:val="0"/>
          <w:szCs w:val="22"/>
        </w:rPr>
        <w:t xml:space="preserve"> industry claims of misconduct by local communities</w:t>
      </w:r>
      <w:r w:rsidRPr="001D0F45" w:rsidR="003258A1">
        <w:rPr>
          <w:rFonts w:eastAsia="Calibri"/>
          <w:snapToGrid/>
          <w:kern w:val="0"/>
          <w:szCs w:val="22"/>
        </w:rPr>
        <w:t>.</w:t>
      </w:r>
      <w:r>
        <w:rPr>
          <w:rStyle w:val="FootnoteReference"/>
          <w:rFonts w:eastAsia="Calibri"/>
          <w:snapToGrid/>
          <w:kern w:val="0"/>
          <w:szCs w:val="22"/>
        </w:rPr>
        <w:footnoteReference w:id="8"/>
      </w:r>
      <w:r w:rsidRPr="001D0F45">
        <w:rPr>
          <w:rFonts w:eastAsia="Calibri"/>
          <w:snapToGrid/>
          <w:kern w:val="0"/>
          <w:szCs w:val="22"/>
        </w:rPr>
        <w:t xml:space="preserve"> </w:t>
      </w:r>
    </w:p>
    <w:p w:rsidR="00056BF6" w:rsidRPr="00056BF6" w:rsidP="00056BF6" w14:paraId="0C1D0A61" w14:textId="28AA533C">
      <w:pPr>
        <w:pStyle w:val="ParaNum"/>
        <w:rPr>
          <w:rFonts w:eastAsia="Calibri"/>
          <w:snapToGrid/>
          <w:kern w:val="0"/>
          <w:szCs w:val="22"/>
        </w:rPr>
      </w:pPr>
      <w:r w:rsidRPr="00056BF6">
        <w:rPr>
          <w:rFonts w:eastAsia="Calibri"/>
          <w:snapToGrid/>
          <w:kern w:val="0"/>
          <w:szCs w:val="22"/>
        </w:rPr>
        <w:t>The Commission does not routinely grant motions for extension of time.</w:t>
      </w:r>
      <w:r>
        <w:rPr>
          <w:rStyle w:val="FootnoteReference"/>
          <w:rFonts w:eastAsia="Calibri"/>
          <w:snapToGrid/>
          <w:kern w:val="0"/>
          <w:szCs w:val="22"/>
        </w:rPr>
        <w:footnoteReference w:id="9"/>
      </w:r>
      <w:r w:rsidRPr="00056BF6">
        <w:rPr>
          <w:rFonts w:eastAsia="Calibri"/>
          <w:snapToGrid/>
          <w:kern w:val="0"/>
          <w:szCs w:val="22"/>
        </w:rPr>
        <w:t xml:space="preserve">  </w:t>
      </w:r>
      <w:r w:rsidRPr="00056BF6">
        <w:rPr>
          <w:rFonts w:eastAsia="Calibri"/>
          <w:snapToGrid/>
          <w:kern w:val="0"/>
          <w:szCs w:val="22"/>
        </w:rPr>
        <w:t xml:space="preserve">In this instance, however, </w:t>
      </w:r>
      <w:r w:rsidR="00A24E2B">
        <w:rPr>
          <w:rFonts w:eastAsia="Calibri"/>
          <w:snapToGrid/>
          <w:kern w:val="0"/>
          <w:szCs w:val="22"/>
        </w:rPr>
        <w:t xml:space="preserve">given the volume of comments and the complexity of issues, </w:t>
      </w:r>
      <w:r w:rsidRPr="00056BF6">
        <w:rPr>
          <w:rFonts w:eastAsia="Calibri"/>
          <w:snapToGrid/>
          <w:kern w:val="0"/>
          <w:szCs w:val="22"/>
        </w:rPr>
        <w:t>we find there is good cause to grant a</w:t>
      </w:r>
      <w:r w:rsidR="00A24E2B">
        <w:rPr>
          <w:rFonts w:eastAsia="Calibri"/>
          <w:snapToGrid/>
          <w:kern w:val="0"/>
          <w:szCs w:val="22"/>
        </w:rPr>
        <w:t xml:space="preserve"> </w:t>
      </w:r>
      <w:r w:rsidRPr="00056BF6">
        <w:rPr>
          <w:rFonts w:eastAsia="Calibri"/>
          <w:snapToGrid/>
          <w:kern w:val="0"/>
          <w:szCs w:val="22"/>
        </w:rPr>
        <w:t>limited extension of time to file reply comment</w:t>
      </w:r>
      <w:r>
        <w:rPr>
          <w:rFonts w:eastAsia="Calibri"/>
          <w:snapToGrid/>
          <w:kern w:val="0"/>
          <w:szCs w:val="22"/>
        </w:rPr>
        <w:t>s</w:t>
      </w:r>
      <w:r w:rsidRPr="00056BF6">
        <w:rPr>
          <w:rFonts w:eastAsia="Calibri"/>
          <w:snapToGrid/>
          <w:kern w:val="0"/>
          <w:szCs w:val="22"/>
        </w:rPr>
        <w:t>.</w:t>
      </w:r>
      <w:r w:rsidRPr="00056BF6">
        <w:rPr>
          <w:rFonts w:eastAsia="Calibri"/>
          <w:snapToGrid/>
          <w:kern w:val="0"/>
          <w:szCs w:val="22"/>
        </w:rPr>
        <w:t xml:space="preserve">  </w:t>
      </w:r>
      <w:r w:rsidRPr="00056BF6">
        <w:rPr>
          <w:rFonts w:eastAsia="Calibri"/>
          <w:snapToGrid/>
          <w:kern w:val="0"/>
          <w:szCs w:val="22"/>
        </w:rPr>
        <w:t xml:space="preserve">We believe an additional </w:t>
      </w:r>
      <w:r w:rsidR="00EF6856">
        <w:rPr>
          <w:rFonts w:eastAsia="Calibri"/>
          <w:snapToGrid/>
          <w:kern w:val="0"/>
          <w:szCs w:val="22"/>
        </w:rPr>
        <w:t>seven</w:t>
      </w:r>
      <w:r w:rsidRPr="00056BF6">
        <w:rPr>
          <w:rFonts w:eastAsia="Calibri"/>
          <w:snapToGrid/>
          <w:kern w:val="0"/>
          <w:szCs w:val="22"/>
        </w:rPr>
        <w:t xml:space="preserve"> days should provide </w:t>
      </w:r>
      <w:r w:rsidRPr="00056BF6">
        <w:rPr>
          <w:rFonts w:eastAsia="Calibri"/>
          <w:snapToGrid/>
          <w:kern w:val="0"/>
          <w:szCs w:val="22"/>
        </w:rPr>
        <w:t>sufficient</w:t>
      </w:r>
      <w:r w:rsidRPr="00056BF6">
        <w:rPr>
          <w:rFonts w:eastAsia="Calibri"/>
          <w:snapToGrid/>
          <w:kern w:val="0"/>
          <w:szCs w:val="22"/>
        </w:rPr>
        <w:t xml:space="preserve"> time for parties to analyze the issues raised in the petitions and meaningfully address them.</w:t>
      </w:r>
      <w:r w:rsidRPr="00056BF6">
        <w:rPr>
          <w:rFonts w:eastAsia="Calibri"/>
          <w:snapToGrid/>
          <w:kern w:val="0"/>
          <w:szCs w:val="22"/>
        </w:rPr>
        <w:t xml:space="preserve">  Moreover, if additional relevant information becomes available after the close of the comment period, parties may submit such information on an ex parte basis in these permit-but-disclose proceedings.   </w:t>
      </w:r>
      <w:r w:rsidRPr="00056BF6">
        <w:rPr>
          <w:rFonts w:eastAsia="Calibri"/>
          <w:snapToGrid/>
          <w:kern w:val="0"/>
          <w:szCs w:val="22"/>
        </w:rPr>
        <w:t xml:space="preserve">We therefore grant the motion in part and establish </w:t>
      </w:r>
      <w:r w:rsidR="0068198C">
        <w:rPr>
          <w:rFonts w:eastAsia="Calibri"/>
          <w:snapToGrid/>
          <w:kern w:val="0"/>
          <w:szCs w:val="22"/>
        </w:rPr>
        <w:t xml:space="preserve">a new </w:t>
      </w:r>
      <w:r w:rsidRPr="00056BF6">
        <w:rPr>
          <w:rFonts w:eastAsia="Calibri"/>
          <w:snapToGrid/>
          <w:kern w:val="0"/>
          <w:szCs w:val="22"/>
        </w:rPr>
        <w:t xml:space="preserve">reply comment deadline of November </w:t>
      </w:r>
      <w:r w:rsidR="00EF6856">
        <w:rPr>
          <w:rFonts w:eastAsia="Calibri"/>
          <w:snapToGrid/>
          <w:kern w:val="0"/>
          <w:szCs w:val="22"/>
        </w:rPr>
        <w:t>20</w:t>
      </w:r>
      <w:r w:rsidRPr="00056BF6">
        <w:rPr>
          <w:rFonts w:eastAsia="Calibri"/>
          <w:snapToGrid/>
          <w:kern w:val="0"/>
          <w:szCs w:val="22"/>
        </w:rPr>
        <w:t>, 2019.</w:t>
      </w:r>
    </w:p>
    <w:p w:rsidR="00EB6B95" w:rsidP="00B138DB" w14:paraId="69D215ED" w14:textId="2F393037">
      <w:pPr>
        <w:pStyle w:val="ParaNum"/>
      </w:pPr>
      <w:r w:rsidRPr="00056BF6">
        <w:rPr>
          <w:rFonts w:eastAsia="Calibri"/>
          <w:snapToGrid/>
          <w:kern w:val="0"/>
          <w:szCs w:val="22"/>
        </w:rPr>
        <w:t xml:space="preserve">Accordingly, IT IS ORDERED, pursuant to sections 4(i), 4(j), 5, and 303(r) of the Communications Act, as amended, 47 U.S.C. §§ 154(i), 154(j), 155, and 303(r), and sections 0.91, 0.131, 0.291, 0.331, 1.2, and 1.46 of the Commission’s rules, 47 CFR §§ 0.91, 0.131, 0.291, 0.331, 1.2, and 1.46, that the Motion for Extension of Time filed by </w:t>
      </w:r>
      <w:r w:rsidR="00056BF6">
        <w:rPr>
          <w:rFonts w:eastAsia="Calibri"/>
          <w:snapToGrid/>
          <w:kern w:val="0"/>
          <w:szCs w:val="22"/>
        </w:rPr>
        <w:t>NLC et al.</w:t>
      </w:r>
      <w:r w:rsidRPr="00056BF6">
        <w:rPr>
          <w:rFonts w:eastAsia="Calibri"/>
          <w:snapToGrid/>
          <w:kern w:val="0"/>
          <w:szCs w:val="22"/>
        </w:rPr>
        <w:t xml:space="preserve"> on November 4, 2019, </w:t>
      </w:r>
      <w:r w:rsidRPr="00056BF6" w:rsidR="00BC3573">
        <w:rPr>
          <w:rFonts w:eastAsia="Calibri"/>
          <w:snapToGrid/>
          <w:kern w:val="0"/>
          <w:szCs w:val="22"/>
        </w:rPr>
        <w:t>IS</w:t>
      </w:r>
      <w:r w:rsidRPr="00056BF6">
        <w:rPr>
          <w:rFonts w:eastAsia="Calibri"/>
          <w:snapToGrid/>
          <w:kern w:val="0"/>
          <w:szCs w:val="22"/>
        </w:rPr>
        <w:t xml:space="preserve"> </w:t>
      </w:r>
      <w:r w:rsidR="00056BF6">
        <w:rPr>
          <w:rFonts w:eastAsia="Calibri"/>
          <w:snapToGrid/>
          <w:kern w:val="0"/>
          <w:szCs w:val="22"/>
        </w:rPr>
        <w:t>GRANTED IN PART</w:t>
      </w:r>
      <w:r w:rsidRPr="00056BF6">
        <w:rPr>
          <w:rFonts w:eastAsia="Calibri"/>
          <w:snapToGrid/>
          <w:kern w:val="0"/>
          <w:szCs w:val="22"/>
        </w:rPr>
        <w:t>.</w:t>
      </w:r>
      <w:bookmarkEnd w:id="3"/>
      <w:r w:rsidRPr="007C7A89" w:rsidR="007C7A89">
        <w:t xml:space="preserve">  </w:t>
      </w:r>
    </w:p>
    <w:p w:rsidR="007C7A89" w:rsidP="00EB6B95" w14:paraId="305E5D97" w14:textId="0DD36D35">
      <w:pPr>
        <w:widowControl/>
      </w:pPr>
      <w:r>
        <w:br w:type="page"/>
      </w:r>
      <w:bookmarkStart w:id="4" w:name="_GoBack"/>
      <w:bookmarkEnd w:id="4"/>
    </w:p>
    <w:p w:rsidR="00056BF6" w:rsidRPr="007C7A89" w:rsidP="00B138DB" w14:paraId="42378C11" w14:textId="2752F136">
      <w:pPr>
        <w:pStyle w:val="ParaNum"/>
      </w:pPr>
      <w:r w:rsidRPr="00056BF6">
        <w:t xml:space="preserve">IT IS FURTHER ORDERED that the date for filing </w:t>
      </w:r>
      <w:r>
        <w:t xml:space="preserve">reply </w:t>
      </w:r>
      <w:r w:rsidRPr="00056BF6">
        <w:t xml:space="preserve">comments IS EXTENDED </w:t>
      </w:r>
      <w:r w:rsidRPr="00056BF6" w:rsidR="00194D41">
        <w:t>to November</w:t>
      </w:r>
      <w:r w:rsidRPr="00056BF6">
        <w:t xml:space="preserve"> </w:t>
      </w:r>
      <w:r w:rsidR="00EF6856">
        <w:t>20</w:t>
      </w:r>
      <w:r w:rsidRPr="00056BF6">
        <w:t>, 2019.</w:t>
      </w:r>
    </w:p>
    <w:p w:rsidR="005E28F2" w:rsidP="00642A52" w14:paraId="3BA01318" w14:textId="77777777">
      <w:pPr>
        <w:rPr>
          <w:szCs w:val="22"/>
        </w:rPr>
      </w:pPr>
    </w:p>
    <w:p w:rsidR="00642A52" w:rsidRPr="009F5FB3" w:rsidP="005E28F2" w14:paraId="07094C13" w14:textId="77777777">
      <w:pPr>
        <w:ind w:left="3600"/>
        <w:rPr>
          <w:szCs w:val="22"/>
        </w:rPr>
      </w:pPr>
      <w:r w:rsidRPr="009F5FB3">
        <w:rPr>
          <w:szCs w:val="22"/>
        </w:rPr>
        <w:t>FEDERAL COMMUNICATIONS COMMISSION</w:t>
      </w:r>
    </w:p>
    <w:p w:rsidR="00642A52" w:rsidRPr="009F5FB3" w:rsidP="00642A52" w14:paraId="0AB82BE7" w14:textId="77777777">
      <w:pPr>
        <w:rPr>
          <w:szCs w:val="22"/>
        </w:rPr>
      </w:pPr>
    </w:p>
    <w:p w:rsidR="00642A52" w:rsidRPr="009F5FB3" w:rsidP="00642A52" w14:paraId="5678FCD5" w14:textId="77777777">
      <w:pPr>
        <w:rPr>
          <w:szCs w:val="22"/>
        </w:rPr>
      </w:pPr>
    </w:p>
    <w:p w:rsidR="00642A52" w:rsidRPr="009F5FB3" w:rsidP="00642A52" w14:paraId="7A884EE4" w14:textId="77777777">
      <w:pPr>
        <w:rPr>
          <w:szCs w:val="22"/>
        </w:rPr>
      </w:pPr>
    </w:p>
    <w:p w:rsidR="00642A52" w:rsidRPr="009F5FB3" w:rsidP="005E28F2" w14:paraId="5A478706" w14:textId="77777777">
      <w:pPr>
        <w:rPr>
          <w:szCs w:val="22"/>
        </w:rPr>
      </w:pPr>
      <w:r w:rsidRPr="009F5FB3">
        <w:rPr>
          <w:szCs w:val="22"/>
        </w:rPr>
        <w:t>Donald K. Stockdale</w:t>
      </w:r>
      <w:r w:rsidR="005E28F2">
        <w:rPr>
          <w:szCs w:val="22"/>
        </w:rPr>
        <w:t xml:space="preserve">. </w:t>
      </w:r>
      <w:r w:rsidRPr="009F5FB3">
        <w:rPr>
          <w:szCs w:val="22"/>
        </w:rPr>
        <w:t>Chief</w:t>
      </w:r>
      <w:r w:rsidR="005E28F2">
        <w:rPr>
          <w:szCs w:val="22"/>
        </w:rPr>
        <w:tab/>
      </w:r>
      <w:r w:rsidR="005E28F2">
        <w:rPr>
          <w:szCs w:val="22"/>
        </w:rPr>
        <w:tab/>
      </w:r>
      <w:r w:rsidR="005E28F2">
        <w:rPr>
          <w:szCs w:val="22"/>
        </w:rPr>
        <w:tab/>
      </w:r>
      <w:r w:rsidR="005E28F2">
        <w:rPr>
          <w:szCs w:val="22"/>
        </w:rPr>
        <w:tab/>
        <w:t>Kris A. Monteith, Chief</w:t>
      </w:r>
    </w:p>
    <w:p w:rsidR="00412FC5" w:rsidRPr="000E0F04" w:rsidP="00642A52" w14:paraId="0513D750" w14:textId="77777777">
      <w:pPr>
        <w:rPr>
          <w:szCs w:val="22"/>
        </w:rPr>
      </w:pPr>
      <w:r w:rsidRPr="009F5FB3">
        <w:rPr>
          <w:szCs w:val="22"/>
        </w:rPr>
        <w:t>Wireless Telecommunications Bureau</w:t>
      </w:r>
      <w:r w:rsidR="005E28F2">
        <w:rPr>
          <w:szCs w:val="22"/>
        </w:rPr>
        <w:tab/>
      </w:r>
      <w:r w:rsidR="005E28F2">
        <w:rPr>
          <w:szCs w:val="22"/>
        </w:rPr>
        <w:tab/>
      </w:r>
      <w:r w:rsidR="005E28F2">
        <w:rPr>
          <w:szCs w:val="22"/>
        </w:rP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9FE41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A18A6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CDE8E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112FCF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5E1C9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0285" w14:paraId="685B42C3" w14:textId="77777777">
      <w:r>
        <w:separator/>
      </w:r>
    </w:p>
  </w:footnote>
  <w:footnote w:type="continuationSeparator" w:id="1">
    <w:p w:rsidR="00020285" w:rsidP="00C721AC" w14:paraId="46F7C6D1" w14:textId="77777777">
      <w:pPr>
        <w:spacing w:before="120"/>
        <w:rPr>
          <w:sz w:val="20"/>
        </w:rPr>
      </w:pPr>
      <w:r>
        <w:rPr>
          <w:sz w:val="20"/>
        </w:rPr>
        <w:t xml:space="preserve">(Continued from previous page)  </w:t>
      </w:r>
      <w:r>
        <w:rPr>
          <w:sz w:val="20"/>
        </w:rPr>
        <w:separator/>
      </w:r>
    </w:p>
  </w:footnote>
  <w:footnote w:type="continuationNotice" w:id="2">
    <w:p w:rsidR="00020285" w:rsidP="00C721AC" w14:paraId="65DAC232" w14:textId="77777777">
      <w:pPr>
        <w:jc w:val="right"/>
        <w:rPr>
          <w:sz w:val="20"/>
        </w:rPr>
      </w:pPr>
      <w:r>
        <w:rPr>
          <w:sz w:val="20"/>
        </w:rPr>
        <w:t>(continued….)</w:t>
      </w:r>
    </w:p>
  </w:footnote>
  <w:footnote w:id="3">
    <w:p w:rsidR="001C6335" w:rsidRPr="001C6335" w:rsidP="001C6335" w14:paraId="3A7A69A2" w14:textId="67502E65">
      <w:pPr>
        <w:pStyle w:val="FootnoteText"/>
      </w:pPr>
      <w:r>
        <w:rPr>
          <w:rStyle w:val="FootnoteReference"/>
        </w:rPr>
        <w:footnoteRef/>
      </w:r>
      <w:r>
        <w:t xml:space="preserve"> Motion for Extension of Time to File Reply Comments, </w:t>
      </w:r>
      <w:bookmarkStart w:id="0" w:name="_Hlk23946451"/>
      <w:r w:rsidRPr="001C6335">
        <w:t xml:space="preserve">National League of Cities; the United States Conference of Mayors; the National Association of Telecommunications Officers and Advisors; the National Association of Counties; Clark County, Nevada; Cobb County, Georgia; Howard County, Maryland; Montgomery County, Maryland; the City of Ann Arbor, Michigan; </w:t>
      </w:r>
      <w:r w:rsidR="007971F7">
        <w:t xml:space="preserve">the </w:t>
      </w:r>
      <w:r w:rsidRPr="001C6335">
        <w:t>City of Arlington, Texas; the City of Bellevue, Washington; the City of Boston, Massachusetts; the City of Burlingame, California; the Town of Fairfax, California; the City of Gaithersburg, Maryland; the City of Greenbelt, Maryland; the Town of Hillsborough, California; the City of Kirkland, Washington; the City of Lincoln, Nebraska; the City of Los Angeles, California; the City of Monterey, California; the City of Myrtle Beach, South Carolina; the City of New York, New York; the City of Omaha, Nebraska; the City of Portland, Oregon; the City of San Bruno, California; the Michigan Coalition to Protect Public Rights-of-Way; the Texas Municipal League; the Texas Coalition of Cities for Utility Issues; City of Beaverton, Oregon; City of Carlsbad, California; City of Cerritos, California; City of Coronado, California; Town of Danville, California; City of Encinitas, California; City of La Mesa, California; City of Lawndale, California; League of Oregon Cities; League of California Cities; City of Napa, California; City of Oxnard, California; City of Pleasanton, California; City of Rancho Palos Verdes, California; City of Richmond, California; Town of San Anselmo, California; City of San Diego, California; City of San Marcos, California; City of San Ramon, California; City of Santa Cruz, California; City of Santa Monica, California; City of Solana Beach California; City of South Lake Tahoe, California; City of Thousand Oaks, California; City of Boulder, Colorado; Town of Breckenridge, Colorado; Colorado Communications and Utility Alliance; King County, Washington; City of Lacey, Washington; City of Olympia, Washington; City of Tacoma, Washington; Thurston County, Washington; and City of Tumwater, Washington</w:t>
      </w:r>
      <w:bookmarkEnd w:id="0"/>
      <w:r>
        <w:t xml:space="preserve"> (filed November 4, 2019)</w:t>
      </w:r>
      <w:r w:rsidR="00681C20">
        <w:t xml:space="preserve"> (</w:t>
      </w:r>
      <w:r w:rsidR="00593530">
        <w:t>NLC</w:t>
      </w:r>
      <w:r w:rsidR="002F164D">
        <w:t xml:space="preserve"> et al.</w:t>
      </w:r>
      <w:r w:rsidR="00681C20">
        <w:t xml:space="preserve"> Motion)</w:t>
      </w:r>
      <w:r>
        <w:t>.</w:t>
      </w:r>
    </w:p>
    <w:p w:rsidR="001C6335" w14:paraId="05333908" w14:textId="77777777">
      <w:pPr>
        <w:pStyle w:val="FootnoteText"/>
      </w:pPr>
    </w:p>
  </w:footnote>
  <w:footnote w:id="4">
    <w:p w:rsidR="00F445B1" w14:paraId="191F9ED5" w14:textId="77777777">
      <w:pPr>
        <w:pStyle w:val="FootnoteText"/>
      </w:pPr>
      <w:r>
        <w:rPr>
          <w:rStyle w:val="FootnoteReference"/>
        </w:rPr>
        <w:footnoteRef/>
      </w:r>
      <w:r>
        <w:t xml:space="preserve"> </w:t>
      </w:r>
      <w:bookmarkStart w:id="2" w:name="_Hlk23955202"/>
      <w:r w:rsidRPr="00E35D8D" w:rsidR="00E35D8D">
        <w:rPr>
          <w:i/>
        </w:rPr>
        <w:t>Wireless Telecommunications Bureau and Wireline Competition Bureau Seek Comment on WIA Petition for Rulemaking, WIA Petition for Declaratory Ruling and CTIA Petition for Declaratory Ruling</w:t>
      </w:r>
      <w:r w:rsidRPr="00E35D8D" w:rsidR="00E35D8D">
        <w:t xml:space="preserve">, </w:t>
      </w:r>
      <w:r w:rsidRPr="005167C5" w:rsidR="005167C5">
        <w:t xml:space="preserve">WT Docket No. 19-250, WC Docket No. 17-84, RM-11849, </w:t>
      </w:r>
      <w:r w:rsidRPr="00E35D8D" w:rsidR="00E35D8D">
        <w:t>Public Notice, DA 19-913 (released Sept. 13, 2019).</w:t>
      </w:r>
      <w:bookmarkEnd w:id="2"/>
    </w:p>
  </w:footnote>
  <w:footnote w:id="5">
    <w:p w:rsidR="00681C20" w14:paraId="6D1D0A52" w14:textId="77777777">
      <w:pPr>
        <w:pStyle w:val="FootnoteText"/>
      </w:pPr>
      <w:r>
        <w:rPr>
          <w:rStyle w:val="FootnoteReference"/>
        </w:rPr>
        <w:footnoteRef/>
      </w:r>
      <w:r>
        <w:t xml:space="preserve"> </w:t>
      </w:r>
      <w:r w:rsidRPr="00557934" w:rsidR="00557934">
        <w:rPr>
          <w:i/>
          <w:iCs/>
        </w:rPr>
        <w:t xml:space="preserve">See </w:t>
      </w:r>
      <w:r w:rsidRPr="00557934" w:rsidR="00557934">
        <w:t>Edison Electric Institute, National Rural Electric Cooperative Association and Utilities Technology Council</w:t>
      </w:r>
      <w:r w:rsidR="000E0F04">
        <w:t>,</w:t>
      </w:r>
      <w:r w:rsidRPr="00557934" w:rsidR="00557934">
        <w:t xml:space="preserve"> Motion for Extension of Time (filed Sept. 19, 2019); National League of Cities, National Association of Counties, National League of Cities, U.S. Conference of Mayors and National Association of Telecommunications Officers and Advisors</w:t>
      </w:r>
      <w:r w:rsidR="000E0F04">
        <w:t>,</w:t>
      </w:r>
      <w:r w:rsidRPr="00557934" w:rsidR="00557934">
        <w:t xml:space="preserve"> Motion for Extension of Time (filed Sept. 24, 2019).</w:t>
      </w:r>
    </w:p>
  </w:footnote>
  <w:footnote w:id="6">
    <w:p w:rsidR="00681C20" w14:paraId="0E21EDCB" w14:textId="77777777">
      <w:pPr>
        <w:pStyle w:val="FootnoteText"/>
      </w:pPr>
      <w:r>
        <w:rPr>
          <w:rStyle w:val="FootnoteReference"/>
        </w:rPr>
        <w:footnoteRef/>
      </w:r>
      <w:r>
        <w:t xml:space="preserve"> </w:t>
      </w:r>
      <w:r w:rsidRPr="00557934" w:rsidR="00557934">
        <w:rPr>
          <w:i/>
        </w:rPr>
        <w:t>Wireless Telecommunications Bureau and Wireline Competition Bureau Seek Comment on WIA Petition for Rulemaking, WIA Petition for Declaratory Ruling and CTIA Petition for Declaratory Ruling</w:t>
      </w:r>
      <w:r w:rsidRPr="00557934" w:rsidR="00557934">
        <w:t xml:space="preserve">, </w:t>
      </w:r>
      <w:r w:rsidRPr="005167C5" w:rsidR="005167C5">
        <w:t xml:space="preserve">WT Docket No. 19-250, WC Docket No. 17-84, RM-11849, </w:t>
      </w:r>
      <w:r w:rsidR="00557934">
        <w:t>Order Granting Extension of Time</w:t>
      </w:r>
      <w:r w:rsidRPr="00557934" w:rsidR="00557934">
        <w:t>, DA 19-</w:t>
      </w:r>
      <w:r w:rsidR="00791D76">
        <w:t>978</w:t>
      </w:r>
      <w:r w:rsidRPr="00557934" w:rsidR="00557934">
        <w:t xml:space="preserve"> (released Sept. </w:t>
      </w:r>
      <w:r w:rsidR="00557934">
        <w:t>30</w:t>
      </w:r>
      <w:r w:rsidRPr="00557934" w:rsidR="00557934">
        <w:t>, 2019).</w:t>
      </w:r>
    </w:p>
  </w:footnote>
  <w:footnote w:id="7">
    <w:p w:rsidR="007A7710" w14:paraId="7372A62A" w14:textId="5E881F4E">
      <w:pPr>
        <w:pStyle w:val="FootnoteText"/>
      </w:pPr>
      <w:r>
        <w:rPr>
          <w:rStyle w:val="FootnoteReference"/>
        </w:rPr>
        <w:footnoteRef/>
      </w:r>
      <w:r>
        <w:t xml:space="preserve"> </w:t>
      </w:r>
      <w:r w:rsidR="006C29D6">
        <w:t xml:space="preserve">NLC et al. Motion at 3-6. </w:t>
      </w:r>
      <w:r>
        <w:t xml:space="preserve">On November 7, 2019, the Edison Electric Institute (EEI), the National Rural Electric Cooperative Association (NRECA), and the Utility Technology Council (UTC) filed a letter in support of the NLC et al. motion.  </w:t>
      </w:r>
      <w:r w:rsidRPr="006C29D6">
        <w:rPr>
          <w:i/>
        </w:rPr>
        <w:t>See</w:t>
      </w:r>
      <w:r>
        <w:t xml:space="preserve"> </w:t>
      </w:r>
      <w:r w:rsidR="006C29D6">
        <w:t>L</w:t>
      </w:r>
      <w:r>
        <w:t xml:space="preserve">etter from Aryeh Fishman, EEI, Bret Kilbourne, UTC, and Brian O’Hara, NRECA to Marlene Dortch, Secretary, Federal Communications Commission (filed Nov. 7, 2019).  </w:t>
      </w:r>
    </w:p>
  </w:footnote>
  <w:footnote w:id="8">
    <w:p w:rsidR="00681C20" w14:paraId="46AC3DEB" w14:textId="2D59627C">
      <w:pPr>
        <w:pStyle w:val="FootnoteText"/>
      </w:pPr>
      <w:r>
        <w:rPr>
          <w:rStyle w:val="FootnoteReference"/>
        </w:rPr>
        <w:footnoteRef/>
      </w:r>
      <w:r>
        <w:t xml:space="preserve"> </w:t>
      </w:r>
      <w:r w:rsidR="00F37690">
        <w:t>NLC</w:t>
      </w:r>
      <w:r w:rsidR="002F164D">
        <w:t xml:space="preserve"> et al.</w:t>
      </w:r>
      <w:r w:rsidR="00CF149F">
        <w:t xml:space="preserve"> Motion at 3</w:t>
      </w:r>
      <w:r w:rsidR="003D2476">
        <w:t>-6</w:t>
      </w:r>
      <w:r w:rsidR="00CF149F">
        <w:t>.</w:t>
      </w:r>
    </w:p>
  </w:footnote>
  <w:footnote w:id="9">
    <w:p w:rsidR="00E35D8D" w:rsidRPr="00E35D8D" w:rsidP="00E35D8D" w14:paraId="722FBAA9" w14:textId="77777777">
      <w:pPr>
        <w:pStyle w:val="FootnoteText"/>
      </w:pPr>
      <w:r>
        <w:rPr>
          <w:rStyle w:val="FootnoteReference"/>
        </w:rPr>
        <w:footnoteRef/>
      </w:r>
      <w:r>
        <w:t xml:space="preserve"> </w:t>
      </w:r>
      <w:r w:rsidRPr="00E35D8D">
        <w:t xml:space="preserve">47 CFR § 1.46(a).  </w:t>
      </w:r>
    </w:p>
    <w:p w:rsidR="00E35D8D" w14:paraId="2C18E18D"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A23461" w14:textId="656C228B">
    <w:pPr>
      <w:pStyle w:val="Header"/>
      <w:rPr>
        <w:b w:val="0"/>
      </w:rPr>
    </w:pPr>
    <w:r>
      <w:tab/>
      <w:t>Federal Communications Commission</w:t>
    </w:r>
    <w:r>
      <w:tab/>
    </w:r>
    <w:r w:rsidR="00C51D3B">
      <w:t>DA 19-1162</w:t>
    </w:r>
  </w:p>
  <w:p w:rsidR="00D25FB5" w14:paraId="25C05012" w14:textId="5E06EAD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DCC8C7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788828" w14:textId="000968D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51D3B">
      <w:rPr>
        <w:spacing w:val="-2"/>
      </w:rPr>
      <w:t>DA 19-1162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2C"/>
    <w:rsid w:val="00020285"/>
    <w:rsid w:val="00036039"/>
    <w:rsid w:val="00037F90"/>
    <w:rsid w:val="00056BF6"/>
    <w:rsid w:val="00064A2C"/>
    <w:rsid w:val="00081927"/>
    <w:rsid w:val="000875BF"/>
    <w:rsid w:val="00096D8C"/>
    <w:rsid w:val="000A0710"/>
    <w:rsid w:val="000A1A60"/>
    <w:rsid w:val="000C0B65"/>
    <w:rsid w:val="000C7503"/>
    <w:rsid w:val="000E05FE"/>
    <w:rsid w:val="000E0F04"/>
    <w:rsid w:val="000E3D42"/>
    <w:rsid w:val="001021DD"/>
    <w:rsid w:val="00112D21"/>
    <w:rsid w:val="00122BD5"/>
    <w:rsid w:val="00133F79"/>
    <w:rsid w:val="00146474"/>
    <w:rsid w:val="00193082"/>
    <w:rsid w:val="00194A66"/>
    <w:rsid w:val="00194D41"/>
    <w:rsid w:val="001B352C"/>
    <w:rsid w:val="001C6335"/>
    <w:rsid w:val="001D0F45"/>
    <w:rsid w:val="001D6BCF"/>
    <w:rsid w:val="001E01CA"/>
    <w:rsid w:val="001E0A9C"/>
    <w:rsid w:val="001E783A"/>
    <w:rsid w:val="00275CF5"/>
    <w:rsid w:val="0028301F"/>
    <w:rsid w:val="00285017"/>
    <w:rsid w:val="002A2D2E"/>
    <w:rsid w:val="002C00E8"/>
    <w:rsid w:val="002D1541"/>
    <w:rsid w:val="002F164D"/>
    <w:rsid w:val="003258A1"/>
    <w:rsid w:val="00343749"/>
    <w:rsid w:val="003660ED"/>
    <w:rsid w:val="003B0550"/>
    <w:rsid w:val="003B694F"/>
    <w:rsid w:val="003D2476"/>
    <w:rsid w:val="003F171C"/>
    <w:rsid w:val="00412FC5"/>
    <w:rsid w:val="004178F1"/>
    <w:rsid w:val="00422276"/>
    <w:rsid w:val="004242F1"/>
    <w:rsid w:val="00445A00"/>
    <w:rsid w:val="00451B0F"/>
    <w:rsid w:val="0048374F"/>
    <w:rsid w:val="004A1619"/>
    <w:rsid w:val="004C2EE3"/>
    <w:rsid w:val="004E4A22"/>
    <w:rsid w:val="004F3EDF"/>
    <w:rsid w:val="00511968"/>
    <w:rsid w:val="00514F81"/>
    <w:rsid w:val="005167C5"/>
    <w:rsid w:val="0055614C"/>
    <w:rsid w:val="00557934"/>
    <w:rsid w:val="00564EC5"/>
    <w:rsid w:val="00566D06"/>
    <w:rsid w:val="00593530"/>
    <w:rsid w:val="005E14C2"/>
    <w:rsid w:val="005E28F2"/>
    <w:rsid w:val="00607BA5"/>
    <w:rsid w:val="0061180A"/>
    <w:rsid w:val="00626EB6"/>
    <w:rsid w:val="00642A52"/>
    <w:rsid w:val="00655D03"/>
    <w:rsid w:val="00660917"/>
    <w:rsid w:val="0068198C"/>
    <w:rsid w:val="00681C20"/>
    <w:rsid w:val="00683388"/>
    <w:rsid w:val="00683F84"/>
    <w:rsid w:val="0069424D"/>
    <w:rsid w:val="006A6A81"/>
    <w:rsid w:val="006C29D6"/>
    <w:rsid w:val="006F7393"/>
    <w:rsid w:val="0070224F"/>
    <w:rsid w:val="007115F7"/>
    <w:rsid w:val="00785689"/>
    <w:rsid w:val="00791D76"/>
    <w:rsid w:val="007971F7"/>
    <w:rsid w:val="0079754B"/>
    <w:rsid w:val="007A1E6D"/>
    <w:rsid w:val="007A5228"/>
    <w:rsid w:val="007A7710"/>
    <w:rsid w:val="007B0EB2"/>
    <w:rsid w:val="007C7A89"/>
    <w:rsid w:val="007C7E8A"/>
    <w:rsid w:val="007E2D3B"/>
    <w:rsid w:val="00805CC5"/>
    <w:rsid w:val="00810B6F"/>
    <w:rsid w:val="00822CE0"/>
    <w:rsid w:val="00840FBC"/>
    <w:rsid w:val="00841AB1"/>
    <w:rsid w:val="00872807"/>
    <w:rsid w:val="008C68F1"/>
    <w:rsid w:val="00921803"/>
    <w:rsid w:val="00926503"/>
    <w:rsid w:val="00947610"/>
    <w:rsid w:val="009726D8"/>
    <w:rsid w:val="009D7308"/>
    <w:rsid w:val="009F5FB3"/>
    <w:rsid w:val="009F76DB"/>
    <w:rsid w:val="00A00218"/>
    <w:rsid w:val="00A24E2B"/>
    <w:rsid w:val="00A32C3B"/>
    <w:rsid w:val="00A45F4F"/>
    <w:rsid w:val="00A600A9"/>
    <w:rsid w:val="00A75D86"/>
    <w:rsid w:val="00A8131D"/>
    <w:rsid w:val="00A948D3"/>
    <w:rsid w:val="00AA55B7"/>
    <w:rsid w:val="00AA5B9E"/>
    <w:rsid w:val="00AB2407"/>
    <w:rsid w:val="00AB53DF"/>
    <w:rsid w:val="00B07E5C"/>
    <w:rsid w:val="00B138DB"/>
    <w:rsid w:val="00B160C9"/>
    <w:rsid w:val="00B20553"/>
    <w:rsid w:val="00B30E9E"/>
    <w:rsid w:val="00B33AF7"/>
    <w:rsid w:val="00B811F7"/>
    <w:rsid w:val="00B942D6"/>
    <w:rsid w:val="00BA1FD8"/>
    <w:rsid w:val="00BA216E"/>
    <w:rsid w:val="00BA5DC6"/>
    <w:rsid w:val="00BA6196"/>
    <w:rsid w:val="00BC3573"/>
    <w:rsid w:val="00BC6D8C"/>
    <w:rsid w:val="00BC7999"/>
    <w:rsid w:val="00BF3B54"/>
    <w:rsid w:val="00C34006"/>
    <w:rsid w:val="00C36B4C"/>
    <w:rsid w:val="00C426B1"/>
    <w:rsid w:val="00C51D3B"/>
    <w:rsid w:val="00C62A95"/>
    <w:rsid w:val="00C66160"/>
    <w:rsid w:val="00C721AC"/>
    <w:rsid w:val="00C75EBC"/>
    <w:rsid w:val="00C90D6A"/>
    <w:rsid w:val="00CA247E"/>
    <w:rsid w:val="00CA6D21"/>
    <w:rsid w:val="00CC72B6"/>
    <w:rsid w:val="00CD42AD"/>
    <w:rsid w:val="00CF149F"/>
    <w:rsid w:val="00D0218D"/>
    <w:rsid w:val="00D03431"/>
    <w:rsid w:val="00D25FB5"/>
    <w:rsid w:val="00D44223"/>
    <w:rsid w:val="00DA2529"/>
    <w:rsid w:val="00DB130A"/>
    <w:rsid w:val="00DB2EBB"/>
    <w:rsid w:val="00DC10A1"/>
    <w:rsid w:val="00DC655F"/>
    <w:rsid w:val="00DD0B59"/>
    <w:rsid w:val="00DD7EBD"/>
    <w:rsid w:val="00DF62B6"/>
    <w:rsid w:val="00E07225"/>
    <w:rsid w:val="00E35D8D"/>
    <w:rsid w:val="00E5224B"/>
    <w:rsid w:val="00E5409F"/>
    <w:rsid w:val="00EB6B95"/>
    <w:rsid w:val="00EE2CD9"/>
    <w:rsid w:val="00EE6488"/>
    <w:rsid w:val="00EF6856"/>
    <w:rsid w:val="00F021FA"/>
    <w:rsid w:val="00F13099"/>
    <w:rsid w:val="00F37690"/>
    <w:rsid w:val="00F445B1"/>
    <w:rsid w:val="00F62E97"/>
    <w:rsid w:val="00F64209"/>
    <w:rsid w:val="00F747F4"/>
    <w:rsid w:val="00F93BF5"/>
    <w:rsid w:val="00FF2AA2"/>
    <w:rsid w:val="00FF6D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9446373-DD90-4CE5-83CF-638AB352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593530"/>
    <w:rPr>
      <w:sz w:val="16"/>
      <w:szCs w:val="16"/>
    </w:rPr>
  </w:style>
  <w:style w:type="paragraph" w:styleId="CommentText">
    <w:name w:val="annotation text"/>
    <w:basedOn w:val="Normal"/>
    <w:link w:val="CommentTextChar"/>
    <w:rsid w:val="00593530"/>
    <w:rPr>
      <w:sz w:val="20"/>
    </w:rPr>
  </w:style>
  <w:style w:type="character" w:customStyle="1" w:styleId="CommentTextChar">
    <w:name w:val="Comment Text Char"/>
    <w:link w:val="CommentText"/>
    <w:rsid w:val="00593530"/>
    <w:rPr>
      <w:snapToGrid w:val="0"/>
      <w:kern w:val="28"/>
    </w:rPr>
  </w:style>
  <w:style w:type="paragraph" w:styleId="CommentSubject">
    <w:name w:val="annotation subject"/>
    <w:basedOn w:val="CommentText"/>
    <w:next w:val="CommentText"/>
    <w:link w:val="CommentSubjectChar"/>
    <w:rsid w:val="00593530"/>
    <w:rPr>
      <w:b/>
      <w:bCs/>
    </w:rPr>
  </w:style>
  <w:style w:type="character" w:customStyle="1" w:styleId="CommentSubjectChar">
    <w:name w:val="Comment Subject Char"/>
    <w:link w:val="CommentSubject"/>
    <w:rsid w:val="00593530"/>
    <w:rPr>
      <w:b/>
      <w:bCs/>
      <w:snapToGrid w:val="0"/>
      <w:kern w:val="28"/>
    </w:rPr>
  </w:style>
  <w:style w:type="paragraph" w:styleId="BalloonText">
    <w:name w:val="Balloon Text"/>
    <w:basedOn w:val="Normal"/>
    <w:link w:val="BalloonTextChar"/>
    <w:rsid w:val="00593530"/>
    <w:rPr>
      <w:rFonts w:ascii="Segoe UI" w:hAnsi="Segoe UI" w:cs="Segoe UI"/>
      <w:sz w:val="18"/>
      <w:szCs w:val="18"/>
    </w:rPr>
  </w:style>
  <w:style w:type="character" w:customStyle="1" w:styleId="BalloonTextChar">
    <w:name w:val="Balloon Text Char"/>
    <w:link w:val="BalloonText"/>
    <w:rsid w:val="00593530"/>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