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84F3B" w:rsidRPr="00854B58" w:rsidP="00A35F08">
      <w:pPr>
        <w:jc w:val="right"/>
        <w:rPr>
          <w:b/>
          <w:sz w:val="24"/>
        </w:rPr>
      </w:pPr>
      <w:bookmarkStart w:id="0" w:name="_GoBack"/>
      <w:bookmarkEnd w:id="0"/>
      <w:r>
        <w:rPr>
          <w:b/>
        </w:rPr>
        <w:t>DA</w:t>
      </w:r>
      <w:r w:rsidRPr="00DA470B">
        <w:rPr>
          <w:b/>
        </w:rPr>
        <w:t xml:space="preserve"> </w:t>
      </w:r>
      <w:r>
        <w:rPr>
          <w:b/>
        </w:rPr>
        <w:t>19-</w:t>
      </w:r>
      <w:r w:rsidR="00166DDE">
        <w:rPr>
          <w:b/>
        </w:rPr>
        <w:t>1184</w:t>
      </w:r>
    </w:p>
    <w:p w:rsidR="00284F3B" w:rsidRPr="00DA470B" w:rsidP="00284F3B">
      <w:pPr>
        <w:spacing w:before="60"/>
        <w:jc w:val="right"/>
        <w:rPr>
          <w:b/>
          <w:szCs w:val="22"/>
        </w:rPr>
      </w:pPr>
      <w:r w:rsidRPr="004D6FC4">
        <w:rPr>
          <w:b/>
          <w:szCs w:val="22"/>
        </w:rPr>
        <w:t xml:space="preserve">Released: </w:t>
      </w:r>
      <w:r w:rsidR="00FA4DEB">
        <w:rPr>
          <w:b/>
          <w:szCs w:val="22"/>
        </w:rPr>
        <w:t>November 15, 2019</w:t>
      </w:r>
    </w:p>
    <w:p w:rsidR="00284F3B" w:rsidRPr="00854B58" w:rsidP="00284F3B">
      <w:pPr>
        <w:spacing w:before="60"/>
        <w:jc w:val="right"/>
        <w:rPr>
          <w:b/>
          <w:sz w:val="24"/>
        </w:rPr>
      </w:pPr>
    </w:p>
    <w:p w:rsidR="00284F3B" w:rsidP="00284F3B">
      <w:pPr>
        <w:jc w:val="center"/>
        <w:rPr>
          <w:b/>
          <w:szCs w:val="22"/>
        </w:rPr>
      </w:pPr>
      <w:r>
        <w:rPr>
          <w:b/>
          <w:szCs w:val="22"/>
        </w:rPr>
        <w:t>COMMENT SOUGHT ON SMALL BUSINESS SIZE STANDARDS</w:t>
      </w:r>
      <w:r w:rsidRPr="00E20C55">
        <w:rPr>
          <w:b/>
          <w:szCs w:val="22"/>
        </w:rPr>
        <w:t xml:space="preserve"> </w:t>
      </w:r>
    </w:p>
    <w:p w:rsidR="00284F3B" w:rsidRPr="00DA470B" w:rsidP="00284F3B">
      <w:pPr>
        <w:widowControl/>
        <w:jc w:val="center"/>
        <w:rPr>
          <w:b/>
          <w:szCs w:val="22"/>
        </w:rPr>
      </w:pPr>
      <w:r>
        <w:rPr>
          <w:b/>
          <w:szCs w:val="22"/>
        </w:rPr>
        <w:t>FOR AUCTIONS OF LICENSES IN THE 2.5 GHz BAND</w:t>
      </w:r>
      <w:r w:rsidRPr="00DA470B">
        <w:rPr>
          <w:b/>
          <w:szCs w:val="22"/>
        </w:rPr>
        <w:t xml:space="preserve"> </w:t>
      </w:r>
    </w:p>
    <w:p w:rsidR="00284F3B" w:rsidP="00284F3B">
      <w:pPr>
        <w:rPr>
          <w:b/>
          <w:szCs w:val="22"/>
        </w:rPr>
      </w:pPr>
      <w:r>
        <w:rPr>
          <w:b/>
          <w:szCs w:val="22"/>
        </w:rPr>
        <w:t xml:space="preserve"> </w:t>
      </w:r>
    </w:p>
    <w:p w:rsidR="00284F3B" w:rsidRPr="000B47FD" w:rsidP="00284F3B">
      <w:pPr>
        <w:widowControl/>
        <w:spacing w:before="120" w:after="240"/>
        <w:jc w:val="center"/>
        <w:rPr>
          <w:b/>
          <w:szCs w:val="22"/>
        </w:rPr>
      </w:pPr>
      <w:r>
        <w:rPr>
          <w:b/>
          <w:szCs w:val="22"/>
        </w:rPr>
        <w:t>WT</w:t>
      </w:r>
      <w:r w:rsidRPr="001E1005">
        <w:rPr>
          <w:b/>
          <w:szCs w:val="22"/>
        </w:rPr>
        <w:t xml:space="preserve"> Docket No. 1</w:t>
      </w:r>
      <w:r>
        <w:rPr>
          <w:b/>
          <w:szCs w:val="22"/>
        </w:rPr>
        <w:t>8-120</w:t>
      </w:r>
    </w:p>
    <w:p w:rsidR="00284F3B" w:rsidRPr="001E1005" w:rsidP="00284F3B">
      <w:pPr>
        <w:widowControl/>
        <w:spacing w:before="120"/>
        <w:rPr>
          <w:b/>
          <w:szCs w:val="22"/>
        </w:rPr>
      </w:pPr>
      <w:r w:rsidRPr="004D3847">
        <w:rPr>
          <w:b/>
          <w:szCs w:val="22"/>
        </w:rPr>
        <w:t xml:space="preserve">Comment Date: </w:t>
      </w:r>
      <w:r w:rsidR="00C04C37">
        <w:rPr>
          <w:b/>
          <w:szCs w:val="22"/>
        </w:rPr>
        <w:t xml:space="preserve"> [30 days after Federal Register publication]</w:t>
      </w:r>
      <w:r>
        <w:rPr>
          <w:b/>
          <w:szCs w:val="22"/>
        </w:rPr>
        <w:br/>
        <w:t xml:space="preserve">Reply Comment Date: </w:t>
      </w:r>
      <w:r w:rsidR="00C04C37">
        <w:rPr>
          <w:b/>
          <w:szCs w:val="22"/>
        </w:rPr>
        <w:t xml:space="preserve"> [45 days after Federal Register publication]</w:t>
      </w:r>
    </w:p>
    <w:p w:rsidR="00284F3B" w:rsidP="00284F3B">
      <w:pPr>
        <w:spacing w:after="240"/>
        <w:rPr>
          <w:szCs w:val="22"/>
        </w:rPr>
      </w:pPr>
    </w:p>
    <w:p w:rsidR="00284F3B" w:rsidP="00284F3B">
      <w:pPr>
        <w:widowControl/>
        <w:spacing w:after="240"/>
        <w:rPr>
          <w:szCs w:val="22"/>
        </w:rPr>
      </w:pPr>
      <w:r>
        <w:rPr>
          <w:szCs w:val="22"/>
        </w:rPr>
        <w:tab/>
        <w:t>By this Public Notice, the Wireless Telecommunications Bureau</w:t>
      </w:r>
      <w:r w:rsidR="006B2E39">
        <w:rPr>
          <w:szCs w:val="22"/>
        </w:rPr>
        <w:t xml:space="preserve"> (WTB)</w:t>
      </w:r>
      <w:r>
        <w:rPr>
          <w:szCs w:val="22"/>
        </w:rPr>
        <w:t>, in conjunction with the Office of Economics and Analytics</w:t>
      </w:r>
      <w:r w:rsidR="006B2E39">
        <w:rPr>
          <w:szCs w:val="22"/>
        </w:rPr>
        <w:t xml:space="preserve"> (OEA)</w:t>
      </w:r>
      <w:r>
        <w:rPr>
          <w:szCs w:val="22"/>
        </w:rPr>
        <w:t xml:space="preserve">, seeks comment on the small business size standards to be </w:t>
      </w:r>
      <w:r w:rsidR="00C57118">
        <w:rPr>
          <w:szCs w:val="22"/>
        </w:rPr>
        <w:t xml:space="preserve">used to determine an entity’s eligibility for small business bidding credits in </w:t>
      </w:r>
      <w:r w:rsidR="004E727F">
        <w:rPr>
          <w:szCs w:val="22"/>
        </w:rPr>
        <w:t xml:space="preserve">an </w:t>
      </w:r>
      <w:r>
        <w:rPr>
          <w:szCs w:val="22"/>
        </w:rPr>
        <w:t xml:space="preserve">auction of </w:t>
      </w:r>
      <w:r w:rsidR="004E727F">
        <w:rPr>
          <w:szCs w:val="22"/>
        </w:rPr>
        <w:t xml:space="preserve">unassigned </w:t>
      </w:r>
      <w:r>
        <w:rPr>
          <w:szCs w:val="22"/>
        </w:rPr>
        <w:t xml:space="preserve">Educational Broadband Service (EBS) </w:t>
      </w:r>
      <w:r w:rsidR="004E727F">
        <w:rPr>
          <w:szCs w:val="22"/>
        </w:rPr>
        <w:t xml:space="preserve">spectrum </w:t>
      </w:r>
      <w:r>
        <w:rPr>
          <w:szCs w:val="22"/>
        </w:rPr>
        <w:t xml:space="preserve">in the 2.5 GHz band.  In the </w:t>
      </w:r>
      <w:bookmarkStart w:id="1" w:name="_Hlk22769140"/>
      <w:r>
        <w:rPr>
          <w:i/>
          <w:szCs w:val="22"/>
        </w:rPr>
        <w:t>2.5. GHz Report and Order</w:t>
      </w:r>
      <w:bookmarkEnd w:id="1"/>
      <w:r>
        <w:rPr>
          <w:szCs w:val="22"/>
        </w:rPr>
        <w:t xml:space="preserve">, the Commission modernized the regulatory framework for the 2.5 GHz band to make this swath of vital mid-band spectrum available for advanced wireless services, including 5G, with </w:t>
      </w:r>
      <w:r w:rsidRPr="00C03BA6">
        <w:rPr>
          <w:szCs w:val="22"/>
        </w:rPr>
        <w:t xml:space="preserve">unassigned spectrum </w:t>
      </w:r>
      <w:r>
        <w:rPr>
          <w:szCs w:val="22"/>
        </w:rPr>
        <w:t xml:space="preserve">to be made </w:t>
      </w:r>
      <w:r w:rsidRPr="00C03BA6">
        <w:rPr>
          <w:szCs w:val="22"/>
        </w:rPr>
        <w:t xml:space="preserve">available for commercial use via competitive bidding following the completion of </w:t>
      </w:r>
      <w:r>
        <w:rPr>
          <w:szCs w:val="22"/>
        </w:rPr>
        <w:t xml:space="preserve">a </w:t>
      </w:r>
      <w:r w:rsidR="00531AAA">
        <w:rPr>
          <w:szCs w:val="22"/>
        </w:rPr>
        <w:t xml:space="preserve">Rural </w:t>
      </w:r>
      <w:r w:rsidRPr="00C03BA6">
        <w:rPr>
          <w:szCs w:val="22"/>
        </w:rPr>
        <w:t>Tribal priority filing window</w:t>
      </w:r>
      <w:r>
        <w:rPr>
          <w:szCs w:val="22"/>
        </w:rPr>
        <w:t>.</w:t>
      </w:r>
      <w:r w:rsidRPr="00853A1E">
        <w:rPr>
          <w:rStyle w:val="FootnoteReference"/>
          <w:szCs w:val="22"/>
        </w:rPr>
        <w:t xml:space="preserve"> </w:t>
      </w:r>
      <w:r>
        <w:rPr>
          <w:rStyle w:val="FootnoteReference"/>
          <w:szCs w:val="22"/>
        </w:rPr>
        <w:footnoteReference w:id="3"/>
      </w:r>
      <w:r>
        <w:rPr>
          <w:szCs w:val="22"/>
        </w:rPr>
        <w:t xml:space="preserve">  In so doing, the Commission adopted small business size standards and associated bidding credits for new EBS licenses to </w:t>
      </w:r>
      <w:r>
        <w:t>improve</w:t>
      </w:r>
      <w:r>
        <w:rPr>
          <w:szCs w:val="22"/>
        </w:rPr>
        <w:t xml:space="preserve"> the ability of small businesses to attract the capital necessary to participate meaningfully in the auction of 2.5 GHz spectrum.</w:t>
      </w:r>
      <w:r>
        <w:rPr>
          <w:rStyle w:val="FootnoteReference"/>
          <w:szCs w:val="22"/>
        </w:rPr>
        <w:footnoteReference w:id="4"/>
      </w:r>
      <w:r>
        <w:rPr>
          <w:szCs w:val="22"/>
        </w:rPr>
        <w:t xml:space="preserve">    </w:t>
      </w:r>
    </w:p>
    <w:p w:rsidR="00284F3B" w:rsidP="00284F3B">
      <w:pPr>
        <w:widowControl/>
        <w:ind w:firstLine="720"/>
        <w:rPr>
          <w:snapToGrid/>
          <w:szCs w:val="22"/>
        </w:rPr>
      </w:pPr>
      <w:r w:rsidRPr="001834DC">
        <w:rPr>
          <w:snapToGrid/>
          <w:szCs w:val="22"/>
        </w:rPr>
        <w:t>The Notice of Proposed Rulemaking (NPRM) in this proceeding proposed to conduct any auction of EBS licenses in conformity with the Commission’s Part 1 competitive bidding rules</w:t>
      </w:r>
      <w:r>
        <w:rPr>
          <w:snapToGrid/>
          <w:szCs w:val="22"/>
        </w:rPr>
        <w:t>.</w:t>
      </w:r>
      <w:r>
        <w:rPr>
          <w:rStyle w:val="FootnoteReference"/>
          <w:snapToGrid/>
          <w:szCs w:val="22"/>
        </w:rPr>
        <w:footnoteReference w:id="5"/>
      </w:r>
      <w:r>
        <w:rPr>
          <w:snapToGrid/>
          <w:szCs w:val="22"/>
        </w:rPr>
        <w:t xml:space="preserve">  </w:t>
      </w:r>
      <w:bookmarkStart w:id="2" w:name="_Hlk22892216"/>
      <w:r>
        <w:rPr>
          <w:snapToGrid/>
          <w:szCs w:val="22"/>
        </w:rPr>
        <w:t xml:space="preserve">The NPRM also </w:t>
      </w:r>
      <w:r w:rsidRPr="001834DC">
        <w:rPr>
          <w:snapToGrid/>
          <w:szCs w:val="22"/>
        </w:rPr>
        <w:t>proposed not to apply designated entity preferences in such auctions</w:t>
      </w:r>
      <w:r>
        <w:rPr>
          <w:snapToGrid/>
          <w:szCs w:val="22"/>
        </w:rPr>
        <w:t>,</w:t>
      </w:r>
      <w:r w:rsidRPr="001834DC">
        <w:rPr>
          <w:snapToGrid/>
          <w:szCs w:val="22"/>
        </w:rPr>
        <w:t xml:space="preserve"> </w:t>
      </w:r>
      <w:r>
        <w:rPr>
          <w:snapToGrid/>
          <w:szCs w:val="22"/>
        </w:rPr>
        <w:t>and accordingly d</w:t>
      </w:r>
      <w:r w:rsidRPr="001834DC">
        <w:rPr>
          <w:snapToGrid/>
          <w:szCs w:val="22"/>
        </w:rPr>
        <w:t>id not propose any small business size standards under which qualifying small businesses would receive bidding credits.</w:t>
      </w:r>
      <w:r>
        <w:rPr>
          <w:snapToGrid/>
          <w:szCs w:val="22"/>
          <w:vertAlign w:val="superscript"/>
        </w:rPr>
        <w:footnoteReference w:id="6"/>
      </w:r>
      <w:bookmarkEnd w:id="2"/>
      <w:r>
        <w:rPr>
          <w:snapToGrid/>
          <w:szCs w:val="22"/>
        </w:rPr>
        <w:t xml:space="preserve">  In </w:t>
      </w:r>
      <w:r w:rsidR="004E727F">
        <w:rPr>
          <w:snapToGrid/>
          <w:szCs w:val="22"/>
        </w:rPr>
        <w:t xml:space="preserve">comments and </w:t>
      </w:r>
      <w:r w:rsidR="004E727F">
        <w:rPr>
          <w:i/>
          <w:snapToGrid/>
          <w:szCs w:val="22"/>
        </w:rPr>
        <w:t xml:space="preserve">ex </w:t>
      </w:r>
      <w:r w:rsidR="004E727F">
        <w:rPr>
          <w:i/>
          <w:snapToGrid/>
          <w:szCs w:val="22"/>
        </w:rPr>
        <w:t>parte</w:t>
      </w:r>
      <w:r w:rsidR="004E727F">
        <w:rPr>
          <w:i/>
          <w:snapToGrid/>
          <w:szCs w:val="22"/>
        </w:rPr>
        <w:t xml:space="preserve"> </w:t>
      </w:r>
      <w:r w:rsidR="004E727F">
        <w:rPr>
          <w:snapToGrid/>
          <w:szCs w:val="22"/>
        </w:rPr>
        <w:t>letters</w:t>
      </w:r>
      <w:r w:rsidR="00EB3CA8">
        <w:rPr>
          <w:snapToGrid/>
          <w:szCs w:val="22"/>
        </w:rPr>
        <w:t xml:space="preserve"> </w:t>
      </w:r>
      <w:r>
        <w:rPr>
          <w:snapToGrid/>
          <w:szCs w:val="22"/>
        </w:rPr>
        <w:t xml:space="preserve">submitted in response to the NPRM, </w:t>
      </w:r>
      <w:r w:rsidRPr="00AA18CE">
        <w:rPr>
          <w:snapToGrid/>
          <w:szCs w:val="22"/>
        </w:rPr>
        <w:t>several parties supported the adoption of bidding credits</w:t>
      </w:r>
      <w:r>
        <w:rPr>
          <w:snapToGrid/>
          <w:szCs w:val="22"/>
        </w:rPr>
        <w:t xml:space="preserve"> in an EBS auction</w:t>
      </w:r>
      <w:r w:rsidRPr="00AA18CE">
        <w:rPr>
          <w:snapToGrid/>
          <w:szCs w:val="22"/>
        </w:rPr>
        <w:t xml:space="preserve"> to encourage the participation of small service providers</w:t>
      </w:r>
      <w:r>
        <w:rPr>
          <w:snapToGrid/>
          <w:szCs w:val="22"/>
        </w:rPr>
        <w:t>.</w:t>
      </w:r>
      <w:r>
        <w:rPr>
          <w:rStyle w:val="FootnoteReference"/>
          <w:snapToGrid/>
          <w:szCs w:val="22"/>
        </w:rPr>
        <w:footnoteReference w:id="7"/>
      </w:r>
      <w:r>
        <w:rPr>
          <w:snapToGrid/>
          <w:szCs w:val="22"/>
        </w:rPr>
        <w:t xml:space="preserve">  </w:t>
      </w:r>
      <w:bookmarkStart w:id="3" w:name="_Hlk22904652"/>
      <w:r w:rsidRPr="00696C54">
        <w:rPr>
          <w:snapToGrid/>
          <w:szCs w:val="22"/>
        </w:rPr>
        <w:t xml:space="preserve">Upon </w:t>
      </w:r>
      <w:r w:rsidRPr="00696C54">
        <w:rPr>
          <w:snapToGrid/>
          <w:szCs w:val="22"/>
        </w:rPr>
        <w:t>consideration of the</w:t>
      </w:r>
      <w:r>
        <w:rPr>
          <w:snapToGrid/>
          <w:szCs w:val="22"/>
        </w:rPr>
        <w:t xml:space="preserve"> record</w:t>
      </w:r>
      <w:r w:rsidRPr="00696C54">
        <w:rPr>
          <w:snapToGrid/>
          <w:szCs w:val="22"/>
        </w:rPr>
        <w:t xml:space="preserve"> </w:t>
      </w:r>
      <w:r>
        <w:rPr>
          <w:snapToGrid/>
          <w:szCs w:val="22"/>
        </w:rPr>
        <w:t xml:space="preserve">in this </w:t>
      </w:r>
      <w:r w:rsidRPr="00696C54">
        <w:rPr>
          <w:snapToGrid/>
          <w:szCs w:val="22"/>
        </w:rPr>
        <w:t xml:space="preserve">proceeding, the Commission concluded that using bidding credits in competitive bidding for </w:t>
      </w:r>
      <w:r>
        <w:rPr>
          <w:snapToGrid/>
          <w:szCs w:val="22"/>
        </w:rPr>
        <w:t xml:space="preserve">EBS licenses in </w:t>
      </w:r>
      <w:r w:rsidRPr="00696C54">
        <w:rPr>
          <w:snapToGrid/>
          <w:szCs w:val="22"/>
        </w:rPr>
        <w:t>the 2.5 GHz band would be an effective tool to achieve the statutory objective of promoting the participation of designated entities in the provision of spectrum-based service</w:t>
      </w:r>
      <w:r>
        <w:rPr>
          <w:snapToGrid/>
          <w:szCs w:val="22"/>
        </w:rPr>
        <w:t>s</w:t>
      </w:r>
      <w:r w:rsidRPr="00696C54">
        <w:rPr>
          <w:snapToGrid/>
          <w:szCs w:val="22"/>
        </w:rPr>
        <w:t>.</w:t>
      </w:r>
      <w:r>
        <w:rPr>
          <w:snapToGrid/>
          <w:szCs w:val="22"/>
          <w:vertAlign w:val="superscript"/>
        </w:rPr>
        <w:footnoteReference w:id="8"/>
      </w:r>
      <w:r w:rsidRPr="00696C54">
        <w:rPr>
          <w:snapToGrid/>
          <w:szCs w:val="22"/>
        </w:rPr>
        <w:t xml:space="preserve">  Noting that the removal of the eligibility restriction and educational use requirements will attract more commercial operators to the 2.5 GHz band, the Commission found that bidding credits should help facilitate greater participation in any auction of EBS licenses and that offering bidding credits to designated entities should improve the ability of small businesses to attract the capital necessary to meaningfully participate in such an auction.</w:t>
      </w:r>
      <w:r>
        <w:rPr>
          <w:rStyle w:val="FootnoteReference"/>
          <w:snapToGrid/>
          <w:szCs w:val="22"/>
        </w:rPr>
        <w:footnoteReference w:id="9"/>
      </w:r>
      <w:r w:rsidRPr="00696C54">
        <w:rPr>
          <w:snapToGrid/>
          <w:szCs w:val="22"/>
        </w:rPr>
        <w:t xml:space="preserve"> </w:t>
      </w:r>
      <w:bookmarkEnd w:id="3"/>
      <w:r w:rsidRPr="00696C54">
        <w:rPr>
          <w:snapToGrid/>
          <w:szCs w:val="22"/>
        </w:rPr>
        <w:t xml:space="preserve"> Thus, the </w:t>
      </w:r>
      <w:r w:rsidRPr="00CB643C">
        <w:rPr>
          <w:i/>
          <w:snapToGrid/>
          <w:szCs w:val="22"/>
        </w:rPr>
        <w:t>2.5 GHz Report and Order</w:t>
      </w:r>
      <w:r w:rsidRPr="00696C54">
        <w:rPr>
          <w:snapToGrid/>
          <w:szCs w:val="22"/>
        </w:rPr>
        <w:t xml:space="preserve"> adopted small business size standards and associated bidding credits for new EBS licenses.</w:t>
      </w:r>
      <w:r>
        <w:rPr>
          <w:snapToGrid/>
          <w:szCs w:val="22"/>
          <w:vertAlign w:val="superscript"/>
        </w:rPr>
        <w:footnoteReference w:id="10"/>
      </w:r>
      <w:r>
        <w:rPr>
          <w:snapToGrid/>
          <w:szCs w:val="22"/>
        </w:rPr>
        <w:t xml:space="preserve"> </w:t>
      </w:r>
    </w:p>
    <w:p w:rsidR="00284F3B" w:rsidP="00284F3B">
      <w:pPr>
        <w:ind w:firstLine="720"/>
        <w:rPr>
          <w:snapToGrid/>
          <w:szCs w:val="22"/>
        </w:rPr>
      </w:pPr>
      <w:r>
        <w:rPr>
          <w:snapToGrid/>
          <w:szCs w:val="22"/>
        </w:rPr>
        <w:t xml:space="preserve"> </w:t>
      </w:r>
    </w:p>
    <w:p w:rsidR="00284F3B" w:rsidP="00284F3B">
      <w:pPr>
        <w:widowControl/>
        <w:ind w:firstLine="720"/>
        <w:rPr>
          <w:snapToGrid/>
          <w:szCs w:val="22"/>
        </w:rPr>
      </w:pPr>
      <w:r>
        <w:rPr>
          <w:snapToGrid/>
          <w:szCs w:val="22"/>
        </w:rPr>
        <w:t>A Federal department or agency that adopts a s</w:t>
      </w:r>
      <w:r w:rsidRPr="008B32AE">
        <w:rPr>
          <w:snapToGrid/>
          <w:szCs w:val="22"/>
        </w:rPr>
        <w:t>ize standard for categorizing a business concern as a small business</w:t>
      </w:r>
      <w:r>
        <w:rPr>
          <w:snapToGrid/>
          <w:szCs w:val="22"/>
        </w:rPr>
        <w:t xml:space="preserve"> is required to consult with the Small Business Administration (SBA) prior to proposing the size standard for public comment and subsequently, it is required to obtain the SBA Administrator’s approval of the size standard.</w:t>
      </w:r>
      <w:r>
        <w:rPr>
          <w:rStyle w:val="FootnoteReference"/>
          <w:snapToGrid/>
          <w:szCs w:val="22"/>
        </w:rPr>
        <w:footnoteReference w:id="11"/>
      </w:r>
      <w:r>
        <w:rPr>
          <w:snapToGrid/>
          <w:szCs w:val="22"/>
        </w:rPr>
        <w:t xml:space="preserve">  In this proceeding, because the NPRM did not propose to apply designated entity preferences in auctions of</w:t>
      </w:r>
      <w:r w:rsidRPr="00696C54">
        <w:rPr>
          <w:snapToGrid/>
          <w:szCs w:val="22"/>
        </w:rPr>
        <w:t xml:space="preserve"> new EBS licenses in the 2.5 GHz band</w:t>
      </w:r>
      <w:r>
        <w:rPr>
          <w:snapToGrid/>
          <w:szCs w:val="22"/>
        </w:rPr>
        <w:t xml:space="preserve">, the NPRM did not propose any size standards under which qualifying small businesses would receive bidding credits.  Therefore, the Commission </w:t>
      </w:r>
      <w:r w:rsidRPr="00696C54">
        <w:rPr>
          <w:snapToGrid/>
          <w:szCs w:val="22"/>
        </w:rPr>
        <w:t xml:space="preserve">did not </w:t>
      </w:r>
      <w:r w:rsidR="006B2E39">
        <w:rPr>
          <w:snapToGrid/>
          <w:szCs w:val="22"/>
        </w:rPr>
        <w:t>consult</w:t>
      </w:r>
      <w:r>
        <w:rPr>
          <w:snapToGrid/>
          <w:szCs w:val="22"/>
        </w:rPr>
        <w:t xml:space="preserve"> with t</w:t>
      </w:r>
      <w:r w:rsidRPr="00696C54">
        <w:rPr>
          <w:snapToGrid/>
          <w:szCs w:val="22"/>
        </w:rPr>
        <w:t xml:space="preserve">he SBA </w:t>
      </w:r>
      <w:r w:rsidRPr="00972143">
        <w:rPr>
          <w:snapToGrid/>
          <w:szCs w:val="22"/>
        </w:rPr>
        <w:t>regarding proposed size standards for new EB</w:t>
      </w:r>
      <w:r>
        <w:rPr>
          <w:snapToGrid/>
          <w:szCs w:val="22"/>
        </w:rPr>
        <w:t>S</w:t>
      </w:r>
      <w:r w:rsidRPr="00972143">
        <w:rPr>
          <w:snapToGrid/>
          <w:szCs w:val="22"/>
        </w:rPr>
        <w:t xml:space="preserve"> licenses in the</w:t>
      </w:r>
      <w:r>
        <w:rPr>
          <w:i/>
          <w:snapToGrid/>
          <w:szCs w:val="22"/>
        </w:rPr>
        <w:t xml:space="preserve"> </w:t>
      </w:r>
      <w:r w:rsidRPr="00696C54">
        <w:rPr>
          <w:snapToGrid/>
          <w:szCs w:val="22"/>
        </w:rPr>
        <w:t>2.5 GHz band</w:t>
      </w:r>
      <w:r>
        <w:rPr>
          <w:i/>
          <w:snapToGrid/>
          <w:szCs w:val="22"/>
        </w:rPr>
        <w:t xml:space="preserve">.  </w:t>
      </w:r>
      <w:r w:rsidRPr="00ED01CF">
        <w:rPr>
          <w:snapToGrid/>
          <w:szCs w:val="22"/>
        </w:rPr>
        <w:t xml:space="preserve">However, in the </w:t>
      </w:r>
      <w:r w:rsidRPr="00ED01CF">
        <w:rPr>
          <w:i/>
          <w:szCs w:val="22"/>
        </w:rPr>
        <w:t>2.5 GHz Report and Order</w:t>
      </w:r>
      <w:r w:rsidRPr="00ED01CF">
        <w:rPr>
          <w:snapToGrid/>
          <w:szCs w:val="22"/>
        </w:rPr>
        <w:t>, the Commission directed the WTB</w:t>
      </w:r>
      <w:r w:rsidR="004E727F">
        <w:rPr>
          <w:snapToGrid/>
          <w:szCs w:val="22"/>
        </w:rPr>
        <w:t xml:space="preserve">, in conjunction with </w:t>
      </w:r>
      <w:r w:rsidRPr="00ED01CF">
        <w:rPr>
          <w:snapToGrid/>
          <w:szCs w:val="22"/>
        </w:rPr>
        <w:t>OEA</w:t>
      </w:r>
      <w:r w:rsidR="004E727F">
        <w:rPr>
          <w:snapToGrid/>
          <w:szCs w:val="22"/>
        </w:rPr>
        <w:t>,</w:t>
      </w:r>
      <w:r w:rsidRPr="00ED01CF">
        <w:rPr>
          <w:snapToGrid/>
          <w:szCs w:val="22"/>
        </w:rPr>
        <w:t xml:space="preserve"> to seek further comment on the two adopted small business size standards</w:t>
      </w:r>
      <w:r>
        <w:rPr>
          <w:rStyle w:val="FootnoteReference"/>
          <w:snapToGrid/>
          <w:szCs w:val="22"/>
        </w:rPr>
        <w:footnoteReference w:id="12"/>
      </w:r>
      <w:r>
        <w:rPr>
          <w:snapToGrid/>
          <w:szCs w:val="22"/>
        </w:rPr>
        <w:t xml:space="preserve"> </w:t>
      </w:r>
      <w:r w:rsidRPr="00ED01CF">
        <w:rPr>
          <w:snapToGrid/>
          <w:szCs w:val="22"/>
        </w:rPr>
        <w:t xml:space="preserve">and to consult with the SBA and obtain its approval of the adopted size standards in advance of any auction of 2.5 GHz EBS </w:t>
      </w:r>
      <w:r w:rsidR="00875600">
        <w:rPr>
          <w:snapToGrid/>
          <w:szCs w:val="22"/>
        </w:rPr>
        <w:t>overlay</w:t>
      </w:r>
      <w:r w:rsidRPr="00ED01CF">
        <w:rPr>
          <w:snapToGrid/>
          <w:szCs w:val="22"/>
        </w:rPr>
        <w:t xml:space="preserve"> licenses,</w:t>
      </w:r>
      <w:r>
        <w:rPr>
          <w:rStyle w:val="FootnoteReference"/>
        </w:rPr>
        <w:footnoteReference w:id="13"/>
      </w:r>
      <w:r w:rsidRPr="00ED01CF">
        <w:rPr>
          <w:snapToGrid/>
          <w:szCs w:val="22"/>
        </w:rPr>
        <w:t xml:space="preserve"> as required by </w:t>
      </w:r>
      <w:r w:rsidR="004E727F">
        <w:rPr>
          <w:snapToGrid/>
          <w:szCs w:val="22"/>
        </w:rPr>
        <w:t>law</w:t>
      </w:r>
      <w:r w:rsidRPr="00ED01CF">
        <w:rPr>
          <w:snapToGrid/>
          <w:szCs w:val="22"/>
        </w:rPr>
        <w:t>.</w:t>
      </w:r>
      <w:r>
        <w:rPr>
          <w:snapToGrid/>
          <w:szCs w:val="22"/>
          <w:vertAlign w:val="superscript"/>
        </w:rPr>
        <w:footnoteReference w:id="14"/>
      </w:r>
      <w:r w:rsidRPr="00696C54">
        <w:rPr>
          <w:snapToGrid/>
          <w:szCs w:val="22"/>
        </w:rPr>
        <w:t xml:space="preserve"> </w:t>
      </w:r>
      <w:r>
        <w:rPr>
          <w:snapToGrid/>
          <w:szCs w:val="22"/>
        </w:rPr>
        <w:t xml:space="preserve"> </w:t>
      </w:r>
    </w:p>
    <w:p w:rsidR="00284F3B" w:rsidP="00284F3B">
      <w:pPr>
        <w:widowControl/>
        <w:ind w:firstLine="720"/>
        <w:rPr>
          <w:szCs w:val="22"/>
        </w:rPr>
      </w:pPr>
    </w:p>
    <w:p w:rsidR="00284F3B" w:rsidP="009C030A">
      <w:pPr>
        <w:widowControl/>
        <w:rPr>
          <w:szCs w:val="22"/>
        </w:rPr>
      </w:pPr>
      <w:r>
        <w:rPr>
          <w:szCs w:val="22"/>
        </w:rPr>
        <w:tab/>
        <w:t xml:space="preserve">Accordingly, we seek comment on the definitions of a “small business” as an entity that, together with its affiliates, </w:t>
      </w:r>
      <w:r w:rsidR="004E727F">
        <w:rPr>
          <w:szCs w:val="22"/>
        </w:rPr>
        <w:t xml:space="preserve">its </w:t>
      </w:r>
      <w:r>
        <w:rPr>
          <w:szCs w:val="22"/>
        </w:rPr>
        <w:t xml:space="preserve">controlling interests, and the affiliates of its controlling interests, has average gross revenues </w:t>
      </w:r>
      <w:r w:rsidR="004E727F">
        <w:rPr>
          <w:szCs w:val="22"/>
        </w:rPr>
        <w:t>that are not more than</w:t>
      </w:r>
      <w:r>
        <w:rPr>
          <w:szCs w:val="22"/>
        </w:rPr>
        <w:t xml:space="preserve"> $55 million</w:t>
      </w:r>
      <w:r w:rsidR="004E727F">
        <w:rPr>
          <w:szCs w:val="22"/>
        </w:rPr>
        <w:t xml:space="preserve"> for the preceding five years</w:t>
      </w:r>
      <w:r>
        <w:rPr>
          <w:szCs w:val="22"/>
        </w:rPr>
        <w:t xml:space="preserve">, and a “very small business” as an entity that, together with its affiliates, </w:t>
      </w:r>
      <w:r w:rsidR="004E727F">
        <w:rPr>
          <w:szCs w:val="22"/>
        </w:rPr>
        <w:t xml:space="preserve">its </w:t>
      </w:r>
      <w:r>
        <w:rPr>
          <w:szCs w:val="22"/>
        </w:rPr>
        <w:t xml:space="preserve">controlling interests, and the affiliates of its controlling interests, has average gross revenues </w:t>
      </w:r>
      <w:r w:rsidR="004E727F">
        <w:rPr>
          <w:szCs w:val="22"/>
        </w:rPr>
        <w:t>that are not more than</w:t>
      </w:r>
      <w:r>
        <w:rPr>
          <w:szCs w:val="22"/>
        </w:rPr>
        <w:t xml:space="preserve"> $20 million</w:t>
      </w:r>
      <w:r w:rsidR="004E727F">
        <w:rPr>
          <w:szCs w:val="22"/>
        </w:rPr>
        <w:t xml:space="preserve"> for the preceding five years</w:t>
      </w:r>
      <w:r>
        <w:rPr>
          <w:szCs w:val="22"/>
        </w:rPr>
        <w:t>.</w:t>
      </w:r>
      <w:r>
        <w:rPr>
          <w:rStyle w:val="FootnoteReference"/>
          <w:szCs w:val="22"/>
        </w:rPr>
        <w:footnoteReference w:id="15"/>
      </w:r>
      <w:r>
        <w:rPr>
          <w:szCs w:val="22"/>
        </w:rPr>
        <w:t xml:space="preserve">  </w:t>
      </w:r>
      <w:r>
        <w:rPr>
          <w:szCs w:val="22"/>
        </w:rPr>
        <w:t xml:space="preserve">Pursuant to the </w:t>
      </w:r>
      <w:r>
        <w:rPr>
          <w:i/>
          <w:szCs w:val="22"/>
        </w:rPr>
        <w:t>2.5 GHz Report and Order</w:t>
      </w:r>
      <w:r>
        <w:rPr>
          <w:szCs w:val="22"/>
        </w:rPr>
        <w:t>, a winning bidder in an auction of EBS licenses that qualifies as a “small business” would be eligible for a 15</w:t>
      </w:r>
      <w:r w:rsidR="009C030A">
        <w:rPr>
          <w:szCs w:val="22"/>
        </w:rPr>
        <w:t xml:space="preserve">% </w:t>
      </w:r>
      <w:r>
        <w:rPr>
          <w:szCs w:val="22"/>
        </w:rPr>
        <w:t>bidding credit, and a winning bidder qualifying as a “very small business” would be eligible for a 25</w:t>
      </w:r>
      <w:r w:rsidR="009C030A">
        <w:rPr>
          <w:szCs w:val="22"/>
        </w:rPr>
        <w:t xml:space="preserve">% </w:t>
      </w:r>
      <w:r>
        <w:rPr>
          <w:szCs w:val="22"/>
        </w:rPr>
        <w:t>bidding credit.</w:t>
      </w:r>
      <w:r>
        <w:rPr>
          <w:rStyle w:val="FootnoteReference"/>
          <w:szCs w:val="22"/>
        </w:rPr>
        <w:footnoteReference w:id="16"/>
      </w:r>
      <w:r>
        <w:rPr>
          <w:szCs w:val="22"/>
        </w:rPr>
        <w:t xml:space="preserve">   </w:t>
      </w:r>
      <w:r w:rsidRPr="00634F57">
        <w:rPr>
          <w:szCs w:val="22"/>
        </w:rPr>
        <w:t xml:space="preserve">  </w:t>
      </w:r>
      <w:r>
        <w:rPr>
          <w:szCs w:val="22"/>
        </w:rPr>
        <w:t xml:space="preserve">  </w:t>
      </w:r>
      <w:r>
        <w:rPr>
          <w:szCs w:val="22"/>
        </w:rPr>
        <w:tab/>
        <w:t xml:space="preserve"> </w:t>
      </w:r>
    </w:p>
    <w:p w:rsidR="00284F3B" w:rsidP="00284F3B">
      <w:pPr>
        <w:ind w:firstLine="720"/>
        <w:rPr>
          <w:snapToGrid/>
          <w:szCs w:val="22"/>
        </w:rPr>
      </w:pPr>
    </w:p>
    <w:p w:rsidR="00284F3B" w:rsidP="00284F3B">
      <w:pPr>
        <w:widowControl/>
        <w:ind w:firstLine="720"/>
        <w:rPr>
          <w:snapToGrid/>
          <w:szCs w:val="22"/>
        </w:rPr>
      </w:pPr>
      <w:r>
        <w:rPr>
          <w:snapToGrid/>
          <w:szCs w:val="22"/>
        </w:rPr>
        <w:t xml:space="preserve">Copies of the </w:t>
      </w:r>
      <w:r w:rsidRPr="00ED01CF">
        <w:rPr>
          <w:snapToGrid/>
          <w:szCs w:val="22"/>
        </w:rPr>
        <w:t>comment</w:t>
      </w:r>
      <w:r>
        <w:rPr>
          <w:snapToGrid/>
          <w:szCs w:val="22"/>
        </w:rPr>
        <w:t>s and replies filed in response to this Public Notice will be provided to the SBA consistent with SBA procedures for approval of size standards prescribed by Federal departments and agencies.</w:t>
      </w:r>
      <w:r>
        <w:rPr>
          <w:snapToGrid/>
          <w:szCs w:val="22"/>
          <w:vertAlign w:val="superscript"/>
        </w:rPr>
        <w:footnoteReference w:id="17"/>
      </w:r>
      <w:r w:rsidRPr="00696C54">
        <w:rPr>
          <w:snapToGrid/>
          <w:szCs w:val="22"/>
        </w:rPr>
        <w:t xml:space="preserve"> </w:t>
      </w:r>
      <w:r>
        <w:rPr>
          <w:snapToGrid/>
          <w:szCs w:val="22"/>
        </w:rPr>
        <w:t xml:space="preserve"> </w:t>
      </w:r>
    </w:p>
    <w:p w:rsidR="00284F3B" w:rsidP="00284F3B">
      <w:pPr>
        <w:ind w:firstLine="720"/>
        <w:rPr>
          <w:szCs w:val="22"/>
        </w:rPr>
      </w:pPr>
    </w:p>
    <w:p w:rsidR="00284F3B" w:rsidRPr="001A636E" w:rsidP="001C2D48">
      <w:pPr>
        <w:widowControl/>
        <w:spacing w:after="120"/>
        <w:ind w:firstLine="720"/>
        <w:rPr>
          <w:snapToGrid/>
          <w:kern w:val="0"/>
          <w:szCs w:val="22"/>
        </w:rPr>
      </w:pPr>
      <w:r w:rsidRPr="001A636E">
        <w:rPr>
          <w:i/>
          <w:snapToGrid/>
          <w:kern w:val="0"/>
          <w:szCs w:val="22"/>
        </w:rPr>
        <w:t xml:space="preserve">Filing Requirements.  </w:t>
      </w:r>
      <w:r w:rsidRPr="001A636E">
        <w:rPr>
          <w:snapToGrid/>
          <w:kern w:val="0"/>
          <w:szCs w:val="22"/>
        </w:rPr>
        <w:t>Interested parties may file comments and replies on or before the dates indicated on the first page of this document.</w:t>
      </w:r>
      <w:r>
        <w:rPr>
          <w:snapToGrid/>
          <w:kern w:val="0"/>
          <w:szCs w:val="22"/>
          <w:vertAlign w:val="superscript"/>
        </w:rPr>
        <w:footnoteReference w:id="18"/>
      </w:r>
      <w:r w:rsidRPr="001A636E">
        <w:rPr>
          <w:snapToGrid/>
          <w:kern w:val="0"/>
          <w:szCs w:val="22"/>
        </w:rPr>
        <w:t xml:space="preserve">  </w:t>
      </w:r>
      <w:r w:rsidRPr="001A636E">
        <w:rPr>
          <w:iCs/>
          <w:snapToGrid/>
          <w:kern w:val="0"/>
          <w:szCs w:val="22"/>
        </w:rPr>
        <w:t xml:space="preserve">All filings must reference </w:t>
      </w:r>
      <w:r>
        <w:rPr>
          <w:iCs/>
          <w:snapToGrid/>
          <w:kern w:val="0"/>
          <w:szCs w:val="22"/>
        </w:rPr>
        <w:t>WT</w:t>
      </w:r>
      <w:r w:rsidRPr="001A636E">
        <w:rPr>
          <w:iCs/>
          <w:snapToGrid/>
          <w:kern w:val="0"/>
          <w:szCs w:val="22"/>
        </w:rPr>
        <w:t xml:space="preserve"> Docket No. 18-</w:t>
      </w:r>
      <w:r>
        <w:rPr>
          <w:iCs/>
          <w:snapToGrid/>
          <w:kern w:val="0"/>
          <w:szCs w:val="22"/>
        </w:rPr>
        <w:t>120</w:t>
      </w:r>
      <w:r w:rsidRPr="001A636E">
        <w:rPr>
          <w:iCs/>
          <w:snapToGrid/>
          <w:kern w:val="0"/>
          <w:szCs w:val="22"/>
        </w:rPr>
        <w:t xml:space="preserve">.  </w:t>
      </w:r>
      <w:r w:rsidRPr="001A636E">
        <w:rPr>
          <w:snapToGrid/>
          <w:kern w:val="0"/>
          <w:szCs w:val="22"/>
        </w:rPr>
        <w:t>Comments may be filed using the Commission’s Electronic Comment Filing System (ECFS).</w:t>
      </w:r>
      <w:r>
        <w:rPr>
          <w:snapToGrid/>
          <w:kern w:val="0"/>
          <w:szCs w:val="22"/>
          <w:vertAlign w:val="superscript"/>
        </w:rPr>
        <w:footnoteReference w:id="19"/>
      </w:r>
    </w:p>
    <w:p w:rsidR="00284F3B" w:rsidRPr="001A636E" w:rsidP="00284F3B">
      <w:pPr>
        <w:widowControl/>
        <w:numPr>
          <w:ilvl w:val="0"/>
          <w:numId w:val="7"/>
        </w:numPr>
        <w:spacing w:after="120"/>
        <w:rPr>
          <w:snapToGrid/>
          <w:kern w:val="0"/>
          <w:szCs w:val="22"/>
        </w:rPr>
      </w:pPr>
      <w:r w:rsidRPr="001A636E">
        <w:rPr>
          <w:snapToGrid/>
          <w:kern w:val="0"/>
          <w:szCs w:val="22"/>
        </w:rPr>
        <w:t xml:space="preserve">Electronic Filers:  Comments may be filed electronically using the Internet by accessing ECFS:  </w:t>
      </w:r>
      <w:hyperlink r:id="rId5" w:history="1">
        <w:r w:rsidRPr="001A636E">
          <w:rPr>
            <w:snapToGrid/>
            <w:color w:val="0000FF"/>
            <w:kern w:val="0"/>
            <w:szCs w:val="22"/>
            <w:u w:val="single"/>
          </w:rPr>
          <w:t>https://www.fcc.gov/ecfs/</w:t>
        </w:r>
      </w:hyperlink>
      <w:r w:rsidRPr="001A636E">
        <w:rPr>
          <w:snapToGrid/>
          <w:kern w:val="0"/>
          <w:szCs w:val="22"/>
        </w:rPr>
        <w:t>.</w:t>
      </w:r>
    </w:p>
    <w:p w:rsidR="00284F3B" w:rsidRPr="001A636E" w:rsidP="00284F3B">
      <w:pPr>
        <w:widowControl/>
        <w:numPr>
          <w:ilvl w:val="0"/>
          <w:numId w:val="7"/>
        </w:numPr>
        <w:spacing w:after="120"/>
        <w:rPr>
          <w:snapToGrid/>
          <w:kern w:val="0"/>
          <w:szCs w:val="22"/>
        </w:rPr>
      </w:pPr>
      <w:r w:rsidRPr="001A636E">
        <w:rPr>
          <w:snapToGrid/>
          <w:kern w:val="0"/>
          <w:szCs w:val="22"/>
        </w:rPr>
        <w:t>Paper Filers:  Parties who choose to file by paper must file an original and one copy of each filing.</w:t>
      </w:r>
    </w:p>
    <w:p w:rsidR="00284F3B" w:rsidRPr="001A636E" w:rsidP="00284F3B">
      <w:pPr>
        <w:widowControl/>
        <w:numPr>
          <w:ilvl w:val="0"/>
          <w:numId w:val="7"/>
        </w:numPr>
        <w:spacing w:after="120"/>
        <w:rPr>
          <w:snapToGrid/>
          <w:kern w:val="0"/>
          <w:szCs w:val="22"/>
        </w:rPr>
      </w:pPr>
      <w:r w:rsidRPr="001A636E">
        <w:rPr>
          <w:snapToGrid/>
          <w:kern w:val="0"/>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284F3B" w:rsidRPr="001A636E" w:rsidP="00284F3B">
      <w:pPr>
        <w:widowControl/>
        <w:numPr>
          <w:ilvl w:val="1"/>
          <w:numId w:val="7"/>
        </w:numPr>
        <w:spacing w:after="120"/>
        <w:rPr>
          <w:snapToGrid/>
          <w:kern w:val="0"/>
          <w:szCs w:val="22"/>
        </w:rPr>
      </w:pPr>
      <w:r w:rsidRPr="001A636E">
        <w:rPr>
          <w:snapToGrid/>
          <w:kern w:val="0"/>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284F3B" w:rsidRPr="001A636E" w:rsidP="00284F3B">
      <w:pPr>
        <w:widowControl/>
        <w:numPr>
          <w:ilvl w:val="1"/>
          <w:numId w:val="7"/>
        </w:numPr>
        <w:spacing w:after="120"/>
        <w:rPr>
          <w:snapToGrid/>
          <w:kern w:val="0"/>
          <w:szCs w:val="22"/>
        </w:rPr>
      </w:pPr>
      <w:r w:rsidRPr="001A636E">
        <w:rPr>
          <w:snapToGrid/>
          <w:kern w:val="0"/>
          <w:szCs w:val="22"/>
        </w:rPr>
        <w:t>Commercial overnight mail (other than U.S. Postal Service Express Mail and Priority Mail) must be sent to 9050 Junction Drive, Annapolis Junction, MD 20701.</w:t>
      </w:r>
    </w:p>
    <w:p w:rsidR="00284F3B" w:rsidRPr="001A636E" w:rsidP="00284F3B">
      <w:pPr>
        <w:keepLines/>
        <w:widowControl/>
        <w:numPr>
          <w:ilvl w:val="1"/>
          <w:numId w:val="7"/>
        </w:numPr>
        <w:spacing w:after="120"/>
        <w:rPr>
          <w:snapToGrid/>
          <w:kern w:val="0"/>
          <w:szCs w:val="22"/>
        </w:rPr>
      </w:pPr>
      <w:r w:rsidRPr="001A636E">
        <w:rPr>
          <w:snapToGrid/>
          <w:kern w:val="0"/>
          <w:szCs w:val="22"/>
        </w:rPr>
        <w:t>U.S. Postal Service first-class, Express, and Priority mail must be addressed to 445 12th Street, SW, Washington DC  20554.</w:t>
      </w:r>
    </w:p>
    <w:p w:rsidR="00284F3B" w:rsidRPr="001A636E" w:rsidP="001C2D48">
      <w:pPr>
        <w:widowControl/>
        <w:spacing w:after="120"/>
        <w:ind w:firstLine="720"/>
        <w:rPr>
          <w:snapToGrid/>
          <w:kern w:val="0"/>
          <w:szCs w:val="22"/>
        </w:rPr>
      </w:pPr>
      <w:r w:rsidRPr="001A636E">
        <w:rPr>
          <w:i/>
          <w:snapToGrid/>
          <w:kern w:val="0"/>
          <w:szCs w:val="22"/>
        </w:rPr>
        <w:t xml:space="preserve">Ex </w:t>
      </w:r>
      <w:r w:rsidRPr="001A636E">
        <w:rPr>
          <w:i/>
          <w:snapToGrid/>
          <w:kern w:val="0"/>
          <w:szCs w:val="22"/>
        </w:rPr>
        <w:t>Parte</w:t>
      </w:r>
      <w:r w:rsidRPr="001A636E">
        <w:rPr>
          <w:i/>
          <w:snapToGrid/>
          <w:kern w:val="0"/>
          <w:szCs w:val="22"/>
        </w:rPr>
        <w:t xml:space="preserve"> Rules</w:t>
      </w:r>
      <w:r w:rsidRPr="001A636E">
        <w:rPr>
          <w:snapToGrid/>
          <w:kern w:val="0"/>
          <w:szCs w:val="22"/>
        </w:rPr>
        <w:t xml:space="preserve">.  This proceeding has been designated as a “permit-but-disclose” proceeding in accordance with the Commission’s </w:t>
      </w:r>
      <w:r w:rsidRPr="001A636E">
        <w:rPr>
          <w:i/>
          <w:iCs/>
          <w:snapToGrid/>
          <w:kern w:val="0"/>
          <w:szCs w:val="22"/>
        </w:rPr>
        <w:t xml:space="preserve">ex </w:t>
      </w:r>
      <w:r w:rsidRPr="001A636E">
        <w:rPr>
          <w:i/>
          <w:iCs/>
          <w:snapToGrid/>
          <w:kern w:val="0"/>
          <w:szCs w:val="22"/>
        </w:rPr>
        <w:t>parte</w:t>
      </w:r>
      <w:r w:rsidRPr="001A636E">
        <w:rPr>
          <w:i/>
          <w:iCs/>
          <w:snapToGrid/>
          <w:kern w:val="0"/>
          <w:szCs w:val="22"/>
        </w:rPr>
        <w:t xml:space="preserve"> </w:t>
      </w:r>
      <w:r w:rsidRPr="001A636E">
        <w:rPr>
          <w:snapToGrid/>
          <w:kern w:val="0"/>
          <w:szCs w:val="22"/>
        </w:rPr>
        <w:t>rules.</w:t>
      </w:r>
      <w:r>
        <w:rPr>
          <w:snapToGrid/>
          <w:kern w:val="0"/>
          <w:szCs w:val="22"/>
          <w:vertAlign w:val="superscript"/>
        </w:rPr>
        <w:footnoteReference w:id="20"/>
      </w:r>
      <w:r w:rsidRPr="001A636E">
        <w:rPr>
          <w:snapToGrid/>
          <w:kern w:val="0"/>
          <w:szCs w:val="22"/>
        </w:rPr>
        <w:t xml:space="preserve">  Persons making </w:t>
      </w:r>
      <w:r w:rsidRPr="001A636E">
        <w:rPr>
          <w:i/>
          <w:snapToGrid/>
          <w:kern w:val="0"/>
          <w:szCs w:val="22"/>
        </w:rPr>
        <w:t xml:space="preserve">ex </w:t>
      </w:r>
      <w:r w:rsidRPr="001A636E">
        <w:rPr>
          <w:i/>
          <w:snapToGrid/>
          <w:kern w:val="0"/>
          <w:szCs w:val="22"/>
        </w:rPr>
        <w:t>parte</w:t>
      </w:r>
      <w:r w:rsidRPr="001A636E">
        <w:rPr>
          <w:i/>
          <w:snapToGrid/>
          <w:kern w:val="0"/>
          <w:szCs w:val="22"/>
        </w:rPr>
        <w:t xml:space="preserve"> </w:t>
      </w:r>
      <w:r w:rsidRPr="001A636E">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A636E">
        <w:rPr>
          <w:i/>
          <w:iCs/>
          <w:snapToGrid/>
          <w:kern w:val="0"/>
          <w:szCs w:val="22"/>
        </w:rPr>
        <w:t xml:space="preserve">ex </w:t>
      </w:r>
      <w:r w:rsidRPr="001A636E">
        <w:rPr>
          <w:i/>
          <w:iCs/>
          <w:snapToGrid/>
          <w:kern w:val="0"/>
          <w:szCs w:val="22"/>
        </w:rPr>
        <w:t>parte</w:t>
      </w:r>
      <w:r w:rsidRPr="001A636E">
        <w:rPr>
          <w:i/>
          <w:iCs/>
          <w:snapToGrid/>
          <w:kern w:val="0"/>
          <w:szCs w:val="22"/>
        </w:rPr>
        <w:t xml:space="preserve"> </w:t>
      </w:r>
      <w:r w:rsidRPr="001A636E">
        <w:rPr>
          <w:snapToGrid/>
          <w:kern w:val="0"/>
          <w:szCs w:val="22"/>
        </w:rPr>
        <w:t xml:space="preserve">presentations are reminded that memoranda summarizing the presentation must (1) list all persons attending or otherwise participating in the meeting at which the </w:t>
      </w:r>
      <w:r w:rsidRPr="001A636E">
        <w:rPr>
          <w:i/>
          <w:iCs/>
          <w:snapToGrid/>
          <w:kern w:val="0"/>
          <w:szCs w:val="22"/>
        </w:rPr>
        <w:t xml:space="preserve">ex </w:t>
      </w:r>
      <w:r w:rsidRPr="001A636E">
        <w:rPr>
          <w:i/>
          <w:iCs/>
          <w:snapToGrid/>
          <w:kern w:val="0"/>
          <w:szCs w:val="22"/>
        </w:rPr>
        <w:t>parte</w:t>
      </w:r>
      <w:r w:rsidRPr="001A636E">
        <w:rPr>
          <w:i/>
          <w:iCs/>
          <w:snapToGrid/>
          <w:kern w:val="0"/>
          <w:szCs w:val="22"/>
        </w:rPr>
        <w:t xml:space="preserve"> </w:t>
      </w:r>
      <w:r w:rsidRPr="001A636E">
        <w:rPr>
          <w:snapToGrid/>
          <w:kern w:val="0"/>
          <w:szCs w:val="22"/>
        </w:rPr>
        <w:t xml:space="preserve">presentation was made, and (2) summarize all data presented and arguments made during the presentation.  If the presentation consisted in whole or in part of the presentation of data or arguments </w:t>
      </w:r>
      <w:r w:rsidRPr="001A636E">
        <w:rPr>
          <w:snapToGrid/>
          <w:kern w:val="0"/>
          <w:szCs w:val="22"/>
        </w:rPr>
        <w:t xml:space="preserve">already reflected in the presenter’s written comments, memoranda or other filings in the proceeding, the presenter may provide citations to such data or arguments in his or her prior comments, memoranda, or other filings (specifying </w:t>
      </w:r>
      <w:r w:rsidRPr="001A636E">
        <w:rPr>
          <w:snapToGrid/>
          <w:kern w:val="0"/>
        </w:rPr>
        <w:t>the</w:t>
      </w:r>
      <w:r w:rsidRPr="001A636E">
        <w:rPr>
          <w:snapToGrid/>
          <w:kern w:val="0"/>
          <w:szCs w:val="22"/>
        </w:rPr>
        <w:t xml:space="preserve"> relevant page and/or paragraph numbers where such data or arguments can be found) in lieu of summarizing them in the memorandum.  Documents shown or given to Commission staff during </w:t>
      </w:r>
      <w:r w:rsidRPr="001A636E">
        <w:rPr>
          <w:i/>
          <w:iCs/>
          <w:snapToGrid/>
          <w:kern w:val="0"/>
          <w:szCs w:val="22"/>
        </w:rPr>
        <w:t xml:space="preserve">ex </w:t>
      </w:r>
      <w:r w:rsidRPr="001A636E">
        <w:rPr>
          <w:i/>
          <w:iCs/>
          <w:snapToGrid/>
          <w:kern w:val="0"/>
          <w:szCs w:val="22"/>
        </w:rPr>
        <w:t>parte</w:t>
      </w:r>
      <w:r w:rsidRPr="001A636E">
        <w:rPr>
          <w:i/>
          <w:iCs/>
          <w:snapToGrid/>
          <w:kern w:val="0"/>
          <w:szCs w:val="22"/>
        </w:rPr>
        <w:t xml:space="preserve"> </w:t>
      </w:r>
      <w:r w:rsidRPr="001A636E">
        <w:rPr>
          <w:snapToGrid/>
          <w:kern w:val="0"/>
          <w:szCs w:val="22"/>
        </w:rPr>
        <w:t xml:space="preserve">meetings are deemed to be written </w:t>
      </w:r>
      <w:r w:rsidRPr="001A636E">
        <w:rPr>
          <w:i/>
          <w:iCs/>
          <w:snapToGrid/>
          <w:kern w:val="0"/>
          <w:szCs w:val="22"/>
        </w:rPr>
        <w:t xml:space="preserve">ex </w:t>
      </w:r>
      <w:r w:rsidRPr="001A636E">
        <w:rPr>
          <w:i/>
          <w:iCs/>
          <w:snapToGrid/>
          <w:kern w:val="0"/>
          <w:szCs w:val="22"/>
        </w:rPr>
        <w:t>parte</w:t>
      </w:r>
      <w:r w:rsidRPr="001A636E">
        <w:rPr>
          <w:snapToGrid/>
          <w:kern w:val="0"/>
          <w:szCs w:val="22"/>
        </w:rPr>
        <w:t xml:space="preserve"> presentations and must be filed consistent with rule 1.1206(b).  In proceedings governed by rule 1.49(f) or for which the Commission has made available a method of electronic filing, written </w:t>
      </w:r>
      <w:r w:rsidRPr="001A636E">
        <w:rPr>
          <w:i/>
          <w:iCs/>
          <w:snapToGrid/>
          <w:kern w:val="0"/>
          <w:szCs w:val="22"/>
        </w:rPr>
        <w:t xml:space="preserve">ex </w:t>
      </w:r>
      <w:r w:rsidRPr="001A636E">
        <w:rPr>
          <w:i/>
          <w:iCs/>
          <w:snapToGrid/>
          <w:kern w:val="0"/>
          <w:szCs w:val="22"/>
        </w:rPr>
        <w:t>parte</w:t>
      </w:r>
      <w:r w:rsidRPr="001A636E">
        <w:rPr>
          <w:i/>
          <w:iCs/>
          <w:snapToGrid/>
          <w:kern w:val="0"/>
          <w:szCs w:val="22"/>
        </w:rPr>
        <w:t xml:space="preserve"> </w:t>
      </w:r>
      <w:r w:rsidRPr="001A636E">
        <w:rPr>
          <w:snapToGrid/>
          <w:kern w:val="0"/>
          <w:szCs w:val="22"/>
        </w:rPr>
        <w:t xml:space="preserve">presentations and memoranda summarizing oral </w:t>
      </w:r>
      <w:r w:rsidRPr="001A636E">
        <w:rPr>
          <w:i/>
          <w:iCs/>
          <w:snapToGrid/>
          <w:kern w:val="0"/>
          <w:szCs w:val="22"/>
        </w:rPr>
        <w:t xml:space="preserve">ex </w:t>
      </w:r>
      <w:r w:rsidRPr="001A636E">
        <w:rPr>
          <w:i/>
          <w:iCs/>
          <w:snapToGrid/>
          <w:kern w:val="0"/>
          <w:szCs w:val="22"/>
        </w:rPr>
        <w:t>parte</w:t>
      </w:r>
      <w:r w:rsidRPr="001A636E">
        <w:rPr>
          <w:i/>
          <w:iCs/>
          <w:snapToGrid/>
          <w:kern w:val="0"/>
          <w:szCs w:val="22"/>
        </w:rPr>
        <w:t xml:space="preserve"> </w:t>
      </w:r>
      <w:r w:rsidRPr="001A636E">
        <w:rPr>
          <w:snapToGrid/>
          <w:kern w:val="0"/>
          <w:szCs w:val="22"/>
        </w:rPr>
        <w:t>presentations, and all attachments thereto, must be filed through the electronic comment filing system available for that proceeding, and must be filed in their native format (</w:t>
      </w:r>
      <w:r w:rsidRPr="001A636E">
        <w:rPr>
          <w:i/>
          <w:iCs/>
          <w:snapToGrid/>
          <w:kern w:val="0"/>
          <w:szCs w:val="22"/>
        </w:rPr>
        <w:t>e.g.</w:t>
      </w:r>
      <w:r w:rsidRPr="001A636E">
        <w:rPr>
          <w:snapToGrid/>
          <w:kern w:val="0"/>
          <w:szCs w:val="22"/>
        </w:rPr>
        <w:t xml:space="preserve">, .doc, .xml, .ppt, searchable .pdf).  Participants in this proceeding should familiarize themselves with the Commission’s </w:t>
      </w:r>
      <w:r w:rsidRPr="001A636E">
        <w:rPr>
          <w:i/>
          <w:iCs/>
          <w:snapToGrid/>
          <w:kern w:val="0"/>
          <w:szCs w:val="22"/>
        </w:rPr>
        <w:t xml:space="preserve">ex </w:t>
      </w:r>
      <w:r w:rsidRPr="001A636E">
        <w:rPr>
          <w:i/>
          <w:iCs/>
          <w:snapToGrid/>
          <w:kern w:val="0"/>
          <w:szCs w:val="22"/>
        </w:rPr>
        <w:t>parte</w:t>
      </w:r>
      <w:r w:rsidRPr="001A636E">
        <w:rPr>
          <w:i/>
          <w:iCs/>
          <w:snapToGrid/>
          <w:kern w:val="0"/>
          <w:szCs w:val="22"/>
        </w:rPr>
        <w:t xml:space="preserve"> </w:t>
      </w:r>
      <w:r w:rsidRPr="001A636E">
        <w:rPr>
          <w:snapToGrid/>
          <w:kern w:val="0"/>
          <w:szCs w:val="22"/>
        </w:rPr>
        <w:t>rules.</w:t>
      </w:r>
    </w:p>
    <w:p w:rsidR="00284F3B" w:rsidRPr="001A636E" w:rsidP="00284F3B">
      <w:pPr>
        <w:widowControl/>
        <w:spacing w:after="120"/>
        <w:ind w:firstLine="720"/>
        <w:rPr>
          <w:snapToGrid/>
          <w:kern w:val="0"/>
          <w:szCs w:val="22"/>
        </w:rPr>
      </w:pPr>
      <w:r w:rsidRPr="001A636E">
        <w:rPr>
          <w:i/>
          <w:snapToGrid/>
          <w:kern w:val="0"/>
          <w:szCs w:val="22"/>
        </w:rPr>
        <w:t xml:space="preserve">People with Disabilities.  </w:t>
      </w:r>
      <w:r w:rsidRPr="001A636E">
        <w:rPr>
          <w:snapToGrid/>
          <w:kern w:val="0"/>
          <w:szCs w:val="22"/>
        </w:rPr>
        <w:t xml:space="preserve">To request materials in accessible formats for people with disabilities (Braille, large print, electronic files, audio format), send an e-mail to </w:t>
      </w:r>
      <w:hyperlink r:id="rId6" w:history="1">
        <w:r w:rsidRPr="001A636E">
          <w:rPr>
            <w:snapToGrid/>
            <w:color w:val="0000FF"/>
            <w:kern w:val="0"/>
            <w:szCs w:val="22"/>
            <w:u w:val="single"/>
          </w:rPr>
          <w:t>fcc504@fcc.gov</w:t>
        </w:r>
      </w:hyperlink>
      <w:r w:rsidRPr="001A636E">
        <w:rPr>
          <w:snapToGrid/>
          <w:kern w:val="0"/>
          <w:szCs w:val="22"/>
        </w:rPr>
        <w:t xml:space="preserve"> or call the Consumer and Governmental Affairs Bureau at 202-418-0530 (voice), 844-432-2275 (videophone), or 202-418-0432 (TTY).</w:t>
      </w:r>
    </w:p>
    <w:p w:rsidR="00284F3B" w:rsidRPr="001A636E" w:rsidP="00284F3B">
      <w:pPr>
        <w:widowControl/>
        <w:spacing w:after="120"/>
        <w:ind w:firstLine="720"/>
        <w:rPr>
          <w:snapToGrid/>
          <w:kern w:val="0"/>
          <w:szCs w:val="22"/>
        </w:rPr>
      </w:pPr>
      <w:r w:rsidRPr="001A636E">
        <w:rPr>
          <w:i/>
          <w:snapToGrid/>
          <w:kern w:val="0"/>
          <w:szCs w:val="22"/>
        </w:rPr>
        <w:t xml:space="preserve">Additional Information.  </w:t>
      </w:r>
      <w:r w:rsidRPr="001A636E">
        <w:rPr>
          <w:snapToGrid/>
          <w:kern w:val="0"/>
          <w:szCs w:val="22"/>
        </w:rPr>
        <w:t>For further information regarding this Public Notice, please contact</w:t>
      </w:r>
      <w:r>
        <w:rPr>
          <w:snapToGrid/>
          <w:kern w:val="0"/>
          <w:szCs w:val="22"/>
        </w:rPr>
        <w:t xml:space="preserve"> Mary Lovejoy, Attorney Advisor, Auctions Division, Office of Economics and Analytics (202) 418-0660; </w:t>
      </w:r>
      <w:hyperlink r:id="rId7" w:history="1">
        <w:r w:rsidRPr="00093F42">
          <w:rPr>
            <w:rStyle w:val="Hyperlink"/>
            <w:snapToGrid/>
            <w:kern w:val="0"/>
            <w:szCs w:val="22"/>
          </w:rPr>
          <w:t>mary.lovejoy@fcc.gov</w:t>
        </w:r>
      </w:hyperlink>
      <w:r>
        <w:rPr>
          <w:snapToGrid/>
          <w:kern w:val="0"/>
          <w:szCs w:val="22"/>
        </w:rPr>
        <w:t>.</w:t>
      </w:r>
    </w:p>
    <w:p w:rsidR="00284F3B" w:rsidP="00284F3B">
      <w:pPr>
        <w:widowControl/>
        <w:spacing w:after="120"/>
        <w:jc w:val="center"/>
        <w:rPr>
          <w:b/>
          <w:snapToGrid/>
          <w:kern w:val="0"/>
          <w:szCs w:val="22"/>
        </w:rPr>
      </w:pPr>
      <w:r w:rsidRPr="001A636E">
        <w:rPr>
          <w:b/>
          <w:snapToGrid/>
          <w:kern w:val="0"/>
          <w:szCs w:val="22"/>
        </w:rPr>
        <w:t>–FC</w:t>
      </w:r>
      <w:r>
        <w:rPr>
          <w:b/>
          <w:snapToGrid/>
          <w:kern w:val="0"/>
          <w:szCs w:val="22"/>
        </w:rPr>
        <w:t>C</w:t>
      </w:r>
      <w:r w:rsidRPr="001A636E">
        <w:rPr>
          <w:b/>
          <w:snapToGrid/>
          <w:kern w:val="0"/>
          <w:szCs w:val="22"/>
        </w:rPr>
        <w:t>–</w:t>
      </w:r>
    </w:p>
    <w:p w:rsidR="000E5884" w:rsidP="00C82B6B">
      <w:pPr>
        <w:jc w:val="right"/>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pPr>
      <w:spacing w:before="140" w:line="100" w:lineRule="exact"/>
      <w:rPr>
        <w:sz w:val="10"/>
      </w:rPr>
    </w:pPr>
  </w:p>
  <w:p w:rsidR="006F73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15D7" w:rsidRPr="00611007" w:rsidP="00D315D7">
    <w:pPr>
      <w:pStyle w:val="Footer"/>
      <w:rPr>
        <w:color w:val="FF0000"/>
      </w:rPr>
    </w:pPr>
  </w:p>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223B">
      <w:r>
        <w:separator/>
      </w:r>
    </w:p>
  </w:footnote>
  <w:footnote w:type="continuationSeparator" w:id="1">
    <w:p w:rsidR="0041223B">
      <w:pPr>
        <w:rPr>
          <w:sz w:val="20"/>
        </w:rPr>
      </w:pPr>
      <w:r>
        <w:rPr>
          <w:sz w:val="20"/>
        </w:rPr>
        <w:t xml:space="preserve">(Continued from previous page)  </w:t>
      </w:r>
      <w:r>
        <w:rPr>
          <w:sz w:val="20"/>
        </w:rPr>
        <w:separator/>
      </w:r>
    </w:p>
  </w:footnote>
  <w:footnote w:type="continuationNotice" w:id="2">
    <w:p w:rsidR="0041223B">
      <w:pPr>
        <w:rPr>
          <w:sz w:val="20"/>
        </w:rPr>
      </w:pPr>
      <w:r>
        <w:rPr>
          <w:sz w:val="20"/>
        </w:rPr>
        <w:t>(continued….)</w:t>
      </w:r>
    </w:p>
  </w:footnote>
  <w:footnote w:id="3">
    <w:p w:rsidR="00284F3B" w:rsidRPr="001C2D48" w:rsidP="00284F3B">
      <w:pPr>
        <w:pStyle w:val="FootnoteText"/>
      </w:pPr>
      <w:r w:rsidRPr="001C2D48">
        <w:rPr>
          <w:rStyle w:val="FootnoteReference"/>
          <w:sz w:val="20"/>
        </w:rPr>
        <w:footnoteRef/>
      </w:r>
      <w:r w:rsidRPr="001C2D48">
        <w:t xml:space="preserve"> </w:t>
      </w:r>
      <w:r w:rsidRPr="001C2D48">
        <w:rPr>
          <w:i/>
        </w:rPr>
        <w:t>Transforming the 2.5 GHz Band</w:t>
      </w:r>
      <w:r w:rsidRPr="001C2D48">
        <w:t xml:space="preserve">, WT Docket No. 18-120, Report and Order, 34 FCC </w:t>
      </w:r>
      <w:r w:rsidRPr="001C2D48">
        <w:t>Rcd</w:t>
      </w:r>
      <w:r w:rsidRPr="001C2D48">
        <w:t xml:space="preserve"> 5446 (2019) (</w:t>
      </w:r>
      <w:r w:rsidRPr="001C2D48">
        <w:rPr>
          <w:i/>
        </w:rPr>
        <w:t>2.5 GHz Report and Order</w:t>
      </w:r>
      <w:r w:rsidRPr="001C2D48">
        <w:t>).</w:t>
      </w:r>
    </w:p>
  </w:footnote>
  <w:footnote w:id="4">
    <w:p w:rsidR="00284F3B" w:rsidRPr="001C2D48" w:rsidP="00284F3B">
      <w:pPr>
        <w:pStyle w:val="FootnoteText"/>
      </w:pPr>
      <w:r w:rsidRPr="001C2D48">
        <w:rPr>
          <w:rStyle w:val="FootnoteReference"/>
          <w:sz w:val="20"/>
        </w:rPr>
        <w:footnoteRef/>
      </w:r>
      <w:r w:rsidRPr="001C2D48">
        <w:t xml:space="preserve"> </w:t>
      </w:r>
      <w:r w:rsidRPr="001C2D48">
        <w:rPr>
          <w:i/>
        </w:rPr>
        <w:t>Id.</w:t>
      </w:r>
      <w:r w:rsidRPr="001C2D48">
        <w:t xml:space="preserve"> at 5478-79, paras. 88-89.</w:t>
      </w:r>
    </w:p>
  </w:footnote>
  <w:footnote w:id="5">
    <w:p w:rsidR="00284F3B" w:rsidRPr="001C2D48" w:rsidP="00284F3B">
      <w:pPr>
        <w:pStyle w:val="FootnoteText"/>
      </w:pPr>
      <w:r w:rsidRPr="001C2D48">
        <w:rPr>
          <w:rStyle w:val="FootnoteReference"/>
          <w:sz w:val="20"/>
        </w:rPr>
        <w:footnoteRef/>
      </w:r>
      <w:r w:rsidRPr="001C2D48">
        <w:t xml:space="preserve"> </w:t>
      </w:r>
      <w:r w:rsidRPr="001C2D48">
        <w:rPr>
          <w:i/>
        </w:rPr>
        <w:t>Amendment of Parts 1, 21, 73, 74 and 101 of the Commission’s Rules to Facilitate the Provision of Fixed and Mobile Broadband Access, Educational and Other Advanced Services in the 2150-2162 and 2500-2690 MHz Bands; Transforming the 2.5 GHz Band</w:t>
      </w:r>
      <w:r w:rsidRPr="001C2D48">
        <w:t xml:space="preserve">, Notice of Proposed Rulemaking, 33 FCC </w:t>
      </w:r>
      <w:r w:rsidRPr="001C2D48">
        <w:t>Rcd</w:t>
      </w:r>
      <w:r w:rsidRPr="001C2D48">
        <w:t xml:space="preserve"> 4687, 4702, para. 49 (2018) (</w:t>
      </w:r>
      <w:r w:rsidRPr="001C2D48">
        <w:rPr>
          <w:i/>
        </w:rPr>
        <w:t>NPRM</w:t>
      </w:r>
      <w:r w:rsidRPr="001C2D48">
        <w:t xml:space="preserve">). </w:t>
      </w:r>
    </w:p>
  </w:footnote>
  <w:footnote w:id="6">
    <w:p w:rsidR="00284F3B" w:rsidRPr="001C2D48" w:rsidP="00284F3B">
      <w:pPr>
        <w:pStyle w:val="FootnoteText"/>
      </w:pPr>
      <w:r w:rsidRPr="001C2D48">
        <w:rPr>
          <w:rStyle w:val="FootnoteReference"/>
          <w:sz w:val="20"/>
        </w:rPr>
        <w:footnoteRef/>
      </w:r>
      <w:r w:rsidRPr="001C2D48">
        <w:t xml:space="preserve"> </w:t>
      </w:r>
      <w:r w:rsidRPr="001C2D48">
        <w:rPr>
          <w:i/>
        </w:rPr>
        <w:t>Id.</w:t>
      </w:r>
    </w:p>
  </w:footnote>
  <w:footnote w:id="7">
    <w:p w:rsidR="00284F3B" w:rsidRPr="001C2D48" w:rsidP="00284F3B">
      <w:pPr>
        <w:pStyle w:val="FootnoteText"/>
        <w:rPr>
          <w:i/>
        </w:rPr>
      </w:pPr>
      <w:r w:rsidRPr="001C2D48">
        <w:rPr>
          <w:rStyle w:val="FootnoteReference"/>
          <w:sz w:val="20"/>
        </w:rPr>
        <w:footnoteRef/>
      </w:r>
      <w:r w:rsidRPr="001C2D48">
        <w:rPr>
          <w:i/>
        </w:rPr>
        <w:t xml:space="preserve"> See, e.g.</w:t>
      </w:r>
      <w:r w:rsidRPr="001C2D48">
        <w:t xml:space="preserve">, Select Spectrum LLC </w:t>
      </w:r>
      <w:r w:rsidR="004E727F">
        <w:t>Reply</w:t>
      </w:r>
      <w:r w:rsidRPr="001C2D48">
        <w:t xml:space="preserve"> at 3;</w:t>
      </w:r>
      <w:r w:rsidR="00995A36">
        <w:t xml:space="preserve"> Educators and Broadband Providers for American Rural Communities </w:t>
      </w:r>
      <w:r w:rsidR="00C04C37">
        <w:t>Reply</w:t>
      </w:r>
      <w:r w:rsidR="00995A36">
        <w:t xml:space="preserve"> at </w:t>
      </w:r>
      <w:r w:rsidR="008B282D">
        <w:t>4-5</w:t>
      </w:r>
      <w:r w:rsidR="00EB3CA8">
        <w:t>;</w:t>
      </w:r>
      <w:r w:rsidRPr="001C2D48">
        <w:t xml:space="preserve"> Letter from Slayton S. Stewart, Chief Executive Officer, Carolina West Wireless, et al. to Marlene Dortch, H. Secretary, FCC, WT Docket No. 18-120 at 2 (filed July 3, 2019); </w:t>
      </w:r>
      <w:r w:rsidRPr="001C2D48" w:rsidR="00995A36">
        <w:t xml:space="preserve">Letter from </w:t>
      </w:r>
      <w:r w:rsidR="00995A36">
        <w:t>Stephen E. Coran</w:t>
      </w:r>
      <w:r w:rsidRPr="001C2D48" w:rsidR="00995A36">
        <w:t>,</w:t>
      </w:r>
      <w:r w:rsidR="00995A36">
        <w:t xml:space="preserve"> Counsel to the Wireless Internet Service Providers Association</w:t>
      </w:r>
      <w:r w:rsidRPr="001C2D48" w:rsidR="00995A36">
        <w:t xml:space="preserve"> to Marlene H. Dortch, Secretary, FCC, WT Docket No. 18-120 at</w:t>
      </w:r>
      <w:r w:rsidR="00163304">
        <w:t xml:space="preserve"> 1-2</w:t>
      </w:r>
      <w:r w:rsidRPr="001C2D48" w:rsidR="00995A36">
        <w:t xml:space="preserve"> (filed </w:t>
      </w:r>
      <w:r w:rsidR="00163304">
        <w:t>June 28</w:t>
      </w:r>
      <w:r w:rsidRPr="001C2D48" w:rsidR="00995A36">
        <w:t>, 2019</w:t>
      </w:r>
      <w:r w:rsidR="00995A36">
        <w:t xml:space="preserve">); </w:t>
      </w:r>
      <w:r w:rsidRPr="001C2D48">
        <w:t xml:space="preserve">Letter from Nicole </w:t>
      </w:r>
      <w:r w:rsidRPr="001C2D48">
        <w:t>Tupman</w:t>
      </w:r>
      <w:r w:rsidRPr="001C2D48">
        <w:t>, Assistant General Counsel, Midcontinent Communications, to Marlene H. Dortch, Secretary, FCC, WT Docket No. 18-120 at 6 (filed Mar. 5, 2019).</w:t>
      </w:r>
    </w:p>
  </w:footnote>
  <w:footnote w:id="8">
    <w:p w:rsidR="00284F3B" w:rsidRPr="001C2D48" w:rsidP="00284F3B">
      <w:pPr>
        <w:pStyle w:val="FootnoteText"/>
        <w:rPr>
          <w:b/>
        </w:rPr>
      </w:pPr>
      <w:r w:rsidRPr="001C2D48">
        <w:rPr>
          <w:rStyle w:val="FootnoteReference"/>
          <w:rFonts w:eastAsia="Calibri"/>
          <w:sz w:val="20"/>
        </w:rPr>
        <w:footnoteRef/>
      </w:r>
      <w:r w:rsidRPr="001C2D48">
        <w:t xml:space="preserve"> </w:t>
      </w:r>
      <w:r w:rsidRPr="001C2D48">
        <w:rPr>
          <w:i/>
        </w:rPr>
        <w:t xml:space="preserve">2.5. GHz Order, </w:t>
      </w:r>
      <w:r w:rsidRPr="001C2D48">
        <w:t xml:space="preserve">34 FCC </w:t>
      </w:r>
      <w:r w:rsidRPr="001C2D48">
        <w:t>Rcd</w:t>
      </w:r>
      <w:r w:rsidRPr="001C2D48">
        <w:t xml:space="preserve"> at 5478, para. 88.    </w:t>
      </w:r>
    </w:p>
  </w:footnote>
  <w:footnote w:id="9">
    <w:p w:rsidR="004E727F" w:rsidRPr="007D2592">
      <w:pPr>
        <w:pStyle w:val="FootnoteText"/>
        <w:rPr>
          <w:i/>
        </w:rPr>
      </w:pPr>
      <w:r>
        <w:rPr>
          <w:rStyle w:val="FootnoteReference"/>
        </w:rPr>
        <w:footnoteRef/>
      </w:r>
      <w:r>
        <w:t xml:space="preserve"> </w:t>
      </w:r>
      <w:r>
        <w:rPr>
          <w:i/>
        </w:rPr>
        <w:t>Id.</w:t>
      </w:r>
    </w:p>
  </w:footnote>
  <w:footnote w:id="10">
    <w:p w:rsidR="00284F3B" w:rsidRPr="001C2D48" w:rsidP="00284F3B">
      <w:pPr>
        <w:pStyle w:val="FootnoteText"/>
      </w:pPr>
      <w:r w:rsidRPr="001C2D48">
        <w:rPr>
          <w:rStyle w:val="FootnoteReference"/>
          <w:sz w:val="20"/>
        </w:rPr>
        <w:footnoteRef/>
      </w:r>
      <w:r w:rsidRPr="001C2D48">
        <w:t xml:space="preserve"> </w:t>
      </w:r>
      <w:r w:rsidRPr="001C2D48">
        <w:rPr>
          <w:i/>
        </w:rPr>
        <w:t>Id</w:t>
      </w:r>
      <w:r w:rsidRPr="001C2D48">
        <w:t>.</w:t>
      </w:r>
      <w:r w:rsidR="004E727F">
        <w:t xml:space="preserve"> at 5478-79, paras. 88-89.</w:t>
      </w:r>
    </w:p>
  </w:footnote>
  <w:footnote w:id="11">
    <w:p w:rsidR="00284F3B" w:rsidRPr="001C2D48" w:rsidP="00284F3B">
      <w:pPr>
        <w:pStyle w:val="FootnoteText"/>
      </w:pPr>
      <w:r w:rsidRPr="001C2D48">
        <w:rPr>
          <w:rStyle w:val="FootnoteReference"/>
          <w:sz w:val="20"/>
        </w:rPr>
        <w:footnoteRef/>
      </w:r>
      <w:r w:rsidRPr="001C2D48">
        <w:t xml:space="preserve"> 15 U.S.C. § 632(a)(2)(C)</w:t>
      </w:r>
      <w:r w:rsidR="004E727F">
        <w:t>; 13 CFR § 121.903(a</w:t>
      </w:r>
      <w:r w:rsidRPr="001C2D48">
        <w:t xml:space="preserve">).  </w:t>
      </w:r>
    </w:p>
  </w:footnote>
  <w:footnote w:id="12">
    <w:p w:rsidR="004E727F" w:rsidRPr="007D2592">
      <w:pPr>
        <w:pStyle w:val="FootnoteText"/>
      </w:pPr>
      <w:r>
        <w:rPr>
          <w:rStyle w:val="FootnoteReference"/>
        </w:rPr>
        <w:footnoteRef/>
      </w:r>
      <w:r>
        <w:t xml:space="preserve"> </w:t>
      </w:r>
      <w:r>
        <w:rPr>
          <w:i/>
        </w:rPr>
        <w:t>2.5. GHz Report and Order</w:t>
      </w:r>
      <w:r>
        <w:t>,</w:t>
      </w:r>
      <w:r>
        <w:rPr>
          <w:i/>
        </w:rPr>
        <w:t xml:space="preserve"> </w:t>
      </w:r>
      <w:r w:rsidRPr="0066332E">
        <w:t xml:space="preserve">34 FCC </w:t>
      </w:r>
      <w:r w:rsidRPr="0066332E">
        <w:t>Rcd</w:t>
      </w:r>
      <w:r w:rsidRPr="0066332E">
        <w:t xml:space="preserve"> at 5478-79, para 89 n.260</w:t>
      </w:r>
      <w:r>
        <w:t xml:space="preserve">.  The Commission explained that under these two size standards, a “small business” would be defined as a business with average gross </w:t>
      </w:r>
      <w:r w:rsidR="00883A4D">
        <w:t>revenues</w:t>
      </w:r>
      <w:r>
        <w:t xml:space="preserve"> for the preceding five years that do not exceed $55 million, and a “very small business” would be defined as a business with average gross </w:t>
      </w:r>
      <w:r w:rsidR="00883A4D">
        <w:t>revenues</w:t>
      </w:r>
      <w:r>
        <w:t xml:space="preserve"> for the preceding five years that does not exceed $20 million.  </w:t>
      </w:r>
      <w:r>
        <w:rPr>
          <w:i/>
        </w:rPr>
        <w:t>Id</w:t>
      </w:r>
      <w:r w:rsidR="007D2592">
        <w:t>.</w:t>
      </w:r>
    </w:p>
  </w:footnote>
  <w:footnote w:id="13">
    <w:p w:rsidR="00B72840" w:rsidP="00B72840">
      <w:pPr>
        <w:pStyle w:val="FootnoteText"/>
      </w:pPr>
      <w:r>
        <w:rPr>
          <w:rStyle w:val="FootnoteReference"/>
        </w:rPr>
        <w:footnoteRef/>
      </w:r>
      <w:r>
        <w:t xml:space="preserve"> With overlay licenses, the licensees obtain the rights to geographic area licenses “overlaid” on top of the existing incumbent licenses.  As with an ordinary flexible use license, the overlay licensee may operate anywhere within its geographic area, subject to protecting the licensed areas of incumbent licensees.  </w:t>
      </w:r>
      <w:r w:rsidRPr="001C2D48">
        <w:rPr>
          <w:i/>
        </w:rPr>
        <w:t xml:space="preserve">2.5. GHz Order, </w:t>
      </w:r>
      <w:r w:rsidRPr="001C2D48">
        <w:t xml:space="preserve">34 FCC </w:t>
      </w:r>
      <w:r w:rsidRPr="001C2D48">
        <w:t>Rcd</w:t>
      </w:r>
      <w:r w:rsidRPr="001C2D48">
        <w:t xml:space="preserve"> at 547</w:t>
      </w:r>
      <w:r>
        <w:t>3, para. 77.</w:t>
      </w:r>
    </w:p>
  </w:footnote>
  <w:footnote w:id="14">
    <w:p w:rsidR="00284F3B" w:rsidRPr="001C2D48" w:rsidP="00284F3B">
      <w:pPr>
        <w:pStyle w:val="FootnoteText"/>
      </w:pPr>
      <w:r w:rsidRPr="001C2D48">
        <w:rPr>
          <w:rStyle w:val="FootnoteReference"/>
          <w:sz w:val="20"/>
        </w:rPr>
        <w:footnoteRef/>
      </w:r>
      <w:r w:rsidRPr="001C2D48">
        <w:t xml:space="preserve"> 15 U.S.C. § 632(a)(2)(C)</w:t>
      </w:r>
      <w:r w:rsidR="00875600">
        <w:t>;</w:t>
      </w:r>
      <w:r w:rsidR="004E727F">
        <w:t xml:space="preserve"> 13 CFR § 121.903(a</w:t>
      </w:r>
      <w:r w:rsidRPr="001C2D48" w:rsidR="004E727F">
        <w:t>).</w:t>
      </w:r>
      <w:r w:rsidR="00C04C37">
        <w:t xml:space="preserve">  </w:t>
      </w:r>
      <w:r w:rsidRPr="001C2D48">
        <w:rPr>
          <w:i/>
        </w:rPr>
        <w:t>See</w:t>
      </w:r>
      <w:r w:rsidRPr="001C2D48">
        <w:t xml:space="preserve"> </w:t>
      </w:r>
      <w:r w:rsidRPr="001C2D48">
        <w:rPr>
          <w:i/>
        </w:rPr>
        <w:t>2.5 GHz Report and Order</w:t>
      </w:r>
      <w:r w:rsidRPr="001C2D48">
        <w:t xml:space="preserve"> at 5478-79, para 89 n.260. </w:t>
      </w:r>
    </w:p>
  </w:footnote>
  <w:footnote w:id="15">
    <w:p w:rsidR="00284F3B" w:rsidRPr="001C2D48" w:rsidP="00284F3B">
      <w:pPr>
        <w:pStyle w:val="FootnoteText"/>
      </w:pPr>
      <w:r w:rsidRPr="001C2D48">
        <w:rPr>
          <w:rStyle w:val="FootnoteReference"/>
          <w:sz w:val="20"/>
        </w:rPr>
        <w:footnoteRef/>
      </w:r>
      <w:r w:rsidRPr="001C2D48">
        <w:t xml:space="preserve"> </w:t>
      </w:r>
      <w:r w:rsidR="0099598D">
        <w:rPr>
          <w:i/>
        </w:rPr>
        <w:t xml:space="preserve">2.5 GHz Report and Order, </w:t>
      </w:r>
      <w:r w:rsidR="0099598D">
        <w:t xml:space="preserve">34 FCC </w:t>
      </w:r>
      <w:r w:rsidR="0099598D">
        <w:t>Rcd</w:t>
      </w:r>
      <w:r w:rsidR="0099598D">
        <w:t xml:space="preserve"> at 5478, 5502, para. 88, </w:t>
      </w:r>
      <w:r w:rsidR="0099598D">
        <w:t>App’x</w:t>
      </w:r>
      <w:r w:rsidR="0099598D">
        <w:t xml:space="preserve"> A (47 CFR § 27.1219(a)).  </w:t>
      </w:r>
      <w:r w:rsidRPr="001C2D48">
        <w:rPr>
          <w:i/>
          <w:spacing w:val="-2"/>
        </w:rPr>
        <w:t>S</w:t>
      </w:r>
      <w:r w:rsidRPr="001C2D48">
        <w:rPr>
          <w:i/>
        </w:rPr>
        <w:t xml:space="preserve">ee </w:t>
      </w:r>
      <w:r w:rsidRPr="001C2D48">
        <w:t>47 CFR § 1.2110(f)(2) (standardized schedule of small business sizes and bidding credits for use for assignment of licenses by competitive bidding).  Although the standardized schedule of bidding credits provided in section 1.2110(f)(2)(</w:t>
      </w:r>
      <w:r w:rsidRPr="001C2D48">
        <w:t>i</w:t>
      </w:r>
      <w:r w:rsidRPr="001C2D48">
        <w:t>) of our Part 1 competitive bidding rules defines small businesses based on average gross revenues for the preceding three years, in December 2018, Congress revised the standard set out in the Small Business Act for categorizing a business concern as a “small business concern,” by changing the annual average gross receipts benchmark from a three-year period to a five-year period.  15 U.S.C. § 632(a)(2)(C)(ii)(II), as amended by Small Business Runway Extension Act of 2018, Pub. L. No. 115-324 (Dec. 17, 2018).</w:t>
      </w:r>
    </w:p>
  </w:footnote>
  <w:footnote w:id="16">
    <w:p w:rsidR="00284F3B" w:rsidRPr="001C2D48" w:rsidP="00284F3B">
      <w:pPr>
        <w:pStyle w:val="FootnoteText"/>
      </w:pPr>
      <w:r w:rsidRPr="001C2D48">
        <w:rPr>
          <w:rStyle w:val="FootnoteReference"/>
          <w:sz w:val="20"/>
        </w:rPr>
        <w:footnoteRef/>
      </w:r>
      <w:r w:rsidRPr="001C2D48">
        <w:t xml:space="preserve"> </w:t>
      </w:r>
      <w:r w:rsidRPr="001C2D48">
        <w:rPr>
          <w:i/>
          <w:spacing w:val="-2"/>
        </w:rPr>
        <w:t>S</w:t>
      </w:r>
      <w:r w:rsidRPr="001C2D48">
        <w:rPr>
          <w:i/>
        </w:rPr>
        <w:t xml:space="preserve">ee </w:t>
      </w:r>
      <w:r w:rsidRPr="001C2D48">
        <w:t>47 CFR § 1.2110(f)(2)</w:t>
      </w:r>
      <w:r w:rsidR="0099598D">
        <w:t>(</w:t>
      </w:r>
      <w:r w:rsidR="0099598D">
        <w:t>i</w:t>
      </w:r>
      <w:r w:rsidR="0099598D">
        <w:t>)(</w:t>
      </w:r>
      <w:r w:rsidR="0099598D">
        <w:t>B)-(</w:t>
      </w:r>
      <w:r w:rsidR="0099598D">
        <w:t>C)</w:t>
      </w:r>
      <w:r w:rsidRPr="001C2D48">
        <w:t>; 47 CFR § 27.1219</w:t>
      </w:r>
      <w:r w:rsidR="0099598D">
        <w:t>(b)</w:t>
      </w:r>
      <w:r w:rsidRPr="001C2D48">
        <w:t xml:space="preserve"> (small business bidding credit eligibility for winning bidders of EBS licenses).  The designated entity provisions for winning bidders of EBS licenses become effective </w:t>
      </w:r>
      <w:r w:rsidR="00D00B31">
        <w:t>on April 27, 2020.  Transforming the 2.5 GHz Band, 84 Fed. Reg. 57343</w:t>
      </w:r>
      <w:r w:rsidR="0099598D">
        <w:t>, 57343</w:t>
      </w:r>
      <w:r w:rsidR="00D00B31">
        <w:t xml:space="preserve"> (Oct. 25, 2019).</w:t>
      </w:r>
    </w:p>
  </w:footnote>
  <w:footnote w:id="17">
    <w:p w:rsidR="00284F3B" w:rsidRPr="001C2D48" w:rsidP="00284F3B">
      <w:pPr>
        <w:pStyle w:val="FootnoteText"/>
      </w:pPr>
      <w:r w:rsidRPr="001C2D48">
        <w:rPr>
          <w:rStyle w:val="FootnoteReference"/>
          <w:sz w:val="20"/>
        </w:rPr>
        <w:footnoteRef/>
      </w:r>
      <w:r w:rsidRPr="001C2D48">
        <w:t xml:space="preserve"> </w:t>
      </w:r>
      <w:r w:rsidRPr="001C2D48">
        <w:rPr>
          <w:i/>
        </w:rPr>
        <w:t>See</w:t>
      </w:r>
      <w:r w:rsidRPr="001C2D48">
        <w:t xml:space="preserve"> 15 U.S.C. § 632(a)(2)(C); 13 CFR § 121.903.</w:t>
      </w:r>
    </w:p>
  </w:footnote>
  <w:footnote w:id="18">
    <w:p w:rsidR="00284F3B" w:rsidRPr="001C2D48" w:rsidP="00284F3B">
      <w:pPr>
        <w:pStyle w:val="FootnoteText"/>
      </w:pPr>
      <w:r w:rsidRPr="001C2D48">
        <w:rPr>
          <w:rStyle w:val="FootnoteReference"/>
          <w:sz w:val="20"/>
        </w:rPr>
        <w:footnoteRef/>
      </w:r>
      <w:r w:rsidRPr="001C2D48">
        <w:t xml:space="preserve"> 47 CFR § 1.2.</w:t>
      </w:r>
    </w:p>
  </w:footnote>
  <w:footnote w:id="19">
    <w:p w:rsidR="00284F3B" w:rsidRPr="001C2D48" w:rsidP="00284F3B">
      <w:pPr>
        <w:pStyle w:val="FootnoteText"/>
      </w:pPr>
      <w:r w:rsidRPr="001C2D48">
        <w:rPr>
          <w:rStyle w:val="FootnoteReference"/>
          <w:sz w:val="20"/>
        </w:rPr>
        <w:footnoteRef/>
      </w:r>
      <w:r w:rsidRPr="001C2D48">
        <w:t xml:space="preserve"> </w:t>
      </w:r>
      <w:r w:rsidRPr="001C2D48">
        <w:rPr>
          <w:i/>
        </w:rPr>
        <w:t>See Electronic Filing of Documents in Rulemaking Proceedings</w:t>
      </w:r>
      <w:r w:rsidRPr="001C2D48">
        <w:t>, 63 FR 24121 (1998).</w:t>
      </w:r>
    </w:p>
  </w:footnote>
  <w:footnote w:id="20">
    <w:p w:rsidR="00284F3B" w:rsidRPr="001C2D48" w:rsidP="00284F3B">
      <w:pPr>
        <w:pStyle w:val="FootnoteText"/>
        <w:rPr>
          <w:i/>
          <w:iCs/>
        </w:rPr>
      </w:pPr>
      <w:r w:rsidRPr="001C2D48">
        <w:rPr>
          <w:rStyle w:val="FootnoteReference"/>
          <w:sz w:val="20"/>
        </w:rPr>
        <w:footnoteRef/>
      </w:r>
      <w:r w:rsidRPr="001C2D48">
        <w:t xml:space="preserve"> 47 CFR §§ 1.1200 </w:t>
      </w:r>
      <w:r w:rsidRPr="001C2D48">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D315D7" w:rsidP="00837C62">
    <w:pPr>
      <w:pStyle w:val="Header"/>
      <w:rPr>
        <w:rFonts w:ascii="Times New Roman" w:hAnsi="Times New Roman" w:cs="Times New Roman"/>
        <w:sz w:val="22"/>
        <w:szCs w:val="22"/>
      </w:rPr>
    </w:pPr>
    <w:r>
      <w:tab/>
    </w:r>
    <w:r w:rsidRPr="00D315D7">
      <w:rPr>
        <w:rFonts w:ascii="Times New Roman" w:hAnsi="Times New Roman" w:cs="Times New Roman"/>
        <w:sz w:val="22"/>
        <w:szCs w:val="22"/>
      </w:rPr>
      <w:t>Federal Communications Commission</w:t>
    </w:r>
    <w:r w:rsidRPr="00D315D7">
      <w:rPr>
        <w:rFonts w:ascii="Times New Roman" w:hAnsi="Times New Roman" w:cs="Times New Roman"/>
        <w:sz w:val="22"/>
        <w:szCs w:val="22"/>
      </w:rPr>
      <w:tab/>
    </w:r>
    <w:r w:rsidR="00D315D7">
      <w:rPr>
        <w:rFonts w:ascii="Times New Roman" w:hAnsi="Times New Roman" w:cs="Times New Roman"/>
        <w:sz w:val="22"/>
        <w:szCs w:val="22"/>
      </w:rPr>
      <w:t>DA 19-</w:t>
    </w:r>
    <w:r w:rsidR="00BD2FA0">
      <w:rPr>
        <w:rFonts w:ascii="Times New Roman" w:hAnsi="Times New Roman" w:cs="Times New Roman"/>
        <w:sz w:val="22"/>
        <w:szCs w:val="22"/>
      </w:rPr>
      <w:t>1184</w:t>
    </w:r>
  </w:p>
  <w:p w:rsidR="006F7393">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pPr>
                  <w:rPr>
                    <w:rFonts w:ascii="Arial" w:hAnsi="Arial"/>
                    <w:b/>
                  </w:rPr>
                </w:pPr>
                <w:r>
                  <w:rPr>
                    <w:rFonts w:ascii="Arial" w:hAnsi="Arial"/>
                    <w:b/>
                  </w:rPr>
                  <w:t>Federal Communications Commission</w:t>
                </w:r>
              </w:p>
              <w:p w:rsidR="00C82B6B"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284F3B">
                  <w:rPr>
                    <w:rFonts w:ascii="Arial" w:hAnsi="Arial"/>
                    <w:b/>
                  </w:rPr>
                  <w:t>reet</w:t>
                </w:r>
                <w:r>
                  <w:rPr>
                    <w:rFonts w:ascii="Arial" w:hAnsi="Arial"/>
                    <w:b/>
                  </w:rPr>
                  <w:t>, SW</w:t>
                </w:r>
              </w:p>
              <w:p w:rsidR="00C82B6B" w:rsidP="00C82B6B">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pPr>
                  <w:spacing w:before="40"/>
                  <w:jc w:val="right"/>
                  <w:rPr>
                    <w:rFonts w:ascii="Arial" w:hAnsi="Arial"/>
                    <w:b/>
                    <w:sz w:val="16"/>
                  </w:rPr>
                </w:pPr>
                <w:r>
                  <w:rPr>
                    <w:rFonts w:ascii="Arial" w:hAnsi="Arial"/>
                    <w:b/>
                    <w:sz w:val="16"/>
                  </w:rPr>
                  <w:t>News Media Information</w:t>
                </w:r>
                <w:r w:rsidR="00284F3B">
                  <w:rPr>
                    <w:rFonts w:ascii="Arial" w:hAnsi="Arial"/>
                    <w:b/>
                    <w:sz w:val="16"/>
                  </w:rPr>
                  <w:t>:</w:t>
                </w:r>
                <w:r>
                  <w:rPr>
                    <w:rFonts w:ascii="Arial" w:hAnsi="Arial"/>
                    <w:b/>
                    <w:sz w:val="16"/>
                  </w:rPr>
                  <w:t xml:space="preserve"> 202</w:t>
                </w:r>
                <w:r w:rsidR="00284F3B">
                  <w:rPr>
                    <w:rFonts w:ascii="Arial" w:hAnsi="Arial"/>
                    <w:b/>
                    <w:sz w:val="16"/>
                  </w:rPr>
                  <w:t>-</w:t>
                </w:r>
                <w:r>
                  <w:rPr>
                    <w:rFonts w:ascii="Arial" w:hAnsi="Arial"/>
                    <w:b/>
                    <w:sz w:val="16"/>
                  </w:rPr>
                  <w:t>418-0500</w:t>
                </w:r>
              </w:p>
              <w:p w:rsidR="00C82B6B" w:rsidP="00C82B6B">
                <w:pPr>
                  <w:jc w:val="right"/>
                  <w:rPr>
                    <w:rFonts w:ascii="Arial" w:hAnsi="Arial"/>
                    <w:b/>
                    <w:sz w:val="16"/>
                  </w:rPr>
                </w:pPr>
                <w:r>
                  <w:rPr>
                    <w:rFonts w:ascii="Arial" w:hAnsi="Arial"/>
                    <w:b/>
                    <w:sz w:val="16"/>
                  </w:rPr>
                  <w:t xml:space="preserve">Internet: </w:t>
                </w:r>
                <w:hyperlink r:id="rId2" w:history="1">
                  <w:r w:rsidRPr="00026BD3" w:rsidR="00284F3B">
                    <w:rPr>
                      <w:rStyle w:val="Hyperlink"/>
                      <w:rFonts w:ascii="Arial" w:hAnsi="Arial"/>
                      <w:b/>
                      <w:sz w:val="16"/>
                    </w:rPr>
                    <w:t>www.fcc.gov</w:t>
                  </w:r>
                </w:hyperlink>
                <w:r w:rsidR="00284F3B">
                  <w:rPr>
                    <w:rFonts w:ascii="Arial" w:hAnsi="Arial"/>
                    <w:b/>
                    <w:sz w:val="16"/>
                  </w:rPr>
                  <w:t xml:space="preserve"> </w:t>
                </w:r>
              </w:p>
              <w:p w:rsidR="00C82B6B" w:rsidP="00C82B6B">
                <w:pPr>
                  <w:jc w:val="right"/>
                  <w:rPr>
                    <w:rFonts w:ascii="Arial" w:hAnsi="Arial"/>
                    <w:b/>
                    <w:sz w:val="16"/>
                  </w:rPr>
                </w:pPr>
                <w:r>
                  <w:rPr>
                    <w:rFonts w:ascii="Arial" w:hAnsi="Arial"/>
                    <w:b/>
                    <w:sz w:val="16"/>
                  </w:rPr>
                  <w:t>TTY: 888-835-5322</w:t>
                </w:r>
              </w:p>
              <w:p w:rsidR="00C82B6B" w:rsidP="00C82B6B">
                <w:pPr>
                  <w:jc w:val="right"/>
                </w:pPr>
              </w:p>
            </w:txbxContent>
          </v:textbox>
        </v:shape>
      </w:pict>
    </w:r>
  </w:p>
  <w:p w:rsidR="006F7393" w:rsidRPr="00C82B6B" w:rsidP="00837C62">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26BD3"/>
    <w:rsid w:val="00036039"/>
    <w:rsid w:val="00037F90"/>
    <w:rsid w:val="000875BF"/>
    <w:rsid w:val="00093F42"/>
    <w:rsid w:val="00096D8C"/>
    <w:rsid w:val="000B47FD"/>
    <w:rsid w:val="000C0B65"/>
    <w:rsid w:val="000E3D42"/>
    <w:rsid w:val="000E5884"/>
    <w:rsid w:val="000F3202"/>
    <w:rsid w:val="000F79E4"/>
    <w:rsid w:val="001131C5"/>
    <w:rsid w:val="00122BD5"/>
    <w:rsid w:val="00163304"/>
    <w:rsid w:val="00166DDE"/>
    <w:rsid w:val="001834DC"/>
    <w:rsid w:val="001A636E"/>
    <w:rsid w:val="001C2D48"/>
    <w:rsid w:val="001D6BCF"/>
    <w:rsid w:val="001E01CA"/>
    <w:rsid w:val="001E1005"/>
    <w:rsid w:val="00226822"/>
    <w:rsid w:val="002532FF"/>
    <w:rsid w:val="00284F3B"/>
    <w:rsid w:val="00285017"/>
    <w:rsid w:val="002A2D2E"/>
    <w:rsid w:val="00343749"/>
    <w:rsid w:val="003B0550"/>
    <w:rsid w:val="003B694F"/>
    <w:rsid w:val="003E136D"/>
    <w:rsid w:val="003F171C"/>
    <w:rsid w:val="0041223B"/>
    <w:rsid w:val="00412FC5"/>
    <w:rsid w:val="00422276"/>
    <w:rsid w:val="004242F1"/>
    <w:rsid w:val="00445A00"/>
    <w:rsid w:val="00451B0F"/>
    <w:rsid w:val="00496106"/>
    <w:rsid w:val="004C12D0"/>
    <w:rsid w:val="004C2EE3"/>
    <w:rsid w:val="004D3847"/>
    <w:rsid w:val="004D6FC4"/>
    <w:rsid w:val="004E4A22"/>
    <w:rsid w:val="004E727F"/>
    <w:rsid w:val="00511968"/>
    <w:rsid w:val="00531AAA"/>
    <w:rsid w:val="0055614C"/>
    <w:rsid w:val="00607BA5"/>
    <w:rsid w:val="00611007"/>
    <w:rsid w:val="00617150"/>
    <w:rsid w:val="00626EB6"/>
    <w:rsid w:val="00634F57"/>
    <w:rsid w:val="0064177D"/>
    <w:rsid w:val="00655D03"/>
    <w:rsid w:val="0066332E"/>
    <w:rsid w:val="00683F84"/>
    <w:rsid w:val="00696C54"/>
    <w:rsid w:val="006A6A81"/>
    <w:rsid w:val="006B2E39"/>
    <w:rsid w:val="006E26AF"/>
    <w:rsid w:val="006F7393"/>
    <w:rsid w:val="0070224F"/>
    <w:rsid w:val="007115F7"/>
    <w:rsid w:val="00785689"/>
    <w:rsid w:val="0079754B"/>
    <w:rsid w:val="007A1E6D"/>
    <w:rsid w:val="007D2592"/>
    <w:rsid w:val="00821D35"/>
    <w:rsid w:val="00822CE0"/>
    <w:rsid w:val="00837C62"/>
    <w:rsid w:val="00841AB1"/>
    <w:rsid w:val="00853A1E"/>
    <w:rsid w:val="00854B58"/>
    <w:rsid w:val="00875600"/>
    <w:rsid w:val="00883A4D"/>
    <w:rsid w:val="008A0D62"/>
    <w:rsid w:val="008B282D"/>
    <w:rsid w:val="008B32AE"/>
    <w:rsid w:val="00926503"/>
    <w:rsid w:val="00972143"/>
    <w:rsid w:val="0099598D"/>
    <w:rsid w:val="00995A36"/>
    <w:rsid w:val="009C030A"/>
    <w:rsid w:val="00A34F0E"/>
    <w:rsid w:val="00A35F08"/>
    <w:rsid w:val="00A45F4F"/>
    <w:rsid w:val="00A600A9"/>
    <w:rsid w:val="00AA18CE"/>
    <w:rsid w:val="00AA55B7"/>
    <w:rsid w:val="00AA5B9E"/>
    <w:rsid w:val="00AB2407"/>
    <w:rsid w:val="00AB53DF"/>
    <w:rsid w:val="00B07E5C"/>
    <w:rsid w:val="00B72840"/>
    <w:rsid w:val="00B811F7"/>
    <w:rsid w:val="00BA5DC6"/>
    <w:rsid w:val="00BA6196"/>
    <w:rsid w:val="00BC6D8C"/>
    <w:rsid w:val="00BD2FA0"/>
    <w:rsid w:val="00C03BA6"/>
    <w:rsid w:val="00C04C37"/>
    <w:rsid w:val="00C34006"/>
    <w:rsid w:val="00C426B1"/>
    <w:rsid w:val="00C57118"/>
    <w:rsid w:val="00C82B6B"/>
    <w:rsid w:val="00C90D6A"/>
    <w:rsid w:val="00CB643C"/>
    <w:rsid w:val="00CB7FEA"/>
    <w:rsid w:val="00CC72B6"/>
    <w:rsid w:val="00D00B31"/>
    <w:rsid w:val="00D0218D"/>
    <w:rsid w:val="00D315D7"/>
    <w:rsid w:val="00D560A3"/>
    <w:rsid w:val="00DA2529"/>
    <w:rsid w:val="00DA470B"/>
    <w:rsid w:val="00DB1058"/>
    <w:rsid w:val="00DB130A"/>
    <w:rsid w:val="00DC10A1"/>
    <w:rsid w:val="00DC655F"/>
    <w:rsid w:val="00DD7EBD"/>
    <w:rsid w:val="00DF62B6"/>
    <w:rsid w:val="00E07225"/>
    <w:rsid w:val="00E20C55"/>
    <w:rsid w:val="00E5409F"/>
    <w:rsid w:val="00EB3CA8"/>
    <w:rsid w:val="00ED01CF"/>
    <w:rsid w:val="00F021FA"/>
    <w:rsid w:val="00F13D8F"/>
    <w:rsid w:val="00F57ACA"/>
    <w:rsid w:val="00F62E97"/>
    <w:rsid w:val="00F64209"/>
    <w:rsid w:val="00F93BF5"/>
    <w:rsid w:val="00FA4D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B1E22FD-B9EC-496A-A677-AF4D7C8F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fn,fn Char1"/>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uiPriority w:val="99"/>
    <w:rsid w:val="00284F3B"/>
  </w:style>
  <w:style w:type="character" w:customStyle="1" w:styleId="UnresolvedMention">
    <w:name w:val="Unresolved Mention"/>
    <w:basedOn w:val="DefaultParagraphFont"/>
    <w:uiPriority w:val="99"/>
    <w:semiHidden/>
    <w:unhideWhenUsed/>
    <w:rsid w:val="00284F3B"/>
    <w:rPr>
      <w:color w:val="605E5C"/>
      <w:shd w:val="clear" w:color="auto" w:fill="E1DFDD"/>
    </w:rPr>
  </w:style>
  <w:style w:type="character" w:customStyle="1" w:styleId="FooterChar">
    <w:name w:val="Footer Char"/>
    <w:link w:val="Footer"/>
    <w:uiPriority w:val="99"/>
    <w:rsid w:val="00D315D7"/>
    <w:rPr>
      <w:snapToGrid w:val="0"/>
      <w:kern w:val="28"/>
      <w:sz w:val="22"/>
    </w:rPr>
  </w:style>
  <w:style w:type="paragraph" w:styleId="BalloonText">
    <w:name w:val="Balloon Text"/>
    <w:basedOn w:val="Normal"/>
    <w:link w:val="BalloonTextChar"/>
    <w:uiPriority w:val="99"/>
    <w:semiHidden/>
    <w:unhideWhenUsed/>
    <w:rsid w:val="00D56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0A3"/>
    <w:rPr>
      <w:rFonts w:ascii="Segoe UI" w:hAnsi="Segoe UI" w:cs="Segoe UI"/>
      <w:snapToGrid w:val="0"/>
      <w:kern w:val="28"/>
      <w:sz w:val="18"/>
      <w:szCs w:val="18"/>
    </w:rPr>
  </w:style>
  <w:style w:type="character" w:customStyle="1" w:styleId="FootnoteTextChar4Char1Char">
    <w:name w:val="Footnote Text Char4 Char1 Char"/>
    <w:aliases w:val="Footnote Text Char Char4 Char1 Char,Footnote Text Char Char4 Char1 Char Char Char Char,Footnote Text Char4 Char1 Char Char1 Char Char,Footnote Text Char5 Char1 Char Char Char"/>
    <w:uiPriority w:val="99"/>
    <w:rsid w:val="00B72840"/>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microsoft.com/office/2006/relationships/keyMapCustomizations" Target="customizations.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mary.lovejoy@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