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pPr>
        <w:jc w:val="right"/>
        <w:rPr>
          <w:sz w:val="24"/>
        </w:rPr>
      </w:pPr>
      <w:bookmarkStart w:id="0" w:name="_GoBack"/>
      <w:bookmarkEnd w:id="0"/>
    </w:p>
    <w:p w:rsidR="00013A8B" w:rsidRPr="00B20363" w:rsidP="00013A8B">
      <w:pPr>
        <w:jc w:val="right"/>
        <w:rPr>
          <w:b/>
          <w:sz w:val="24"/>
        </w:rPr>
      </w:pPr>
      <w:r>
        <w:rPr>
          <w:b/>
          <w:sz w:val="24"/>
        </w:rPr>
        <w:t>DA 19-</w:t>
      </w:r>
      <w:r w:rsidR="00276E7F">
        <w:rPr>
          <w:b/>
          <w:sz w:val="24"/>
        </w:rPr>
        <w:t>1186</w:t>
      </w:r>
    </w:p>
    <w:p w:rsidR="00013A8B" w:rsidRPr="00B20363" w:rsidP="00013A8B">
      <w:pPr>
        <w:spacing w:before="60"/>
        <w:jc w:val="right"/>
        <w:rPr>
          <w:b/>
          <w:sz w:val="24"/>
        </w:rPr>
      </w:pPr>
      <w:r>
        <w:rPr>
          <w:b/>
          <w:sz w:val="24"/>
        </w:rPr>
        <w:t xml:space="preserve">Released:  </w:t>
      </w:r>
      <w:r w:rsidR="005D2E8B">
        <w:rPr>
          <w:b/>
          <w:sz w:val="24"/>
        </w:rPr>
        <w:t xml:space="preserve">November </w:t>
      </w:r>
      <w:r w:rsidR="006A2564">
        <w:rPr>
          <w:b/>
          <w:sz w:val="24"/>
        </w:rPr>
        <w:t>15</w:t>
      </w:r>
      <w:r w:rsidR="005D2E8B">
        <w:rPr>
          <w:b/>
          <w:sz w:val="24"/>
        </w:rPr>
        <w:t>, 2019</w:t>
      </w:r>
    </w:p>
    <w:p w:rsidR="00013A8B" w:rsidP="00013A8B">
      <w:pPr>
        <w:jc w:val="right"/>
        <w:rPr>
          <w:sz w:val="24"/>
        </w:rPr>
      </w:pPr>
    </w:p>
    <w:p w:rsidR="00013A8B" w:rsidRPr="00B20363" w:rsidP="00013A8B">
      <w:pPr>
        <w:spacing w:after="240"/>
        <w:jc w:val="center"/>
        <w:rPr>
          <w:rFonts w:ascii="Times New Roman Bold" w:hAnsi="Times New Roman Bold"/>
          <w:b/>
          <w:caps/>
          <w:sz w:val="24"/>
        </w:rPr>
      </w:pPr>
      <w:bookmarkStart w:id="1" w:name="_Hlk24723673"/>
      <w:r>
        <w:rPr>
          <w:rFonts w:ascii="Times New Roman Bold" w:hAnsi="Times New Roman Bold"/>
          <w:b/>
          <w:caps/>
          <w:sz w:val="24"/>
        </w:rPr>
        <w:t xml:space="preserve">Media </w:t>
      </w:r>
      <w:r w:rsidRPr="006A1B80">
        <w:rPr>
          <w:rFonts w:ascii="Times New Roman Bold" w:hAnsi="Times New Roman Bold"/>
          <w:b/>
          <w:caps/>
          <w:sz w:val="24"/>
        </w:rPr>
        <w:t xml:space="preserve">Bureau Announces that </w:t>
      </w:r>
      <w:r w:rsidRPr="006A1B80" w:rsidR="00AE3B69">
        <w:rPr>
          <w:rFonts w:ascii="Times New Roman Bold" w:hAnsi="Times New Roman Bold"/>
          <w:b/>
          <w:caps/>
          <w:sz w:val="24"/>
        </w:rPr>
        <w:t>After</w:t>
      </w:r>
      <w:r w:rsidRPr="006A1B80" w:rsidR="00952CA7">
        <w:rPr>
          <w:rFonts w:ascii="Times New Roman Bold" w:hAnsi="Times New Roman Bold"/>
          <w:b/>
          <w:caps/>
          <w:sz w:val="24"/>
        </w:rPr>
        <w:t xml:space="preserve"> december 1</w:t>
      </w:r>
      <w:r w:rsidRPr="006A1B80" w:rsidR="00A71CC1">
        <w:rPr>
          <w:rFonts w:ascii="Times New Roman Bold" w:hAnsi="Times New Roman Bold"/>
          <w:b/>
          <w:caps/>
          <w:sz w:val="24"/>
        </w:rPr>
        <w:t>7</w:t>
      </w:r>
      <w:r w:rsidRPr="006A1B80" w:rsidR="00952CA7">
        <w:rPr>
          <w:rFonts w:ascii="Times New Roman Bold" w:hAnsi="Times New Roman Bold"/>
          <w:b/>
          <w:caps/>
          <w:sz w:val="24"/>
        </w:rPr>
        <w:t>, 2019, television broadcasters will no longer be able to amend existing or file new quarterly children’s television progrmaming reports</w:t>
      </w:r>
    </w:p>
    <w:bookmarkEnd w:id="1"/>
    <w:p w:rsidR="00013A8B" w:rsidP="00013A8B">
      <w:pPr>
        <w:jc w:val="center"/>
        <w:rPr>
          <w:b/>
          <w:sz w:val="24"/>
        </w:rPr>
      </w:pPr>
      <w:r>
        <w:rPr>
          <w:b/>
          <w:sz w:val="24"/>
        </w:rPr>
        <w:t>MB Docket Nos. 17-105 and 18-202</w:t>
      </w:r>
    </w:p>
    <w:p w:rsidR="00F96F63" w:rsidRPr="00930ECF" w:rsidP="00F96F63">
      <w:pPr>
        <w:rPr>
          <w:sz w:val="24"/>
        </w:rPr>
      </w:pPr>
      <w:bookmarkStart w:id="2" w:name="TOChere"/>
    </w:p>
    <w:bookmarkEnd w:id="2"/>
    <w:p w:rsidR="00BD3185" w:rsidP="00EA28D8">
      <w:pPr>
        <w:widowControl/>
        <w:autoSpaceDE w:val="0"/>
        <w:autoSpaceDN w:val="0"/>
        <w:adjustRightInd w:val="0"/>
        <w:spacing w:after="220"/>
        <w:ind w:firstLine="720"/>
        <w:rPr>
          <w:szCs w:val="22"/>
        </w:rPr>
      </w:pPr>
      <w:r>
        <w:rPr>
          <w:szCs w:val="22"/>
        </w:rPr>
        <w:t xml:space="preserve">On July 12, 2019, the Commission released a </w:t>
      </w:r>
      <w:r>
        <w:rPr>
          <w:i/>
          <w:szCs w:val="22"/>
        </w:rPr>
        <w:t>Report and Order</w:t>
      </w:r>
      <w:r>
        <w:rPr>
          <w:szCs w:val="22"/>
        </w:rPr>
        <w:t xml:space="preserve"> modernizing the children’s television programming rules to give broadcasters greater flexibility in serving the educational and informational needs of children.</w:t>
      </w:r>
      <w:r>
        <w:rPr>
          <w:rStyle w:val="FootnoteReference"/>
          <w:szCs w:val="22"/>
        </w:rPr>
        <w:footnoteReference w:id="3"/>
      </w:r>
      <w:r>
        <w:rPr>
          <w:szCs w:val="22"/>
        </w:rPr>
        <w:t xml:space="preserve"> </w:t>
      </w:r>
      <w:r w:rsidR="006B48BA">
        <w:rPr>
          <w:szCs w:val="22"/>
        </w:rPr>
        <w:t xml:space="preserve"> </w:t>
      </w:r>
      <w:r>
        <w:rPr>
          <w:szCs w:val="22"/>
        </w:rPr>
        <w:t xml:space="preserve">Among the changes adopted, broadcasters </w:t>
      </w:r>
      <w:r w:rsidR="00952CA7">
        <w:rPr>
          <w:szCs w:val="22"/>
        </w:rPr>
        <w:t>will</w:t>
      </w:r>
      <w:r>
        <w:rPr>
          <w:szCs w:val="22"/>
        </w:rPr>
        <w:t xml:space="preserve"> </w:t>
      </w:r>
      <w:r w:rsidR="00952CA7">
        <w:rPr>
          <w:szCs w:val="22"/>
        </w:rPr>
        <w:t xml:space="preserve">only </w:t>
      </w:r>
      <w:r>
        <w:rPr>
          <w:szCs w:val="22"/>
        </w:rPr>
        <w:t xml:space="preserve">be required to file their </w:t>
      </w:r>
      <w:r w:rsidRPr="005D2E8B">
        <w:rPr>
          <w:szCs w:val="22"/>
        </w:rPr>
        <w:t>Children’s Television Programing Reports</w:t>
      </w:r>
      <w:bookmarkStart w:id="3" w:name="_Ref10012624"/>
      <w:r w:rsidR="009040D3">
        <w:rPr>
          <w:szCs w:val="22"/>
        </w:rPr>
        <w:t>,</w:t>
      </w:r>
      <w:r w:rsidR="00F4176C">
        <w:rPr>
          <w:szCs w:val="22"/>
        </w:rPr>
        <w:t xml:space="preserve"> FCC Form 2100, Schedule H</w:t>
      </w:r>
      <w:r w:rsidR="009040D3">
        <w:rPr>
          <w:szCs w:val="22"/>
        </w:rPr>
        <w:t xml:space="preserve"> (Children’s Report),</w:t>
      </w:r>
      <w:r>
        <w:rPr>
          <w:rStyle w:val="FootnoteReference"/>
          <w:snapToGrid/>
          <w:szCs w:val="22"/>
        </w:rPr>
        <w:footnoteReference w:id="4"/>
      </w:r>
      <w:bookmarkEnd w:id="3"/>
      <w:r w:rsidRPr="009D59F6">
        <w:rPr>
          <w:snapToGrid/>
          <w:szCs w:val="22"/>
        </w:rPr>
        <w:t xml:space="preserve"> on an annual</w:t>
      </w:r>
      <w:r w:rsidR="006A2564">
        <w:rPr>
          <w:snapToGrid/>
          <w:szCs w:val="22"/>
        </w:rPr>
        <w:t xml:space="preserve"> basis</w:t>
      </w:r>
      <w:r w:rsidR="00F4176C">
        <w:rPr>
          <w:snapToGrid/>
          <w:szCs w:val="22"/>
        </w:rPr>
        <w:t xml:space="preserve"> (</w:t>
      </w:r>
      <w:r w:rsidRPr="00F4176C" w:rsidR="00F4176C">
        <w:rPr>
          <w:snapToGrid/>
          <w:szCs w:val="22"/>
        </w:rPr>
        <w:t>within 30 days after the end of the calendar year</w:t>
      </w:r>
      <w:r w:rsidR="00F4176C">
        <w:rPr>
          <w:snapToGrid/>
          <w:szCs w:val="22"/>
        </w:rPr>
        <w:t>)</w:t>
      </w:r>
      <w:r w:rsidRPr="009D59F6">
        <w:rPr>
          <w:snapToGrid/>
          <w:szCs w:val="22"/>
        </w:rPr>
        <w:t xml:space="preserve"> rather than </w:t>
      </w:r>
      <w:r w:rsidR="00F4176C">
        <w:rPr>
          <w:snapToGrid/>
          <w:szCs w:val="22"/>
        </w:rPr>
        <w:t xml:space="preserve">on a </w:t>
      </w:r>
      <w:r w:rsidRPr="009D59F6">
        <w:rPr>
          <w:snapToGrid/>
          <w:szCs w:val="22"/>
        </w:rPr>
        <w:t>quarterly basis</w:t>
      </w:r>
      <w:r w:rsidR="00F4176C">
        <w:rPr>
          <w:snapToGrid/>
          <w:szCs w:val="22"/>
        </w:rPr>
        <w:t>.</w:t>
      </w:r>
      <w:r>
        <w:rPr>
          <w:rStyle w:val="FootnoteReference"/>
          <w:szCs w:val="22"/>
        </w:rPr>
        <w:footnoteReference w:id="5"/>
      </w:r>
      <w:r>
        <w:rPr>
          <w:szCs w:val="22"/>
        </w:rPr>
        <w:t xml:space="preserve">  </w:t>
      </w:r>
      <w:r w:rsidR="00EC2FA4">
        <w:rPr>
          <w:szCs w:val="22"/>
        </w:rPr>
        <w:t xml:space="preserve">In anticipation of </w:t>
      </w:r>
      <w:r w:rsidR="00F4176C">
        <w:rPr>
          <w:szCs w:val="22"/>
        </w:rPr>
        <w:t>broadcasters</w:t>
      </w:r>
      <w:r w:rsidR="00EC2FA4">
        <w:rPr>
          <w:szCs w:val="22"/>
        </w:rPr>
        <w:t xml:space="preserve"> transition</w:t>
      </w:r>
      <w:r w:rsidR="006A2564">
        <w:rPr>
          <w:szCs w:val="22"/>
        </w:rPr>
        <w:t>ing</w:t>
      </w:r>
      <w:r w:rsidR="00EC2FA4">
        <w:rPr>
          <w:szCs w:val="22"/>
        </w:rPr>
        <w:t xml:space="preserve"> from </w:t>
      </w:r>
      <w:r w:rsidR="006A2564">
        <w:rPr>
          <w:szCs w:val="22"/>
        </w:rPr>
        <w:t xml:space="preserve">the </w:t>
      </w:r>
      <w:r w:rsidR="00F4176C">
        <w:rPr>
          <w:szCs w:val="22"/>
        </w:rPr>
        <w:t>existing</w:t>
      </w:r>
      <w:r w:rsidR="006A2564">
        <w:rPr>
          <w:szCs w:val="22"/>
        </w:rPr>
        <w:t xml:space="preserve"> children’s programming rules</w:t>
      </w:r>
      <w:r w:rsidR="00F4176C">
        <w:rPr>
          <w:szCs w:val="22"/>
        </w:rPr>
        <w:t xml:space="preserve"> to the </w:t>
      </w:r>
      <w:r w:rsidR="006A2564">
        <w:rPr>
          <w:szCs w:val="22"/>
        </w:rPr>
        <w:t>amended</w:t>
      </w:r>
      <w:r w:rsidR="00F4176C">
        <w:rPr>
          <w:szCs w:val="22"/>
        </w:rPr>
        <w:t xml:space="preserve"> rules</w:t>
      </w:r>
      <w:r w:rsidR="006A2564">
        <w:rPr>
          <w:szCs w:val="22"/>
        </w:rPr>
        <w:t>,</w:t>
      </w:r>
      <w:r w:rsidR="00F4176C">
        <w:rPr>
          <w:szCs w:val="22"/>
        </w:rPr>
        <w:t xml:space="preserve"> </w:t>
      </w:r>
      <w:r w:rsidR="00EC2FA4">
        <w:rPr>
          <w:szCs w:val="22"/>
        </w:rPr>
        <w:t>the Media Bureau</w:t>
      </w:r>
      <w:r w:rsidR="006A2564">
        <w:rPr>
          <w:szCs w:val="22"/>
        </w:rPr>
        <w:t xml:space="preserve"> (Bureau)</w:t>
      </w:r>
      <w:r w:rsidR="00EC2FA4">
        <w:rPr>
          <w:szCs w:val="22"/>
        </w:rPr>
        <w:t xml:space="preserve"> has provide</w:t>
      </w:r>
      <w:r w:rsidR="00952CA7">
        <w:rPr>
          <w:szCs w:val="22"/>
        </w:rPr>
        <w:t>d</w:t>
      </w:r>
      <w:r w:rsidR="00EC2FA4">
        <w:rPr>
          <w:szCs w:val="22"/>
        </w:rPr>
        <w:t xml:space="preserve"> guidance to broadcasters on how to report their children’s programming for the remainder of 2019.</w:t>
      </w:r>
      <w:r>
        <w:rPr>
          <w:rStyle w:val="FootnoteReference"/>
          <w:szCs w:val="22"/>
        </w:rPr>
        <w:footnoteReference w:id="6"/>
      </w:r>
      <w:r w:rsidR="00EC2FA4">
        <w:rPr>
          <w:szCs w:val="22"/>
        </w:rPr>
        <w:t xml:space="preserve">  </w:t>
      </w:r>
    </w:p>
    <w:p w:rsidR="00EA28D8" w:rsidRPr="00EA28D8" w:rsidP="00EA28D8">
      <w:pPr>
        <w:widowControl/>
        <w:autoSpaceDE w:val="0"/>
        <w:autoSpaceDN w:val="0"/>
        <w:adjustRightInd w:val="0"/>
        <w:spacing w:after="220"/>
        <w:ind w:firstLine="720"/>
        <w:rPr>
          <w:szCs w:val="22"/>
        </w:rPr>
      </w:pPr>
      <w:r>
        <w:rPr>
          <w:szCs w:val="22"/>
        </w:rPr>
        <w:t>Updates to the Commission’s Licensing</w:t>
      </w:r>
      <w:r w:rsidR="00EC2FA4">
        <w:rPr>
          <w:szCs w:val="22"/>
        </w:rPr>
        <w:t xml:space="preserve"> and Management System (LMS) </w:t>
      </w:r>
      <w:r>
        <w:rPr>
          <w:szCs w:val="22"/>
        </w:rPr>
        <w:t xml:space="preserve">are underway, </w:t>
      </w:r>
      <w:r w:rsidR="00EC2FA4">
        <w:rPr>
          <w:szCs w:val="22"/>
        </w:rPr>
        <w:t xml:space="preserve">and </w:t>
      </w:r>
      <w:r>
        <w:rPr>
          <w:szCs w:val="22"/>
        </w:rPr>
        <w:t xml:space="preserve">the Bureau anticipates the </w:t>
      </w:r>
      <w:r w:rsidR="009040D3">
        <w:rPr>
          <w:szCs w:val="22"/>
        </w:rPr>
        <w:t xml:space="preserve">revised </w:t>
      </w:r>
      <w:r w:rsidR="00F4176C">
        <w:rPr>
          <w:szCs w:val="22"/>
        </w:rPr>
        <w:t xml:space="preserve">Children’s Report </w:t>
      </w:r>
      <w:r>
        <w:rPr>
          <w:szCs w:val="22"/>
        </w:rPr>
        <w:t xml:space="preserve">will be </w:t>
      </w:r>
      <w:r w:rsidR="00EC2FA4">
        <w:rPr>
          <w:szCs w:val="22"/>
        </w:rPr>
        <w:t>ready</w:t>
      </w:r>
      <w:r>
        <w:rPr>
          <w:szCs w:val="22"/>
        </w:rPr>
        <w:t>, subject to OMB approval,</w:t>
      </w:r>
      <w:r>
        <w:rPr>
          <w:rStyle w:val="FootnoteReference"/>
          <w:szCs w:val="22"/>
        </w:rPr>
        <w:footnoteReference w:id="7"/>
      </w:r>
      <w:r>
        <w:rPr>
          <w:szCs w:val="22"/>
        </w:rPr>
        <w:t xml:space="preserve"> to </w:t>
      </w:r>
      <w:r w:rsidR="00F4176C">
        <w:rPr>
          <w:szCs w:val="22"/>
        </w:rPr>
        <w:t xml:space="preserve">be </w:t>
      </w:r>
      <w:r>
        <w:rPr>
          <w:szCs w:val="22"/>
        </w:rPr>
        <w:t>accept</w:t>
      </w:r>
      <w:r w:rsidR="00F4176C">
        <w:rPr>
          <w:szCs w:val="22"/>
        </w:rPr>
        <w:t>ed</w:t>
      </w:r>
      <w:r>
        <w:rPr>
          <w:szCs w:val="22"/>
        </w:rPr>
        <w:t xml:space="preserve"> for filing</w:t>
      </w:r>
      <w:r w:rsidR="00F4176C">
        <w:rPr>
          <w:szCs w:val="22"/>
        </w:rPr>
        <w:t xml:space="preserve"> </w:t>
      </w:r>
      <w:r w:rsidR="006B48BA">
        <w:rPr>
          <w:szCs w:val="22"/>
        </w:rPr>
        <w:t>by January 1, 2020</w:t>
      </w:r>
      <w:r>
        <w:rPr>
          <w:szCs w:val="22"/>
        </w:rPr>
        <w:t>.</w:t>
      </w:r>
      <w:r w:rsidR="006A2564">
        <w:rPr>
          <w:szCs w:val="22"/>
        </w:rPr>
        <w:t xml:space="preserve">  </w:t>
      </w:r>
      <w:r w:rsidR="00BD3185">
        <w:rPr>
          <w:szCs w:val="22"/>
        </w:rPr>
        <w:t>I</w:t>
      </w:r>
      <w:r w:rsidR="00AE3B69">
        <w:rPr>
          <w:szCs w:val="22"/>
        </w:rPr>
        <w:t>n order to</w:t>
      </w:r>
      <w:r>
        <w:rPr>
          <w:szCs w:val="22"/>
        </w:rPr>
        <w:t xml:space="preserve"> </w:t>
      </w:r>
      <w:r w:rsidR="00AE3B69">
        <w:rPr>
          <w:szCs w:val="22"/>
        </w:rPr>
        <w:t>facilitate</w:t>
      </w:r>
      <w:r>
        <w:rPr>
          <w:szCs w:val="22"/>
        </w:rPr>
        <w:t xml:space="preserve"> the filing of the new annual </w:t>
      </w:r>
      <w:r w:rsidR="001525ED">
        <w:rPr>
          <w:szCs w:val="22"/>
        </w:rPr>
        <w:t xml:space="preserve">Children’s </w:t>
      </w:r>
      <w:r>
        <w:rPr>
          <w:szCs w:val="22"/>
        </w:rPr>
        <w:t>Report</w:t>
      </w:r>
      <w:r w:rsidR="006A1B80">
        <w:rPr>
          <w:szCs w:val="22"/>
        </w:rPr>
        <w:t>,</w:t>
      </w:r>
      <w:r w:rsidR="00AE3B69">
        <w:rPr>
          <w:szCs w:val="22"/>
        </w:rPr>
        <w:t xml:space="preserve"> LMS will no longer be able to accept new quarterly reports or allow broadcasters to amend previously filed quarterly reports.  By this Public Notice</w:t>
      </w:r>
      <w:r w:rsidR="009040D3">
        <w:rPr>
          <w:szCs w:val="22"/>
        </w:rPr>
        <w:t>,</w:t>
      </w:r>
      <w:r w:rsidR="00AE3B69">
        <w:rPr>
          <w:szCs w:val="22"/>
        </w:rPr>
        <w:t xml:space="preserve"> we </w:t>
      </w:r>
      <w:r w:rsidR="00BD3185">
        <w:rPr>
          <w:szCs w:val="22"/>
        </w:rPr>
        <w:t>inform</w:t>
      </w:r>
      <w:r w:rsidRPr="00EA28D8" w:rsidR="00AE3B69">
        <w:rPr>
          <w:szCs w:val="22"/>
        </w:rPr>
        <w:t xml:space="preserve"> all television broadcasters that </w:t>
      </w:r>
      <w:r w:rsidRPr="00EA28D8" w:rsidR="00AE3B69">
        <w:rPr>
          <w:b/>
          <w:szCs w:val="22"/>
        </w:rPr>
        <w:t>after</w:t>
      </w:r>
      <w:r w:rsidRPr="00EA28D8" w:rsidR="00EC2FA4">
        <w:rPr>
          <w:b/>
          <w:szCs w:val="22"/>
        </w:rPr>
        <w:t xml:space="preserve"> </w:t>
      </w:r>
      <w:r w:rsidRPr="006A1B80" w:rsidR="00EC2FA4">
        <w:rPr>
          <w:b/>
          <w:szCs w:val="22"/>
        </w:rPr>
        <w:t>December 1</w:t>
      </w:r>
      <w:r w:rsidRPr="006A1B80" w:rsidR="00A71CC1">
        <w:rPr>
          <w:b/>
          <w:szCs w:val="22"/>
        </w:rPr>
        <w:t>7</w:t>
      </w:r>
      <w:r w:rsidRPr="006A1B80" w:rsidR="00EC2FA4">
        <w:rPr>
          <w:b/>
          <w:szCs w:val="22"/>
        </w:rPr>
        <w:t>, 2019</w:t>
      </w:r>
      <w:r w:rsidRPr="00EA28D8" w:rsidR="00AE3B69">
        <w:rPr>
          <w:szCs w:val="22"/>
        </w:rPr>
        <w:t>,</w:t>
      </w:r>
      <w:r w:rsidRPr="00EA28D8" w:rsidR="00EC2FA4">
        <w:rPr>
          <w:szCs w:val="22"/>
        </w:rPr>
        <w:t xml:space="preserve"> </w:t>
      </w:r>
      <w:r w:rsidRPr="00EA28D8" w:rsidR="00AE3B69">
        <w:rPr>
          <w:szCs w:val="22"/>
        </w:rPr>
        <w:t>licensees</w:t>
      </w:r>
      <w:r w:rsidRPr="00EA28D8" w:rsidR="00EC2FA4">
        <w:rPr>
          <w:szCs w:val="22"/>
        </w:rPr>
        <w:t xml:space="preserve"> will no longer be able to </w:t>
      </w:r>
      <w:r w:rsidRPr="00EA28D8">
        <w:rPr>
          <w:szCs w:val="22"/>
        </w:rPr>
        <w:t xml:space="preserve">file new </w:t>
      </w:r>
      <w:r w:rsidRPr="00EA28D8" w:rsidR="00AE3B69">
        <w:rPr>
          <w:szCs w:val="22"/>
        </w:rPr>
        <w:t xml:space="preserve">or amend previously filed </w:t>
      </w:r>
      <w:r w:rsidRPr="00EA28D8">
        <w:rPr>
          <w:szCs w:val="22"/>
        </w:rPr>
        <w:t xml:space="preserve">quarterly </w:t>
      </w:r>
      <w:r w:rsidRPr="00EA28D8" w:rsidR="006A2564">
        <w:rPr>
          <w:szCs w:val="22"/>
        </w:rPr>
        <w:t xml:space="preserve">Children’s </w:t>
      </w:r>
      <w:r w:rsidRPr="00EA28D8">
        <w:rPr>
          <w:szCs w:val="22"/>
        </w:rPr>
        <w:t>Reports.</w:t>
      </w:r>
      <w:r w:rsidRPr="00EA28D8">
        <w:rPr>
          <w:szCs w:val="22"/>
        </w:rPr>
        <w:t xml:space="preserve">  </w:t>
      </w:r>
      <w:bookmarkStart w:id="4" w:name="_Hlk24622635"/>
      <w:r w:rsidRPr="00EA28D8">
        <w:rPr>
          <w:szCs w:val="22"/>
        </w:rPr>
        <w:t>Furthermore, to the extent necessary</w:t>
      </w:r>
      <w:r w:rsidR="004D3B9B">
        <w:rPr>
          <w:szCs w:val="22"/>
        </w:rPr>
        <w:t>,</w:t>
      </w:r>
      <w:r w:rsidRPr="00EA28D8">
        <w:rPr>
          <w:szCs w:val="22"/>
        </w:rPr>
        <w:t xml:space="preserve"> while we await OMB approval of the revised </w:t>
      </w:r>
      <w:r w:rsidR="00DC3AA8">
        <w:rPr>
          <w:szCs w:val="22"/>
        </w:rPr>
        <w:t>c</w:t>
      </w:r>
      <w:r w:rsidRPr="00EA28D8">
        <w:rPr>
          <w:szCs w:val="22"/>
        </w:rPr>
        <w:t>hildren’s report filing rule</w:t>
      </w:r>
      <w:r w:rsidR="00BD3185">
        <w:rPr>
          <w:szCs w:val="22"/>
        </w:rPr>
        <w:t>,</w:t>
      </w:r>
      <w:r w:rsidR="002A757E">
        <w:rPr>
          <w:szCs w:val="22"/>
        </w:rPr>
        <w:t xml:space="preserve"> </w:t>
      </w:r>
      <w:r>
        <w:rPr>
          <w:szCs w:val="22"/>
        </w:rPr>
        <w:t xml:space="preserve">47 </w:t>
      </w:r>
      <w:r w:rsidRPr="00EA28D8">
        <w:rPr>
          <w:szCs w:val="22"/>
        </w:rPr>
        <w:t xml:space="preserve">CFR 73.3526(e)(11)(iii), we waive the requirement that broadcasters file a quarterly </w:t>
      </w:r>
      <w:r w:rsidR="008254E1">
        <w:rPr>
          <w:szCs w:val="22"/>
        </w:rPr>
        <w:t>C</w:t>
      </w:r>
      <w:r w:rsidRPr="00EA28D8">
        <w:rPr>
          <w:szCs w:val="22"/>
        </w:rPr>
        <w:t xml:space="preserve">hildren’s </w:t>
      </w:r>
      <w:r w:rsidR="008254E1">
        <w:rPr>
          <w:szCs w:val="22"/>
        </w:rPr>
        <w:t>R</w:t>
      </w:r>
      <w:r w:rsidRPr="00EA28D8">
        <w:rPr>
          <w:szCs w:val="22"/>
        </w:rPr>
        <w:t>eport by January 10, 2020.</w:t>
      </w:r>
      <w:r>
        <w:rPr>
          <w:rStyle w:val="FootnoteReference"/>
          <w:szCs w:val="22"/>
        </w:rPr>
        <w:footnoteReference w:id="8"/>
      </w:r>
      <w:r w:rsidRPr="00EA28D8">
        <w:rPr>
          <w:szCs w:val="22"/>
        </w:rPr>
        <w:t xml:space="preserve">  </w:t>
      </w:r>
    </w:p>
    <w:bookmarkEnd w:id="4"/>
    <w:p w:rsidR="005D2E8B" w:rsidP="006A2564">
      <w:pPr>
        <w:widowControl/>
        <w:spacing w:after="220"/>
        <w:ind w:firstLine="720"/>
        <w:rPr>
          <w:szCs w:val="22"/>
        </w:rPr>
      </w:pPr>
      <w:r>
        <w:rPr>
          <w:szCs w:val="22"/>
        </w:rPr>
        <w:t>After</w:t>
      </w:r>
      <w:r w:rsidR="00952CA7">
        <w:rPr>
          <w:szCs w:val="22"/>
        </w:rPr>
        <w:t xml:space="preserve"> </w:t>
      </w:r>
      <w:r w:rsidRPr="006A1B80" w:rsidR="00952CA7">
        <w:rPr>
          <w:szCs w:val="22"/>
        </w:rPr>
        <w:t>December 1</w:t>
      </w:r>
      <w:r w:rsidRPr="006A1B80" w:rsidR="00A71CC1">
        <w:rPr>
          <w:szCs w:val="22"/>
        </w:rPr>
        <w:t>7</w:t>
      </w:r>
      <w:r w:rsidRPr="006A1B80" w:rsidR="00952CA7">
        <w:rPr>
          <w:szCs w:val="22"/>
        </w:rPr>
        <w:t>, 2019</w:t>
      </w:r>
      <w:r w:rsidRPr="006A1B80" w:rsidR="001525ED">
        <w:rPr>
          <w:szCs w:val="22"/>
        </w:rPr>
        <w:t>,</w:t>
      </w:r>
      <w:r w:rsidRPr="006A1B80" w:rsidR="00952CA7">
        <w:rPr>
          <w:szCs w:val="22"/>
        </w:rPr>
        <w:t xml:space="preserve"> if a broadcaster </w:t>
      </w:r>
      <w:r w:rsidRPr="006A1B80" w:rsidR="001525ED">
        <w:rPr>
          <w:szCs w:val="22"/>
        </w:rPr>
        <w:t>must</w:t>
      </w:r>
      <w:r w:rsidRPr="006A1B80" w:rsidR="00952CA7">
        <w:rPr>
          <w:szCs w:val="22"/>
        </w:rPr>
        <w:t xml:space="preserve"> amend</w:t>
      </w:r>
      <w:r w:rsidR="00952CA7">
        <w:rPr>
          <w:szCs w:val="22"/>
        </w:rPr>
        <w:t xml:space="preserve"> a previously filed quarterly </w:t>
      </w:r>
      <w:r w:rsidR="001525ED">
        <w:rPr>
          <w:szCs w:val="22"/>
        </w:rPr>
        <w:t xml:space="preserve">Children’s Report or realizes that </w:t>
      </w:r>
      <w:r>
        <w:rPr>
          <w:szCs w:val="22"/>
        </w:rPr>
        <w:t xml:space="preserve">it </w:t>
      </w:r>
      <w:r w:rsidR="001525ED">
        <w:rPr>
          <w:szCs w:val="22"/>
        </w:rPr>
        <w:t xml:space="preserve">failed to file a quarterly </w:t>
      </w:r>
      <w:r w:rsidR="00F76352">
        <w:rPr>
          <w:szCs w:val="22"/>
        </w:rPr>
        <w:t>Children’s Report</w:t>
      </w:r>
      <w:r w:rsidR="001525ED">
        <w:rPr>
          <w:szCs w:val="22"/>
        </w:rPr>
        <w:t>,</w:t>
      </w:r>
      <w:r w:rsidR="00952CA7">
        <w:rPr>
          <w:szCs w:val="22"/>
        </w:rPr>
        <w:t xml:space="preserve"> </w:t>
      </w:r>
      <w:r w:rsidR="00F76352">
        <w:rPr>
          <w:szCs w:val="22"/>
        </w:rPr>
        <w:t xml:space="preserve">it </w:t>
      </w:r>
      <w:r w:rsidR="00952CA7">
        <w:rPr>
          <w:szCs w:val="22"/>
        </w:rPr>
        <w:t xml:space="preserve">will have to </w:t>
      </w:r>
      <w:r w:rsidR="001525ED">
        <w:rPr>
          <w:szCs w:val="22"/>
        </w:rPr>
        <w:t xml:space="preserve">provide the necessary information </w:t>
      </w:r>
      <w:r w:rsidR="00952CA7">
        <w:rPr>
          <w:szCs w:val="22"/>
        </w:rPr>
        <w:t>in the form of a</w:t>
      </w:r>
      <w:r w:rsidR="001525ED">
        <w:rPr>
          <w:szCs w:val="22"/>
        </w:rPr>
        <w:t xml:space="preserve">n explanatory </w:t>
      </w:r>
      <w:r>
        <w:rPr>
          <w:szCs w:val="22"/>
        </w:rPr>
        <w:t>document</w:t>
      </w:r>
      <w:r w:rsidR="00952CA7">
        <w:rPr>
          <w:szCs w:val="22"/>
        </w:rPr>
        <w:t>.</w:t>
      </w:r>
      <w:r w:rsidR="001525ED">
        <w:rPr>
          <w:szCs w:val="22"/>
        </w:rPr>
        <w:t xml:space="preserve">  </w:t>
      </w:r>
      <w:r w:rsidR="006B48BA">
        <w:rPr>
          <w:szCs w:val="22"/>
        </w:rPr>
        <w:t>S</w:t>
      </w:r>
      <w:r w:rsidR="001525ED">
        <w:rPr>
          <w:szCs w:val="22"/>
        </w:rPr>
        <w:t xml:space="preserve">uch document </w:t>
      </w:r>
      <w:r w:rsidR="006B48BA">
        <w:rPr>
          <w:szCs w:val="22"/>
        </w:rPr>
        <w:t>must</w:t>
      </w:r>
      <w:r w:rsidR="001525ED">
        <w:rPr>
          <w:szCs w:val="22"/>
        </w:rPr>
        <w:t xml:space="preserve"> be uploaded to </w:t>
      </w:r>
      <w:r>
        <w:rPr>
          <w:szCs w:val="22"/>
        </w:rPr>
        <w:t xml:space="preserve">a </w:t>
      </w:r>
      <w:r w:rsidR="001525ED">
        <w:rPr>
          <w:szCs w:val="22"/>
        </w:rPr>
        <w:t xml:space="preserve">station’s online public inspection file and placed in the </w:t>
      </w:r>
      <w:r w:rsidR="004D3B9B">
        <w:rPr>
          <w:szCs w:val="22"/>
        </w:rPr>
        <w:t>“</w:t>
      </w:r>
      <w:r w:rsidR="001525ED">
        <w:rPr>
          <w:szCs w:val="22"/>
        </w:rPr>
        <w:t>Children’s Reports</w:t>
      </w:r>
      <w:r w:rsidR="004D3B9B">
        <w:rPr>
          <w:szCs w:val="22"/>
        </w:rPr>
        <w:t>”</w:t>
      </w:r>
      <w:r w:rsidR="001525ED">
        <w:rPr>
          <w:szCs w:val="22"/>
        </w:rPr>
        <w:t xml:space="preserve"> section, under the folder entitled “Additional Documents.”</w:t>
      </w:r>
      <w:r>
        <w:rPr>
          <w:rStyle w:val="FootnoteReference"/>
          <w:szCs w:val="22"/>
        </w:rPr>
        <w:footnoteReference w:id="9"/>
      </w:r>
      <w:r w:rsidR="001525ED">
        <w:rPr>
          <w:szCs w:val="22"/>
        </w:rPr>
        <w:t xml:space="preserve">  </w:t>
      </w:r>
      <w:r w:rsidR="006B48BA">
        <w:rPr>
          <w:szCs w:val="22"/>
        </w:rPr>
        <w:t>Furthermore, in light of the upcoming</w:t>
      </w:r>
      <w:r w:rsidR="008254E1">
        <w:rPr>
          <w:szCs w:val="22"/>
        </w:rPr>
        <w:t xml:space="preserve"> </w:t>
      </w:r>
      <w:r w:rsidR="006B48BA">
        <w:rPr>
          <w:szCs w:val="22"/>
        </w:rPr>
        <w:t xml:space="preserve">license renewal cycle for television stations that is scheduled to begin in June 2020, the Bureau advises licensees </w:t>
      </w:r>
      <w:r>
        <w:rPr>
          <w:szCs w:val="22"/>
        </w:rPr>
        <w:t xml:space="preserve">to include an exhibit as part of </w:t>
      </w:r>
      <w:r w:rsidR="00F76352">
        <w:rPr>
          <w:szCs w:val="22"/>
        </w:rPr>
        <w:t>the</w:t>
      </w:r>
      <w:r w:rsidR="008254E1">
        <w:rPr>
          <w:szCs w:val="22"/>
        </w:rPr>
        <w:t>ir</w:t>
      </w:r>
      <w:r w:rsidR="00F76352">
        <w:rPr>
          <w:szCs w:val="22"/>
        </w:rPr>
        <w:t xml:space="preserve"> </w:t>
      </w:r>
      <w:r>
        <w:rPr>
          <w:szCs w:val="22"/>
        </w:rPr>
        <w:t xml:space="preserve">license renewal application noting </w:t>
      </w:r>
      <w:r w:rsidR="008254E1">
        <w:rPr>
          <w:szCs w:val="22"/>
        </w:rPr>
        <w:t>if any</w:t>
      </w:r>
      <w:r>
        <w:rPr>
          <w:szCs w:val="22"/>
        </w:rPr>
        <w:t xml:space="preserve"> such </w:t>
      </w:r>
      <w:r w:rsidR="006B48BA">
        <w:rPr>
          <w:szCs w:val="22"/>
        </w:rPr>
        <w:t>explanatory document</w:t>
      </w:r>
      <w:r>
        <w:rPr>
          <w:szCs w:val="22"/>
        </w:rPr>
        <w:t xml:space="preserve"> has been</w:t>
      </w:r>
      <w:r w:rsidR="006B48BA">
        <w:rPr>
          <w:szCs w:val="22"/>
        </w:rPr>
        <w:t xml:space="preserve"> </w:t>
      </w:r>
      <w:r>
        <w:rPr>
          <w:szCs w:val="22"/>
        </w:rPr>
        <w:t xml:space="preserve">uploaded to the station’s </w:t>
      </w:r>
      <w:r w:rsidR="006B48BA">
        <w:rPr>
          <w:szCs w:val="22"/>
        </w:rPr>
        <w:t>online public inspection file.</w:t>
      </w:r>
    </w:p>
    <w:p w:rsidR="006B48BA" w:rsidP="006B48BA">
      <w:pPr>
        <w:widowControl/>
        <w:spacing w:after="220"/>
        <w:ind w:firstLine="720"/>
        <w:rPr>
          <w:rStyle w:val="Hyperlink"/>
          <w:szCs w:val="22"/>
        </w:rPr>
      </w:pPr>
      <w:r>
        <w:rPr>
          <w:szCs w:val="22"/>
        </w:rPr>
        <w:t xml:space="preserve">For all legal matters, please contact Kathy Berthot, Policy Division, Media Bureau, 202-418-2120 or by e-mail at </w:t>
      </w:r>
      <w:hyperlink r:id="rId5" w:history="1">
        <w:r>
          <w:rPr>
            <w:rStyle w:val="Hyperlink"/>
            <w:szCs w:val="22"/>
          </w:rPr>
          <w:t>Kathy.Berthot@fcc.gov</w:t>
        </w:r>
      </w:hyperlink>
      <w:r>
        <w:rPr>
          <w:szCs w:val="22"/>
        </w:rPr>
        <w:t xml:space="preserve">, or Evan Morris, Legal Advisor, Media Bureau at 202-418-1656 or by e-mail at </w:t>
      </w:r>
      <w:hyperlink r:id="rId6" w:history="1">
        <w:r>
          <w:rPr>
            <w:rStyle w:val="Hyperlink"/>
            <w:szCs w:val="22"/>
          </w:rPr>
          <w:t>Evan.Morris@fcc.gov</w:t>
        </w:r>
      </w:hyperlink>
      <w:r>
        <w:rPr>
          <w:szCs w:val="22"/>
        </w:rPr>
        <w:t>.   For LMS filing related issues, please contact Hossein Hashemzadeh</w:t>
      </w:r>
      <w:r w:rsidR="00AA7337">
        <w:rPr>
          <w:szCs w:val="22"/>
        </w:rPr>
        <w:t>,</w:t>
      </w:r>
      <w:r>
        <w:rPr>
          <w:szCs w:val="22"/>
        </w:rPr>
        <w:t xml:space="preserve"> Video Division, Media Bureau at (202) 418-1658 or by e-mail at </w:t>
      </w:r>
      <w:hyperlink r:id="rId7" w:history="1">
        <w:r>
          <w:rPr>
            <w:rStyle w:val="Hyperlink"/>
            <w:szCs w:val="22"/>
          </w:rPr>
          <w:t>Hossein.Hashemzadeh@fcc.gov</w:t>
        </w:r>
      </w:hyperlink>
      <w:r>
        <w:rPr>
          <w:szCs w:val="22"/>
        </w:rPr>
        <w:t xml:space="preserve"> concerning Class A stations, or Kevin Harding</w:t>
      </w:r>
      <w:r w:rsidR="00AA7337">
        <w:rPr>
          <w:szCs w:val="22"/>
        </w:rPr>
        <w:t>,</w:t>
      </w:r>
      <w:r>
        <w:rPr>
          <w:szCs w:val="22"/>
        </w:rPr>
        <w:t xml:space="preserve"> Video Division, Media Bureau at 202-418-7077 or by e-mail at </w:t>
      </w:r>
      <w:hyperlink r:id="rId8" w:history="1">
        <w:r>
          <w:rPr>
            <w:rStyle w:val="Hyperlink"/>
            <w:szCs w:val="22"/>
          </w:rPr>
          <w:t>Kevin.Harding@fcc.gov</w:t>
        </w:r>
      </w:hyperlink>
      <w:r>
        <w:rPr>
          <w:szCs w:val="22"/>
        </w:rPr>
        <w:t xml:space="preserve"> concerning full power stations.  Press inquiries should be directed to Janice Wise at (202) 418-8165 or by email at </w:t>
      </w:r>
      <w:hyperlink r:id="rId9" w:history="1">
        <w:r>
          <w:rPr>
            <w:rStyle w:val="Hyperlink"/>
            <w:szCs w:val="22"/>
          </w:rPr>
          <w:t>Janice.Wise@fcc.gov</w:t>
        </w:r>
      </w:hyperlink>
      <w:r>
        <w:rPr>
          <w:rStyle w:val="Hyperlink"/>
          <w:szCs w:val="22"/>
        </w:rPr>
        <w:t xml:space="preserve">.  </w:t>
      </w:r>
    </w:p>
    <w:p w:rsidR="006B48BA" w:rsidP="006B48BA">
      <w:pPr>
        <w:spacing w:after="220"/>
        <w:ind w:firstLine="720"/>
        <w:rPr>
          <w:rStyle w:val="Hyperlink"/>
          <w:szCs w:val="22"/>
        </w:rPr>
      </w:pPr>
      <w:r>
        <w:rPr>
          <w:szCs w:val="22"/>
        </w:rPr>
        <w:t>This action is taken by the Chief, Media Bureau, pursuant to authority delegated by sections 0.61 and 0.283 of the Commission’s rules.</w:t>
      </w:r>
      <w:r>
        <w:rPr>
          <w:rStyle w:val="FootnoteReference"/>
          <w:szCs w:val="22"/>
        </w:rPr>
        <w:footnoteReference w:id="10"/>
      </w:r>
      <w:r>
        <w:rPr>
          <w:szCs w:val="22"/>
        </w:rPr>
        <w:t xml:space="preserve">   </w:t>
      </w:r>
    </w:p>
    <w:p w:rsidR="006B48BA" w:rsidRPr="006B48BA" w:rsidP="006B48BA">
      <w:pPr>
        <w:spacing w:before="60"/>
        <w:jc w:val="center"/>
        <w:rPr>
          <w:b/>
        </w:rPr>
      </w:pPr>
      <w:r>
        <w:rPr>
          <w:b/>
          <w:szCs w:val="22"/>
        </w:rPr>
        <w:t>-FCC-</w:t>
      </w:r>
    </w:p>
    <w:p w:rsidR="00930ECF" w:rsidRPr="00930ECF" w:rsidP="00F96F63">
      <w:pPr>
        <w:rPr>
          <w:sz w:val="24"/>
        </w:rPr>
      </w:pPr>
    </w:p>
    <w:sectPr w:rsidSect="000E5884">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D2E8B">
      <w:r>
        <w:separator/>
      </w:r>
    </w:p>
  </w:footnote>
  <w:footnote w:type="continuationSeparator" w:id="1">
    <w:p w:rsidR="005D2E8B">
      <w:pPr>
        <w:rPr>
          <w:sz w:val="20"/>
        </w:rPr>
      </w:pPr>
      <w:r>
        <w:rPr>
          <w:sz w:val="20"/>
        </w:rPr>
        <w:t xml:space="preserve">(Continued from previous page)  </w:t>
      </w:r>
      <w:r>
        <w:rPr>
          <w:sz w:val="20"/>
        </w:rPr>
        <w:separator/>
      </w:r>
    </w:p>
  </w:footnote>
  <w:footnote w:type="continuationNotice" w:id="2">
    <w:p w:rsidR="005D2E8B" w:rsidP="00910F12">
      <w:pPr>
        <w:jc w:val="right"/>
        <w:rPr>
          <w:sz w:val="20"/>
        </w:rPr>
      </w:pPr>
      <w:r>
        <w:rPr>
          <w:sz w:val="20"/>
        </w:rPr>
        <w:t>(continued….)</w:t>
      </w:r>
    </w:p>
  </w:footnote>
  <w:footnote w:id="3">
    <w:p w:rsidR="005D2E8B" w:rsidP="005D2E8B">
      <w:pPr>
        <w:pStyle w:val="FootnoteText"/>
        <w:widowControl w:val="0"/>
      </w:pPr>
      <w:r>
        <w:rPr>
          <w:rStyle w:val="FootnoteReference"/>
        </w:rPr>
        <w:footnoteRef/>
      </w:r>
      <w:r>
        <w:t xml:space="preserve"> </w:t>
      </w:r>
      <w:r>
        <w:rPr>
          <w:i/>
          <w:spacing w:val="-2"/>
        </w:rPr>
        <w:t>Children’s Television Programming Rules; Modernization of Media Regulation Initiative</w:t>
      </w:r>
      <w:r>
        <w:t xml:space="preserve">, MB Docket Nos. 18-202 and 17-105, Report and Order, </w:t>
      </w:r>
      <w:r w:rsidR="00CA0F26">
        <w:t xml:space="preserve">34 FCC Rcd 5822 </w:t>
      </w:r>
      <w:r>
        <w:t>(2019) (</w:t>
      </w:r>
      <w:r>
        <w:rPr>
          <w:i/>
        </w:rPr>
        <w:t>Report and Order</w:t>
      </w:r>
      <w:r>
        <w:t>).</w:t>
      </w:r>
    </w:p>
  </w:footnote>
  <w:footnote w:id="4">
    <w:p w:rsidR="00E93CE3" w:rsidP="00E93CE3">
      <w:pPr>
        <w:widowControl/>
        <w:autoSpaceDE w:val="0"/>
        <w:autoSpaceDN w:val="0"/>
        <w:adjustRightInd w:val="0"/>
        <w:rPr>
          <w:rFonts w:ascii="TimesNewRomanPSMT" w:hAnsi="TimesNewRomanPSMT" w:cs="TimesNewRomanPSMT"/>
          <w:snapToGrid/>
          <w:kern w:val="0"/>
          <w:sz w:val="20"/>
        </w:rPr>
      </w:pPr>
      <w:r>
        <w:rPr>
          <w:rStyle w:val="FootnoteReference"/>
        </w:rPr>
        <w:footnoteRef/>
      </w:r>
      <w:r>
        <w:t xml:space="preserve"> </w:t>
      </w:r>
      <w:r w:rsidRPr="00E93CE3">
        <w:rPr>
          <w:rFonts w:ascii="TimesNewRomanPSMT" w:hAnsi="TimesNewRomanPSMT" w:cs="TimesNewRomanPSMT"/>
          <w:snapToGrid/>
          <w:kern w:val="0"/>
          <w:sz w:val="20"/>
        </w:rPr>
        <w:t xml:space="preserve"> </w:t>
      </w:r>
      <w:r>
        <w:rPr>
          <w:rFonts w:ascii="TimesNewRomanPSMT" w:hAnsi="TimesNewRomanPSMT" w:cs="TimesNewRomanPSMT"/>
          <w:snapToGrid/>
          <w:kern w:val="0"/>
          <w:sz w:val="20"/>
        </w:rPr>
        <w:t>We note that while broadcasters commonly refer to the Children’s Report as FCC Form 398, this form was</w:t>
      </w:r>
    </w:p>
    <w:p w:rsidR="005D2E8B" w:rsidP="00E93CE3">
      <w:pPr>
        <w:pStyle w:val="FootnoteText"/>
        <w:widowControl w:val="0"/>
      </w:pPr>
      <w:r>
        <w:rPr>
          <w:rFonts w:ascii="TimesNewRomanPSMT" w:hAnsi="TimesNewRomanPSMT" w:cs="TimesNewRomanPSMT"/>
        </w:rPr>
        <w:t xml:space="preserve">replaced by FCC Form 2100, Schedule H in 2014, when the Media Bureau transitioned to the </w:t>
      </w:r>
      <w:r w:rsidR="00637E33">
        <w:rPr>
          <w:szCs w:val="22"/>
        </w:rPr>
        <w:t>Licensing and Management System</w:t>
      </w:r>
      <w:r>
        <w:rPr>
          <w:rFonts w:ascii="TimesNewRomanPSMT" w:hAnsi="TimesNewRomanPSMT" w:cs="TimesNewRomanPSMT"/>
        </w:rPr>
        <w:t>.</w:t>
      </w:r>
    </w:p>
  </w:footnote>
  <w:footnote w:id="5">
    <w:p w:rsidR="00EC2FA4">
      <w:pPr>
        <w:pStyle w:val="FootnoteText"/>
      </w:pPr>
      <w:r>
        <w:rPr>
          <w:rStyle w:val="FootnoteReference"/>
        </w:rPr>
        <w:footnoteRef/>
      </w:r>
      <w:r>
        <w:t xml:space="preserve"> </w:t>
      </w:r>
      <w:r w:rsidRPr="006A2564" w:rsidR="006A2564">
        <w:rPr>
          <w:i/>
        </w:rPr>
        <w:t>Report and Order</w:t>
      </w:r>
      <w:r w:rsidR="00BA5A4F">
        <w:t>, 34 FCC Rcd</w:t>
      </w:r>
      <w:r w:rsidR="00CA0F26">
        <w:t xml:space="preserve"> </w:t>
      </w:r>
      <w:r w:rsidR="006A2564">
        <w:t xml:space="preserve">at </w:t>
      </w:r>
      <w:r w:rsidR="00CA0F26">
        <w:t xml:space="preserve">5859-60, </w:t>
      </w:r>
      <w:r w:rsidR="006A2564">
        <w:t>paras. 61-63.</w:t>
      </w:r>
    </w:p>
  </w:footnote>
  <w:footnote w:id="6">
    <w:p w:rsidR="00EC2FA4">
      <w:pPr>
        <w:pStyle w:val="FootnoteText"/>
      </w:pPr>
      <w:r>
        <w:rPr>
          <w:rStyle w:val="FootnoteReference"/>
        </w:rPr>
        <w:footnoteRef/>
      </w:r>
      <w:r>
        <w:t xml:space="preserve"> </w:t>
      </w:r>
      <w:r w:rsidRPr="006A2564" w:rsidR="00F4176C">
        <w:rPr>
          <w:i/>
        </w:rPr>
        <w:t>Media Bureau Announces Effective Date and Provides Guidance on Transition Procedures for KidVid Reporting and Compliance with Revised Safe Harbor Processing Guidelines</w:t>
      </w:r>
      <w:r w:rsidR="00F4176C">
        <w:t xml:space="preserve">, MB Docket Nos. 18-202 and 17-105, Public Notice, </w:t>
      </w:r>
      <w:r w:rsidR="004255F4">
        <w:t xml:space="preserve">34 FCC Rcd 7878 </w:t>
      </w:r>
      <w:r w:rsidR="00F4176C">
        <w:t xml:space="preserve">(MB, 2019).  Broadcasters were required to report on their third quarter 2019 </w:t>
      </w:r>
      <w:r w:rsidR="00E34CFC">
        <w:t xml:space="preserve">Children’s </w:t>
      </w:r>
      <w:r w:rsidR="00F4176C">
        <w:t>Report all children’s television programming aired from July 1, 2019</w:t>
      </w:r>
      <w:r w:rsidR="00BD3185">
        <w:t>,</w:t>
      </w:r>
      <w:r w:rsidR="00F4176C">
        <w:t xml:space="preserve"> through September 15, 2019.</w:t>
      </w:r>
      <w:r w:rsidR="006A2564">
        <w:t xml:space="preserve">  </w:t>
      </w:r>
      <w:r w:rsidRPr="006A2564" w:rsidR="006A2564">
        <w:rPr>
          <w:i/>
        </w:rPr>
        <w:t>Id.</w:t>
      </w:r>
      <w:r w:rsidR="006A2564">
        <w:t xml:space="preserve"> at </w:t>
      </w:r>
      <w:r w:rsidR="004255F4">
        <w:t>7879</w:t>
      </w:r>
      <w:r w:rsidR="006A2564">
        <w:t>.</w:t>
      </w:r>
      <w:r w:rsidR="0049728E">
        <w:t xml:space="preserve">  An</w:t>
      </w:r>
      <w:r w:rsidRPr="00F4176C" w:rsidR="0049728E">
        <w:t xml:space="preserve">y children’s television programming aired </w:t>
      </w:r>
      <w:r w:rsidR="0049728E">
        <w:t xml:space="preserve">on or </w:t>
      </w:r>
      <w:r w:rsidRPr="00F4176C" w:rsidR="0049728E">
        <w:t>after September 16, 2019, will be reported by commercial and Class A television stations on a broadcaster’s first annual Children’s Report, which will be due no later than January 30, 2020.</w:t>
      </w:r>
      <w:r w:rsidR="0049728E">
        <w:t xml:space="preserve">  </w:t>
      </w:r>
      <w:r w:rsidR="0049728E">
        <w:rPr>
          <w:i/>
        </w:rPr>
        <w:t xml:space="preserve">Id. </w:t>
      </w:r>
      <w:r w:rsidR="0049728E">
        <w:t>at 7880.</w:t>
      </w:r>
    </w:p>
  </w:footnote>
  <w:footnote w:id="7">
    <w:p w:rsidR="006B48BA" w:rsidRPr="00A71CC1" w:rsidP="00A71CC1">
      <w:pPr>
        <w:widowControl/>
        <w:autoSpaceDE w:val="0"/>
        <w:autoSpaceDN w:val="0"/>
        <w:adjustRightInd w:val="0"/>
      </w:pPr>
      <w:r>
        <w:rPr>
          <w:rStyle w:val="FootnoteReference"/>
        </w:rPr>
        <w:footnoteRef/>
      </w:r>
      <w:r>
        <w:t xml:space="preserve"> </w:t>
      </w:r>
      <w:r w:rsidRPr="00A71CC1">
        <w:rPr>
          <w:sz w:val="20"/>
        </w:rPr>
        <w:t xml:space="preserve">The </w:t>
      </w:r>
      <w:r w:rsidRPr="00A71CC1" w:rsidR="00E93CE3">
        <w:rPr>
          <w:sz w:val="20"/>
        </w:rPr>
        <w:t xml:space="preserve">revised FCC Form 2100, Schedule H, and the </w:t>
      </w:r>
      <w:r w:rsidRPr="00A71CC1">
        <w:rPr>
          <w:sz w:val="20"/>
        </w:rPr>
        <w:t>amendment to Section 73.3526(e)(11)(iii) of the rules</w:t>
      </w:r>
      <w:r w:rsidRPr="00A71CC1" w:rsidR="00E93CE3">
        <w:rPr>
          <w:sz w:val="20"/>
        </w:rPr>
        <w:t>,</w:t>
      </w:r>
      <w:r w:rsidRPr="00A71CC1">
        <w:rPr>
          <w:sz w:val="20"/>
        </w:rPr>
        <w:t xml:space="preserve"> which governs a broadcaster’s obligation to file a Children’s Report</w:t>
      </w:r>
      <w:r w:rsidRPr="00A71CC1" w:rsidR="00E93CE3">
        <w:rPr>
          <w:sz w:val="20"/>
        </w:rPr>
        <w:t>,</w:t>
      </w:r>
      <w:r w:rsidRPr="00A71CC1">
        <w:rPr>
          <w:sz w:val="20"/>
        </w:rPr>
        <w:t xml:space="preserve"> require OMB approval and</w:t>
      </w:r>
      <w:r w:rsidRPr="00A71CC1" w:rsidR="00E93CE3">
        <w:rPr>
          <w:sz w:val="20"/>
        </w:rPr>
        <w:t xml:space="preserve"> </w:t>
      </w:r>
      <w:r w:rsidRPr="00A71CC1" w:rsidR="00E93CE3">
        <w:rPr>
          <w:snapToGrid/>
          <w:kern w:val="0"/>
          <w:sz w:val="20"/>
        </w:rPr>
        <w:t>will become effective after publication in the Federal Register of a notice announcing such approval and the relevant effective date</w:t>
      </w:r>
      <w:r w:rsidRPr="00A71CC1">
        <w:rPr>
          <w:sz w:val="20"/>
        </w:rPr>
        <w:t xml:space="preserve">.  The Bureau will issue a </w:t>
      </w:r>
      <w:r w:rsidR="005A23B4">
        <w:rPr>
          <w:sz w:val="20"/>
        </w:rPr>
        <w:t xml:space="preserve">subsequent </w:t>
      </w:r>
      <w:r w:rsidRPr="00A71CC1" w:rsidR="00E93CE3">
        <w:rPr>
          <w:sz w:val="20"/>
        </w:rPr>
        <w:t xml:space="preserve">public notice </w:t>
      </w:r>
      <w:r w:rsidRPr="00A71CC1">
        <w:rPr>
          <w:sz w:val="20"/>
        </w:rPr>
        <w:t xml:space="preserve">announcing </w:t>
      </w:r>
      <w:r w:rsidR="005A23B4">
        <w:rPr>
          <w:sz w:val="20"/>
        </w:rPr>
        <w:t xml:space="preserve">the </w:t>
      </w:r>
      <w:r w:rsidRPr="00A71CC1">
        <w:rPr>
          <w:sz w:val="20"/>
        </w:rPr>
        <w:t>effective date</w:t>
      </w:r>
      <w:r w:rsidR="005A23B4">
        <w:rPr>
          <w:sz w:val="20"/>
        </w:rPr>
        <w:t>(s) of the revised form and rule</w:t>
      </w:r>
      <w:r w:rsidRPr="00A71CC1">
        <w:rPr>
          <w:sz w:val="20"/>
        </w:rPr>
        <w:t>.</w:t>
      </w:r>
    </w:p>
  </w:footnote>
  <w:footnote w:id="8">
    <w:p w:rsidR="00EA28D8">
      <w:pPr>
        <w:pStyle w:val="FootnoteText"/>
      </w:pPr>
      <w:r>
        <w:rPr>
          <w:rStyle w:val="FootnoteReference"/>
        </w:rPr>
        <w:footnoteRef/>
      </w:r>
      <w:r>
        <w:t xml:space="preserve"> 47 CFR § 1.3 (waiver for good cause shown).</w:t>
      </w:r>
      <w:r w:rsidR="008254E1">
        <w:t xml:space="preserve">  </w:t>
      </w:r>
      <w:r w:rsidRPr="008254E1" w:rsidR="008254E1">
        <w:rPr>
          <w:i/>
        </w:rPr>
        <w:t>See supra</w:t>
      </w:r>
      <w:r w:rsidR="008254E1">
        <w:t xml:space="preserve"> note 4.</w:t>
      </w:r>
    </w:p>
  </w:footnote>
  <w:footnote w:id="9">
    <w:p w:rsidR="001525ED">
      <w:pPr>
        <w:pStyle w:val="FootnoteText"/>
      </w:pPr>
      <w:r>
        <w:rPr>
          <w:rStyle w:val="FootnoteReference"/>
        </w:rPr>
        <w:footnoteRef/>
      </w:r>
      <w:r>
        <w:t xml:space="preserve"> </w:t>
      </w:r>
      <w:r w:rsidR="006B48BA">
        <w:t>The</w:t>
      </w:r>
      <w:r>
        <w:t xml:space="preserve"> Commission’s rules state that the Commission will </w:t>
      </w:r>
      <w:r w:rsidR="006B48BA">
        <w:t>automatically</w:t>
      </w:r>
      <w:r>
        <w:t xml:space="preserve"> </w:t>
      </w:r>
      <w:r w:rsidR="006B48BA">
        <w:t>link</w:t>
      </w:r>
      <w:r>
        <w:t xml:space="preserve"> </w:t>
      </w:r>
      <w:r w:rsidR="006B48BA">
        <w:t>a broadcast</w:t>
      </w:r>
      <w:r>
        <w:t xml:space="preserve"> stati</w:t>
      </w:r>
      <w:r w:rsidR="006B48BA">
        <w:t>o</w:t>
      </w:r>
      <w:r>
        <w:t xml:space="preserve">n’s </w:t>
      </w:r>
      <w:r w:rsidR="006B48BA">
        <w:t>Children’s</w:t>
      </w:r>
      <w:r>
        <w:t xml:space="preserve"> </w:t>
      </w:r>
      <w:r w:rsidR="006B48BA">
        <w:t>Television</w:t>
      </w:r>
      <w:r>
        <w:t xml:space="preserve"> </w:t>
      </w:r>
      <w:r w:rsidR="006B48BA">
        <w:t>P</w:t>
      </w:r>
      <w:r>
        <w:t xml:space="preserve">rogramming </w:t>
      </w:r>
      <w:r w:rsidR="006B48BA">
        <w:t>R</w:t>
      </w:r>
      <w:r>
        <w:t>eports</w:t>
      </w:r>
      <w:r w:rsidR="001B2377">
        <w:t xml:space="preserve"> to its online public inspection file.  T</w:t>
      </w:r>
      <w:r>
        <w:t>he rule</w:t>
      </w:r>
      <w:r w:rsidR="006B48BA">
        <w:t>s</w:t>
      </w:r>
      <w:r>
        <w:t xml:space="preserve"> goes on to state that</w:t>
      </w:r>
      <w:r w:rsidR="006B48BA">
        <w:t xml:space="preserve"> “[i]n the event that the online public file does not reflect such required information, the licensee will be responsible for posting such material.</w:t>
      </w:r>
      <w:r>
        <w:t xml:space="preserve"> </w:t>
      </w:r>
      <w:r w:rsidR="001B2377">
        <w:t xml:space="preserve"> </w:t>
      </w:r>
      <w:r w:rsidR="006B48BA">
        <w:t>47 CFR § 73.3526(b)(4).</w:t>
      </w:r>
    </w:p>
  </w:footnote>
  <w:footnote w:id="10">
    <w:p w:rsidR="006B48BA" w:rsidP="006B48BA">
      <w:pPr>
        <w:pStyle w:val="FootnoteText"/>
        <w:widowControl w:val="0"/>
      </w:pPr>
      <w:r>
        <w:rPr>
          <w:rStyle w:val="FootnoteReference"/>
        </w:rPr>
        <w:footnoteRef/>
      </w:r>
      <w:r>
        <w:t xml:space="preserve"> 47 CFR §§ 0.61 and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6B48BA">
      <w:rPr>
        <w:b/>
      </w:rPr>
      <w:t>DA 19-</w:t>
    </w:r>
    <w:r w:rsidR="00276E7F">
      <w:rPr>
        <w:b/>
      </w:rPr>
      <w:t>1186</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596pt,56.7pt" to="5064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E8B"/>
    <w:rsid w:val="000072CE"/>
    <w:rsid w:val="00013A8B"/>
    <w:rsid w:val="00021445"/>
    <w:rsid w:val="00036039"/>
    <w:rsid w:val="00037F90"/>
    <w:rsid w:val="000875BF"/>
    <w:rsid w:val="00096D8C"/>
    <w:rsid w:val="000C0B65"/>
    <w:rsid w:val="000D0DE2"/>
    <w:rsid w:val="000E3D42"/>
    <w:rsid w:val="000E5884"/>
    <w:rsid w:val="00122BD5"/>
    <w:rsid w:val="001525ED"/>
    <w:rsid w:val="00196280"/>
    <w:rsid w:val="001979D9"/>
    <w:rsid w:val="001B2377"/>
    <w:rsid w:val="001D6BCF"/>
    <w:rsid w:val="001E01CA"/>
    <w:rsid w:val="002060D9"/>
    <w:rsid w:val="00226822"/>
    <w:rsid w:val="00260594"/>
    <w:rsid w:val="00276E7F"/>
    <w:rsid w:val="00285017"/>
    <w:rsid w:val="002A2D2E"/>
    <w:rsid w:val="002A757E"/>
    <w:rsid w:val="00343749"/>
    <w:rsid w:val="00357D50"/>
    <w:rsid w:val="003925DC"/>
    <w:rsid w:val="003B0550"/>
    <w:rsid w:val="003B694F"/>
    <w:rsid w:val="003F171C"/>
    <w:rsid w:val="00412FC5"/>
    <w:rsid w:val="00422276"/>
    <w:rsid w:val="004242F1"/>
    <w:rsid w:val="004255F4"/>
    <w:rsid w:val="00445A00"/>
    <w:rsid w:val="00451B0F"/>
    <w:rsid w:val="0046125F"/>
    <w:rsid w:val="00487524"/>
    <w:rsid w:val="00496106"/>
    <w:rsid w:val="0049728E"/>
    <w:rsid w:val="004C12D0"/>
    <w:rsid w:val="004C2EE3"/>
    <w:rsid w:val="004D3B9B"/>
    <w:rsid w:val="004E4A22"/>
    <w:rsid w:val="004F30A3"/>
    <w:rsid w:val="00511968"/>
    <w:rsid w:val="0055614C"/>
    <w:rsid w:val="005A23B4"/>
    <w:rsid w:val="005D2E8B"/>
    <w:rsid w:val="00607BA5"/>
    <w:rsid w:val="00626EB6"/>
    <w:rsid w:val="006353A3"/>
    <w:rsid w:val="00637E33"/>
    <w:rsid w:val="00655D03"/>
    <w:rsid w:val="00683F84"/>
    <w:rsid w:val="00687B71"/>
    <w:rsid w:val="006A1B80"/>
    <w:rsid w:val="006A2564"/>
    <w:rsid w:val="006A6A81"/>
    <w:rsid w:val="006B48BA"/>
    <w:rsid w:val="006B5FEA"/>
    <w:rsid w:val="006E26AF"/>
    <w:rsid w:val="006F7393"/>
    <w:rsid w:val="0070224F"/>
    <w:rsid w:val="007115F7"/>
    <w:rsid w:val="00785689"/>
    <w:rsid w:val="0079754B"/>
    <w:rsid w:val="007A1E6D"/>
    <w:rsid w:val="00803611"/>
    <w:rsid w:val="00822CE0"/>
    <w:rsid w:val="008254E1"/>
    <w:rsid w:val="00837C62"/>
    <w:rsid w:val="00841AB1"/>
    <w:rsid w:val="008C22FD"/>
    <w:rsid w:val="008E702D"/>
    <w:rsid w:val="009040D3"/>
    <w:rsid w:val="00910F12"/>
    <w:rsid w:val="00926503"/>
    <w:rsid w:val="00930ECF"/>
    <w:rsid w:val="00952CA7"/>
    <w:rsid w:val="009838BC"/>
    <w:rsid w:val="009D59F6"/>
    <w:rsid w:val="00A45F4F"/>
    <w:rsid w:val="00A600A9"/>
    <w:rsid w:val="00A71CC1"/>
    <w:rsid w:val="00A866AC"/>
    <w:rsid w:val="00AA55B7"/>
    <w:rsid w:val="00AA5B9E"/>
    <w:rsid w:val="00AA7337"/>
    <w:rsid w:val="00AB2407"/>
    <w:rsid w:val="00AB53DF"/>
    <w:rsid w:val="00AE3B69"/>
    <w:rsid w:val="00B07E5C"/>
    <w:rsid w:val="00B20363"/>
    <w:rsid w:val="00B326E3"/>
    <w:rsid w:val="00B811F7"/>
    <w:rsid w:val="00BA5A4F"/>
    <w:rsid w:val="00BA5DC6"/>
    <w:rsid w:val="00BA6196"/>
    <w:rsid w:val="00BC6D8C"/>
    <w:rsid w:val="00BD3185"/>
    <w:rsid w:val="00C16AF2"/>
    <w:rsid w:val="00C34006"/>
    <w:rsid w:val="00C426B1"/>
    <w:rsid w:val="00C82B6B"/>
    <w:rsid w:val="00C90D6A"/>
    <w:rsid w:val="00CA0F26"/>
    <w:rsid w:val="00CC72B6"/>
    <w:rsid w:val="00D0218D"/>
    <w:rsid w:val="00D216CD"/>
    <w:rsid w:val="00DA2529"/>
    <w:rsid w:val="00DB130A"/>
    <w:rsid w:val="00DC10A1"/>
    <w:rsid w:val="00DC3AA8"/>
    <w:rsid w:val="00DC655F"/>
    <w:rsid w:val="00DD7EBD"/>
    <w:rsid w:val="00DF62B6"/>
    <w:rsid w:val="00E07225"/>
    <w:rsid w:val="00E155B7"/>
    <w:rsid w:val="00E34CFC"/>
    <w:rsid w:val="00E5409F"/>
    <w:rsid w:val="00E93CE3"/>
    <w:rsid w:val="00EA28D8"/>
    <w:rsid w:val="00EC0185"/>
    <w:rsid w:val="00EC2FA4"/>
    <w:rsid w:val="00EE57B1"/>
    <w:rsid w:val="00F021FA"/>
    <w:rsid w:val="00F4176C"/>
    <w:rsid w:val="00F57ACA"/>
    <w:rsid w:val="00F62E97"/>
    <w:rsid w:val="00F64209"/>
    <w:rsid w:val="00F76352"/>
    <w:rsid w:val="00F93BF5"/>
    <w:rsid w:val="00F96F63"/>
    <w:rsid w:val="00FA72F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0C44B87-06CF-46C7-83C0-B0308263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DE2"/>
    <w:pPr>
      <w:widowControl w:val="0"/>
    </w:pPr>
    <w:rPr>
      <w:snapToGrid w:val="0"/>
      <w:kern w:val="28"/>
      <w:sz w:val="22"/>
    </w:rPr>
  </w:style>
  <w:style w:type="paragraph" w:styleId="Heading1">
    <w:name w:val="heading 1"/>
    <w:basedOn w:val="Normal"/>
    <w:next w:val="ParaNum"/>
    <w:qFormat/>
    <w:rsid w:val="000D0DE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D0DE2"/>
    <w:pPr>
      <w:keepNext/>
      <w:numPr>
        <w:ilvl w:val="1"/>
        <w:numId w:val="3"/>
      </w:numPr>
      <w:spacing w:after="120"/>
      <w:outlineLvl w:val="1"/>
    </w:pPr>
    <w:rPr>
      <w:b/>
    </w:rPr>
  </w:style>
  <w:style w:type="paragraph" w:styleId="Heading3">
    <w:name w:val="heading 3"/>
    <w:basedOn w:val="Normal"/>
    <w:next w:val="ParaNum"/>
    <w:qFormat/>
    <w:rsid w:val="000D0DE2"/>
    <w:pPr>
      <w:keepNext/>
      <w:numPr>
        <w:ilvl w:val="2"/>
        <w:numId w:val="3"/>
      </w:numPr>
      <w:tabs>
        <w:tab w:val="left" w:pos="2160"/>
      </w:tabs>
      <w:spacing w:after="120"/>
      <w:outlineLvl w:val="2"/>
    </w:pPr>
    <w:rPr>
      <w:b/>
    </w:rPr>
  </w:style>
  <w:style w:type="paragraph" w:styleId="Heading4">
    <w:name w:val="heading 4"/>
    <w:basedOn w:val="Normal"/>
    <w:next w:val="ParaNum"/>
    <w:qFormat/>
    <w:rsid w:val="000D0DE2"/>
    <w:pPr>
      <w:keepNext/>
      <w:numPr>
        <w:ilvl w:val="3"/>
        <w:numId w:val="3"/>
      </w:numPr>
      <w:tabs>
        <w:tab w:val="left" w:pos="2880"/>
      </w:tabs>
      <w:spacing w:after="120"/>
      <w:outlineLvl w:val="3"/>
    </w:pPr>
    <w:rPr>
      <w:b/>
    </w:rPr>
  </w:style>
  <w:style w:type="paragraph" w:styleId="Heading5">
    <w:name w:val="heading 5"/>
    <w:basedOn w:val="Normal"/>
    <w:next w:val="ParaNum"/>
    <w:qFormat/>
    <w:rsid w:val="000D0DE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D0DE2"/>
    <w:pPr>
      <w:numPr>
        <w:ilvl w:val="5"/>
        <w:numId w:val="3"/>
      </w:numPr>
      <w:tabs>
        <w:tab w:val="left" w:pos="4320"/>
      </w:tabs>
      <w:spacing w:after="120"/>
      <w:outlineLvl w:val="5"/>
    </w:pPr>
    <w:rPr>
      <w:b/>
    </w:rPr>
  </w:style>
  <w:style w:type="paragraph" w:styleId="Heading7">
    <w:name w:val="heading 7"/>
    <w:basedOn w:val="Normal"/>
    <w:next w:val="ParaNum"/>
    <w:qFormat/>
    <w:rsid w:val="000D0DE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D0DE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D0DE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0D0D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0D0DE2"/>
  </w:style>
  <w:style w:type="paragraph" w:customStyle="1" w:styleId="ParaNum">
    <w:name w:val="ParaNum"/>
    <w:basedOn w:val="Normal"/>
    <w:rsid w:val="000D0DE2"/>
    <w:pPr>
      <w:numPr>
        <w:numId w:val="2"/>
      </w:numPr>
      <w:tabs>
        <w:tab w:val="clear" w:pos="1080"/>
        <w:tab w:val="num" w:pos="1440"/>
      </w:tabs>
      <w:spacing w:after="120"/>
    </w:pPr>
  </w:style>
  <w:style w:type="paragraph" w:styleId="EndnoteText">
    <w:name w:val="endnote text"/>
    <w:basedOn w:val="Normal"/>
    <w:semiHidden/>
    <w:rsid w:val="000D0DE2"/>
    <w:rPr>
      <w:sz w:val="20"/>
    </w:rPr>
  </w:style>
  <w:style w:type="character" w:styleId="EndnoteReference">
    <w:name w:val="endnote reference"/>
    <w:semiHidden/>
    <w:rsid w:val="000D0DE2"/>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0D0DE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0D0DE2"/>
    <w:rPr>
      <w:rFonts w:ascii="Times New Roman" w:hAnsi="Times New Roman"/>
      <w:dstrike w:val="0"/>
      <w:color w:val="auto"/>
      <w:sz w:val="22"/>
      <w:vertAlign w:val="superscript"/>
    </w:rPr>
  </w:style>
  <w:style w:type="paragraph" w:styleId="TOC1">
    <w:name w:val="toc 1"/>
    <w:basedOn w:val="Normal"/>
    <w:next w:val="Normal"/>
    <w:uiPriority w:val="39"/>
    <w:rsid w:val="000D0DE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D0DE2"/>
    <w:pPr>
      <w:tabs>
        <w:tab w:val="left" w:pos="720"/>
        <w:tab w:val="right" w:leader="dot" w:pos="9360"/>
      </w:tabs>
      <w:suppressAutoHyphens/>
      <w:ind w:left="720" w:right="720" w:hanging="360"/>
    </w:pPr>
    <w:rPr>
      <w:noProof/>
    </w:rPr>
  </w:style>
  <w:style w:type="paragraph" w:styleId="TOC3">
    <w:name w:val="toc 3"/>
    <w:basedOn w:val="Normal"/>
    <w:next w:val="Normal"/>
    <w:semiHidden/>
    <w:rsid w:val="000D0DE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D0DE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D0DE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D0DE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D0DE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D0DE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D0DE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D0DE2"/>
    <w:pPr>
      <w:tabs>
        <w:tab w:val="right" w:pos="9360"/>
      </w:tabs>
      <w:suppressAutoHyphens/>
    </w:pPr>
  </w:style>
  <w:style w:type="character" w:customStyle="1" w:styleId="EquationCaption">
    <w:name w:val="_Equation Caption"/>
    <w:rsid w:val="000D0DE2"/>
  </w:style>
  <w:style w:type="paragraph" w:styleId="Header">
    <w:name w:val="header"/>
    <w:basedOn w:val="Normal"/>
    <w:autoRedefine/>
    <w:rsid w:val="000D0DE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0D0DE2"/>
    <w:pPr>
      <w:tabs>
        <w:tab w:val="center" w:pos="4320"/>
        <w:tab w:val="right" w:pos="8640"/>
      </w:tabs>
    </w:pPr>
  </w:style>
  <w:style w:type="character" w:styleId="PageNumber">
    <w:name w:val="page number"/>
    <w:basedOn w:val="DefaultParagraphFont"/>
    <w:rsid w:val="000D0DE2"/>
  </w:style>
  <w:style w:type="paragraph" w:styleId="BlockText">
    <w:name w:val="Block Text"/>
    <w:basedOn w:val="Normal"/>
    <w:rsid w:val="000D0DE2"/>
    <w:pPr>
      <w:spacing w:after="240"/>
      <w:ind w:left="1440" w:right="1440"/>
    </w:pPr>
  </w:style>
  <w:style w:type="paragraph" w:customStyle="1" w:styleId="Paratitle">
    <w:name w:val="Para title"/>
    <w:basedOn w:val="Normal"/>
    <w:rsid w:val="000D0DE2"/>
    <w:pPr>
      <w:tabs>
        <w:tab w:val="center" w:pos="9270"/>
      </w:tabs>
      <w:spacing w:after="240"/>
    </w:pPr>
    <w:rPr>
      <w:spacing w:val="-2"/>
    </w:rPr>
  </w:style>
  <w:style w:type="paragraph" w:customStyle="1" w:styleId="Bullet">
    <w:name w:val="Bullet"/>
    <w:basedOn w:val="Normal"/>
    <w:rsid w:val="000D0DE2"/>
    <w:pPr>
      <w:numPr>
        <w:numId w:val="1"/>
      </w:numPr>
      <w:tabs>
        <w:tab w:val="clear" w:pos="360"/>
        <w:tab w:val="left" w:pos="2160"/>
      </w:tabs>
      <w:spacing w:after="220"/>
      <w:ind w:left="2160" w:hanging="720"/>
    </w:pPr>
  </w:style>
  <w:style w:type="paragraph" w:customStyle="1" w:styleId="TableFormat">
    <w:name w:val="TableFormat"/>
    <w:basedOn w:val="Bullet"/>
    <w:rsid w:val="000D0DE2"/>
    <w:pPr>
      <w:numPr>
        <w:numId w:val="0"/>
      </w:numPr>
      <w:tabs>
        <w:tab w:val="clear" w:pos="2160"/>
        <w:tab w:val="left" w:pos="5040"/>
      </w:tabs>
      <w:ind w:left="5040" w:hanging="3600"/>
    </w:pPr>
  </w:style>
  <w:style w:type="paragraph" w:customStyle="1" w:styleId="TOCTitle">
    <w:name w:val="TOC Title"/>
    <w:basedOn w:val="Normal"/>
    <w:rsid w:val="000D0DE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D0DE2"/>
    <w:pPr>
      <w:jc w:val="center"/>
    </w:pPr>
    <w:rPr>
      <w:rFonts w:ascii="Times New Roman Bold" w:hAnsi="Times New Roman Bold"/>
      <w:b/>
      <w:bCs/>
      <w:caps/>
      <w:szCs w:val="22"/>
    </w:rPr>
  </w:style>
  <w:style w:type="character" w:styleId="Hyperlink">
    <w:name w:val="Hyperlink"/>
    <w:rsid w:val="000D0DE2"/>
    <w:rPr>
      <w:color w:val="0000FF"/>
      <w:u w:val="single"/>
    </w:rPr>
  </w:style>
  <w:style w:type="character" w:customStyle="1" w:styleId="FooterChar">
    <w:name w:val="Footer Char"/>
    <w:link w:val="Footer"/>
    <w:uiPriority w:val="99"/>
    <w:rsid w:val="000D0DE2"/>
    <w:rPr>
      <w:snapToGrid w:val="0"/>
      <w:kern w:val="28"/>
      <w:sz w:val="22"/>
    </w:rPr>
  </w:style>
  <w:style w:type="character" w:customStyle="1" w:styleId="FootnoteTextChar">
    <w:name w:val="Footnote Text Char"/>
    <w:aliases w:val="Footnote Text Char Char1 Char Char,Footnote Text Char Char1 Char Char Char1 Char,Footnote Text Char1 Char Char,Footnote Text Char1 Char Char Char1 Char Char Char,Footnote Text Char2 Char1 Char Char Char,fn Char Char Char,fn Char Char1"/>
    <w:link w:val="FootnoteText"/>
    <w:locked/>
    <w:rsid w:val="005D2E8B"/>
  </w:style>
  <w:style w:type="paragraph" w:styleId="BalloonText">
    <w:name w:val="Balloon Text"/>
    <w:basedOn w:val="Normal"/>
    <w:link w:val="BalloonTextChar"/>
    <w:uiPriority w:val="99"/>
    <w:semiHidden/>
    <w:unhideWhenUsed/>
    <w:rsid w:val="00A71C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CC1"/>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athy.Berthot@fcc.gov" TargetMode="External" /><Relationship Id="rId6" Type="http://schemas.openxmlformats.org/officeDocument/2006/relationships/hyperlink" Target="mailto:Evan.Morris@fcc.gov" TargetMode="External" /><Relationship Id="rId7" Type="http://schemas.openxmlformats.org/officeDocument/2006/relationships/hyperlink" Target="mailto:Hossein.Hashemzadeh@fcc.gov" TargetMode="External" /><Relationship Id="rId8" Type="http://schemas.openxmlformats.org/officeDocument/2006/relationships/hyperlink" Target="mailto:Kevin.Harding@fcc.gov" TargetMode="External" /><Relationship Id="rId9" Type="http://schemas.openxmlformats.org/officeDocument/2006/relationships/hyperlink" Target="mailto:Janice.Wise@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