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D3DD9" w:rsidRPr="00BF48B7" w:rsidP="00BD3DD9">
      <w:pPr>
        <w:jc w:val="center"/>
        <w:rPr>
          <w:b/>
        </w:rPr>
      </w:pPr>
      <w:bookmarkStart w:id="0" w:name="_GoBack"/>
      <w:bookmarkEnd w:id="0"/>
      <w:r w:rsidRPr="00BF48B7">
        <w:rPr>
          <w:b/>
        </w:rPr>
        <w:t>Before the</w:t>
      </w:r>
    </w:p>
    <w:p w:rsidR="00BD3DD9" w:rsidRPr="00BF48B7" w:rsidP="00BD3DD9">
      <w:pPr>
        <w:jc w:val="center"/>
        <w:rPr>
          <w:b/>
        </w:rPr>
      </w:pPr>
      <w:r w:rsidRPr="00BF48B7">
        <w:rPr>
          <w:b/>
        </w:rPr>
        <w:t>Federal Communications Commission</w:t>
      </w:r>
    </w:p>
    <w:p w:rsidR="00BD3DD9" w:rsidRPr="00BF48B7" w:rsidP="00BD3DD9">
      <w:pPr>
        <w:jc w:val="center"/>
        <w:rPr>
          <w:b/>
        </w:rPr>
      </w:pPr>
      <w:r w:rsidRPr="00BF48B7">
        <w:rPr>
          <w:b/>
        </w:rPr>
        <w:t>Washington, D.C. 20554</w:t>
      </w:r>
    </w:p>
    <w:p w:rsidR="00BD3DD9" w:rsidRPr="005051CD" w:rsidP="00BD3DD9"/>
    <w:tbl>
      <w:tblPr>
        <w:tblW w:w="9648" w:type="dxa"/>
        <w:tblLayout w:type="fixed"/>
        <w:tblLook w:val="0000"/>
      </w:tblPr>
      <w:tblGrid>
        <w:gridCol w:w="4698"/>
        <w:gridCol w:w="720"/>
        <w:gridCol w:w="4230"/>
      </w:tblGrid>
      <w:tr w:rsidTr="00BD3DD9">
        <w:tblPrEx>
          <w:tblW w:w="9648" w:type="dxa"/>
          <w:tblLayout w:type="fixed"/>
          <w:tblLook w:val="0000"/>
        </w:tblPrEx>
        <w:tc>
          <w:tcPr>
            <w:tcW w:w="4698" w:type="dxa"/>
          </w:tcPr>
          <w:p w:rsidR="00BD3DD9" w:rsidRPr="00ED3FF9" w:rsidP="00BD3DD9">
            <w:pPr>
              <w:widowControl/>
              <w:tabs>
                <w:tab w:val="center" w:pos="4680"/>
              </w:tabs>
              <w:suppressAutoHyphens/>
              <w:rPr>
                <w:rFonts w:eastAsia="Calibri"/>
                <w:snapToGrid/>
                <w:spacing w:val="-2"/>
                <w:kern w:val="0"/>
                <w:szCs w:val="22"/>
              </w:rPr>
            </w:pPr>
            <w:r w:rsidRPr="00ED3FF9">
              <w:rPr>
                <w:rFonts w:eastAsia="Calibri"/>
                <w:snapToGrid/>
                <w:spacing w:val="-2"/>
                <w:kern w:val="0"/>
                <w:szCs w:val="22"/>
              </w:rPr>
              <w:t>In the Matter of</w:t>
            </w:r>
          </w:p>
          <w:p w:rsidR="00BD3DD9" w:rsidRPr="00ED3FF9" w:rsidP="00BD3DD9">
            <w:pPr>
              <w:widowControl/>
              <w:tabs>
                <w:tab w:val="center" w:pos="4680"/>
              </w:tabs>
              <w:suppressAutoHyphens/>
              <w:rPr>
                <w:rFonts w:eastAsia="Calibri"/>
                <w:snapToGrid/>
                <w:spacing w:val="-2"/>
                <w:kern w:val="0"/>
                <w:szCs w:val="22"/>
              </w:rPr>
            </w:pPr>
          </w:p>
          <w:p w:rsidR="00BD3DD9" w:rsidRPr="00ED3FF9" w:rsidP="00BD3DD9">
            <w:pPr>
              <w:widowControl/>
              <w:tabs>
                <w:tab w:val="center" w:pos="4680"/>
              </w:tabs>
              <w:suppressAutoHyphens/>
              <w:rPr>
                <w:rFonts w:eastAsia="Calibri"/>
                <w:snapToGrid/>
                <w:kern w:val="0"/>
                <w:szCs w:val="18"/>
              </w:rPr>
            </w:pPr>
            <w:r w:rsidRPr="00ED3FF9">
              <w:rPr>
                <w:rFonts w:eastAsia="Calibri"/>
                <w:snapToGrid/>
                <w:kern w:val="0"/>
                <w:szCs w:val="18"/>
              </w:rPr>
              <w:t>Hemisphere Media Group, Inc.</w:t>
            </w:r>
          </w:p>
          <w:p w:rsidR="00BD3DD9" w:rsidRPr="00ED3FF9" w:rsidP="00BD3DD9">
            <w:pPr>
              <w:widowControl/>
              <w:tabs>
                <w:tab w:val="center" w:pos="4680"/>
              </w:tabs>
              <w:suppressAutoHyphens/>
              <w:rPr>
                <w:rFonts w:eastAsia="Calibri"/>
                <w:snapToGrid/>
                <w:kern w:val="0"/>
                <w:szCs w:val="18"/>
              </w:rPr>
            </w:pPr>
          </w:p>
          <w:p w:rsidR="00BD3DD9" w:rsidRPr="005051CD" w:rsidP="00BD3DD9">
            <w:r w:rsidRPr="00ED3FF9">
              <w:rPr>
                <w:rFonts w:eastAsia="Calibri"/>
                <w:snapToGrid/>
                <w:kern w:val="0"/>
                <w:szCs w:val="18"/>
              </w:rPr>
              <w:t>Petition for Declaratory Ruling</w:t>
            </w:r>
          </w:p>
        </w:tc>
        <w:tc>
          <w:tcPr>
            <w:tcW w:w="720" w:type="dxa"/>
          </w:tcPr>
          <w:p w:rsidR="00BD3DD9" w:rsidRPr="00BF48B7" w:rsidP="00BD3DD9">
            <w:pPr>
              <w:rPr>
                <w:b/>
              </w:rPr>
            </w:pPr>
            <w:r w:rsidRPr="00BF48B7">
              <w:rPr>
                <w:b/>
              </w:rPr>
              <w:t>)</w:t>
            </w:r>
          </w:p>
          <w:p w:rsidR="00BD3DD9" w:rsidRPr="00BF48B7" w:rsidP="00BD3DD9">
            <w:pPr>
              <w:rPr>
                <w:b/>
              </w:rPr>
            </w:pPr>
            <w:r w:rsidRPr="00BF48B7">
              <w:rPr>
                <w:b/>
              </w:rPr>
              <w:t>)</w:t>
            </w:r>
          </w:p>
          <w:p w:rsidR="00BD3DD9" w:rsidRPr="00BF48B7" w:rsidP="00BD3DD9">
            <w:pPr>
              <w:rPr>
                <w:b/>
              </w:rPr>
            </w:pPr>
            <w:r w:rsidRPr="00BF48B7">
              <w:rPr>
                <w:b/>
              </w:rPr>
              <w:t>)</w:t>
            </w:r>
          </w:p>
          <w:p w:rsidR="00BD3DD9" w:rsidRPr="00BF48B7" w:rsidP="00BD3DD9">
            <w:pPr>
              <w:rPr>
                <w:b/>
              </w:rPr>
            </w:pPr>
            <w:r w:rsidRPr="00BF48B7">
              <w:rPr>
                <w:b/>
              </w:rPr>
              <w:t>)</w:t>
            </w:r>
          </w:p>
          <w:p w:rsidR="00BD3DD9" w:rsidP="00BD3DD9">
            <w:pPr>
              <w:rPr>
                <w:b/>
              </w:rPr>
            </w:pPr>
            <w:r w:rsidRPr="00BF48B7">
              <w:rPr>
                <w:b/>
              </w:rPr>
              <w:t>)</w:t>
            </w:r>
          </w:p>
          <w:p w:rsidR="00A33B05" w:rsidRPr="00BF48B7" w:rsidP="00BD3DD9">
            <w:pPr>
              <w:rPr>
                <w:b/>
              </w:rPr>
            </w:pPr>
            <w:r>
              <w:rPr>
                <w:b/>
              </w:rPr>
              <w:t>)</w:t>
            </w:r>
          </w:p>
          <w:p w:rsidR="00BD3DD9" w:rsidRPr="00BF48B7" w:rsidP="00BD3DD9">
            <w:pPr>
              <w:rPr>
                <w:b/>
              </w:rPr>
            </w:pPr>
          </w:p>
        </w:tc>
        <w:tc>
          <w:tcPr>
            <w:tcW w:w="4230" w:type="dxa"/>
          </w:tcPr>
          <w:p w:rsidR="00BD3DD9" w:rsidRPr="005051CD" w:rsidP="00BD3DD9"/>
          <w:p w:rsidR="00BD3DD9" w:rsidRPr="005051CD" w:rsidP="00BD3DD9"/>
          <w:p w:rsidR="00BD3DD9" w:rsidRPr="005051CD" w:rsidP="00BD3DD9">
            <w:r w:rsidRPr="00793F64">
              <w:rPr>
                <w:spacing w:val="-2"/>
              </w:rPr>
              <w:t xml:space="preserve">MB Docket No. </w:t>
            </w:r>
            <w:r>
              <w:rPr>
                <w:spacing w:val="-2"/>
              </w:rPr>
              <w:t>1</w:t>
            </w:r>
            <w:r w:rsidR="001676B1">
              <w:rPr>
                <w:spacing w:val="-2"/>
              </w:rPr>
              <w:t>9</w:t>
            </w:r>
            <w:r>
              <w:rPr>
                <w:spacing w:val="-2"/>
              </w:rPr>
              <w:t>-1</w:t>
            </w:r>
            <w:r w:rsidR="001676B1">
              <w:rPr>
                <w:spacing w:val="-2"/>
              </w:rPr>
              <w:t>94</w:t>
            </w:r>
          </w:p>
          <w:p w:rsidR="00BD3DD9" w:rsidRPr="005051CD" w:rsidP="00BD3DD9"/>
          <w:p w:rsidR="00BD3DD9" w:rsidRPr="005051CD" w:rsidP="00BD3DD9"/>
        </w:tc>
      </w:tr>
    </w:tbl>
    <w:p w:rsidR="00BD3DD9" w:rsidRPr="00ED3FF9" w:rsidP="00BD3DD9">
      <w:pPr>
        <w:jc w:val="center"/>
        <w:rPr>
          <w:b/>
          <w:bCs/>
          <w:caps/>
          <w:szCs w:val="22"/>
        </w:rPr>
      </w:pPr>
      <w:bookmarkStart w:id="1" w:name="FN[FN4]"/>
      <w:bookmarkEnd w:id="1"/>
      <w:r w:rsidRPr="00ED3FF9">
        <w:rPr>
          <w:b/>
          <w:bCs/>
          <w:caps/>
          <w:szCs w:val="22"/>
        </w:rPr>
        <w:t>DECLARATORY RULING</w:t>
      </w:r>
      <w:r w:rsidRPr="00A46AFA" w:rsidR="00A46AFA">
        <w:t xml:space="preserve"> </w:t>
      </w:r>
      <w:r w:rsidRPr="00A46AFA" w:rsidR="00A46AFA">
        <w:rPr>
          <w:b/>
          <w:bCs/>
          <w:caps/>
          <w:szCs w:val="22"/>
        </w:rPr>
        <w:t>AND MEMORANDUM OPINION AND ORDER</w:t>
      </w:r>
    </w:p>
    <w:p w:rsidR="00BD3DD9" w:rsidRPr="00ED3FF9" w:rsidP="00BD3DD9">
      <w:pPr>
        <w:widowControl/>
        <w:tabs>
          <w:tab w:val="left" w:pos="-720"/>
        </w:tabs>
        <w:suppressAutoHyphens/>
        <w:spacing w:line="227" w:lineRule="auto"/>
        <w:rPr>
          <w:rFonts w:eastAsia="Calibri"/>
          <w:snapToGrid/>
          <w:spacing w:val="-2"/>
          <w:kern w:val="0"/>
          <w:szCs w:val="22"/>
        </w:rPr>
      </w:pPr>
    </w:p>
    <w:p w:rsidR="00BD3DD9" w:rsidRPr="00ED3FF9" w:rsidP="00BD3DD9">
      <w:pPr>
        <w:widowControl/>
        <w:tabs>
          <w:tab w:val="left" w:pos="720"/>
          <w:tab w:val="right" w:pos="9360"/>
        </w:tabs>
        <w:suppressAutoHyphens/>
        <w:spacing w:line="227" w:lineRule="auto"/>
        <w:rPr>
          <w:rFonts w:eastAsia="Calibri"/>
          <w:b/>
          <w:snapToGrid/>
          <w:spacing w:val="-2"/>
          <w:kern w:val="0"/>
          <w:szCs w:val="22"/>
        </w:rPr>
      </w:pPr>
      <w:r w:rsidRPr="00ED3FF9">
        <w:rPr>
          <w:rFonts w:eastAsia="Calibri"/>
          <w:b/>
          <w:snapToGrid/>
          <w:spacing w:val="-2"/>
          <w:kern w:val="0"/>
          <w:szCs w:val="22"/>
        </w:rPr>
        <w:t xml:space="preserve">Adopted:  </w:t>
      </w:r>
      <w:r w:rsidR="00E000CD">
        <w:rPr>
          <w:rFonts w:eastAsia="Calibri"/>
          <w:b/>
          <w:snapToGrid/>
          <w:spacing w:val="-2"/>
          <w:kern w:val="0"/>
          <w:szCs w:val="22"/>
        </w:rPr>
        <w:t>November 18</w:t>
      </w:r>
      <w:r>
        <w:rPr>
          <w:rFonts w:eastAsia="Calibri"/>
          <w:b/>
          <w:snapToGrid/>
          <w:spacing w:val="-2"/>
          <w:kern w:val="0"/>
          <w:szCs w:val="22"/>
        </w:rPr>
        <w:t>, 201</w:t>
      </w:r>
      <w:r w:rsidR="001676B1">
        <w:rPr>
          <w:rFonts w:eastAsia="Calibri"/>
          <w:b/>
          <w:snapToGrid/>
          <w:spacing w:val="-2"/>
          <w:kern w:val="0"/>
          <w:szCs w:val="22"/>
        </w:rPr>
        <w:t>9</w:t>
      </w:r>
      <w:r w:rsidRPr="00ED3FF9">
        <w:rPr>
          <w:rFonts w:eastAsia="Calibri"/>
          <w:b/>
          <w:snapToGrid/>
          <w:spacing w:val="-2"/>
          <w:kern w:val="0"/>
          <w:szCs w:val="22"/>
        </w:rPr>
        <w:tab/>
        <w:t xml:space="preserve">Released:  </w:t>
      </w:r>
      <w:r w:rsidR="00E000CD">
        <w:rPr>
          <w:rFonts w:eastAsia="Calibri"/>
          <w:b/>
          <w:snapToGrid/>
          <w:spacing w:val="-2"/>
          <w:kern w:val="0"/>
          <w:szCs w:val="22"/>
        </w:rPr>
        <w:t>November 19</w:t>
      </w:r>
      <w:r>
        <w:rPr>
          <w:rFonts w:eastAsia="Calibri"/>
          <w:b/>
          <w:snapToGrid/>
          <w:spacing w:val="-2"/>
          <w:kern w:val="0"/>
          <w:szCs w:val="22"/>
        </w:rPr>
        <w:t>, 201</w:t>
      </w:r>
      <w:r w:rsidR="001676B1">
        <w:rPr>
          <w:rFonts w:eastAsia="Calibri"/>
          <w:b/>
          <w:snapToGrid/>
          <w:spacing w:val="-2"/>
          <w:kern w:val="0"/>
          <w:szCs w:val="22"/>
        </w:rPr>
        <w:t>9</w:t>
      </w:r>
    </w:p>
    <w:p w:rsidR="00BD3DD9" w:rsidRPr="00ED3FF9" w:rsidP="00BD3DD9">
      <w:pPr>
        <w:widowControl/>
        <w:tabs>
          <w:tab w:val="left" w:pos="720"/>
          <w:tab w:val="right" w:pos="9360"/>
        </w:tabs>
        <w:suppressAutoHyphens/>
        <w:spacing w:line="227" w:lineRule="auto"/>
        <w:rPr>
          <w:rFonts w:eastAsia="Calibri"/>
          <w:b/>
          <w:snapToGrid/>
          <w:spacing w:val="-2"/>
          <w:kern w:val="0"/>
          <w:szCs w:val="22"/>
        </w:rPr>
      </w:pPr>
    </w:p>
    <w:p w:rsidR="00BD3DD9" w:rsidRPr="00ED3FF9" w:rsidP="00BD3DD9">
      <w:pPr>
        <w:widowControl/>
        <w:tabs>
          <w:tab w:val="left" w:pos="720"/>
          <w:tab w:val="right" w:pos="9360"/>
        </w:tabs>
        <w:suppressAutoHyphens/>
        <w:spacing w:line="227" w:lineRule="auto"/>
        <w:rPr>
          <w:rFonts w:ascii="Calibri" w:eastAsia="Calibri" w:hAnsi="Calibri"/>
          <w:snapToGrid/>
          <w:spacing w:val="-2"/>
          <w:kern w:val="0"/>
          <w:szCs w:val="22"/>
        </w:rPr>
      </w:pPr>
      <w:r w:rsidRPr="00ED3FF9">
        <w:rPr>
          <w:rFonts w:eastAsia="Calibri"/>
          <w:snapToGrid/>
          <w:spacing w:val="-2"/>
          <w:kern w:val="0"/>
          <w:szCs w:val="22"/>
        </w:rPr>
        <w:t>By the Chief,</w:t>
      </w:r>
      <w:r w:rsidR="00327604">
        <w:rPr>
          <w:rFonts w:eastAsia="Calibri"/>
          <w:snapToGrid/>
          <w:spacing w:val="-2"/>
          <w:kern w:val="0"/>
          <w:szCs w:val="22"/>
        </w:rPr>
        <w:t xml:space="preserve"> Video Division,</w:t>
      </w:r>
      <w:r w:rsidRPr="00ED3FF9">
        <w:rPr>
          <w:rFonts w:eastAsia="Calibri"/>
          <w:snapToGrid/>
          <w:spacing w:val="-2"/>
          <w:kern w:val="0"/>
          <w:szCs w:val="22"/>
        </w:rPr>
        <w:t xml:space="preserve"> Media Bureau</w:t>
      </w:r>
      <w:r w:rsidRPr="00ED3FF9">
        <w:rPr>
          <w:rFonts w:ascii="Calibri" w:eastAsia="Calibri" w:hAnsi="Calibri"/>
          <w:snapToGrid/>
          <w:spacing w:val="-2"/>
          <w:kern w:val="0"/>
          <w:szCs w:val="22"/>
        </w:rPr>
        <w:t>:</w:t>
      </w:r>
    </w:p>
    <w:p w:rsidR="00BD3DD9" w:rsidRPr="00ED3FF9" w:rsidP="00BD3DD9">
      <w:pPr>
        <w:widowControl/>
        <w:tabs>
          <w:tab w:val="left" w:pos="720"/>
          <w:tab w:val="right" w:pos="9360"/>
        </w:tabs>
        <w:suppressAutoHyphens/>
        <w:spacing w:line="227" w:lineRule="auto"/>
        <w:rPr>
          <w:rFonts w:ascii="Calibri" w:eastAsia="Calibri" w:hAnsi="Calibri"/>
          <w:snapToGrid/>
          <w:spacing w:val="-2"/>
          <w:kern w:val="0"/>
          <w:szCs w:val="22"/>
        </w:rPr>
      </w:pPr>
    </w:p>
    <w:p w:rsidR="00BD3DD9" w:rsidRPr="00DD07E5" w:rsidP="00380BAE">
      <w:pPr>
        <w:pStyle w:val="ParaNum"/>
        <w:widowControl/>
        <w:rPr>
          <w:snapToGrid/>
        </w:rPr>
      </w:pPr>
      <w:r>
        <w:t xml:space="preserve">In this </w:t>
      </w:r>
      <w:r w:rsidRPr="00A46AFA">
        <w:t>Declaratory Ruling and Memorandum Opinion and Order</w:t>
      </w:r>
      <w:r w:rsidR="00064C3C">
        <w:t xml:space="preserve"> (Declaratory Ruling)</w:t>
      </w:r>
      <w:r w:rsidRPr="00A46AFA">
        <w:t>,</w:t>
      </w:r>
      <w:r>
        <w:t xml:space="preserve"> </w:t>
      </w:r>
      <w:r w:rsidR="00327604">
        <w:t xml:space="preserve">the </w:t>
      </w:r>
      <w:r>
        <w:t xml:space="preserve">Media Bureau (Bureau) </w:t>
      </w:r>
      <w:bookmarkStart w:id="2" w:name="_Hlk24978534"/>
      <w:r w:rsidR="000B6832">
        <w:t>grants</w:t>
      </w:r>
      <w:r>
        <w:t xml:space="preserve"> a </w:t>
      </w:r>
      <w:r w:rsidR="0041506D">
        <w:t>P</w:t>
      </w:r>
      <w:r>
        <w:t xml:space="preserve">etition for </w:t>
      </w:r>
      <w:r w:rsidR="0041506D">
        <w:t>D</w:t>
      </w:r>
      <w:r>
        <w:t xml:space="preserve">eclaratory </w:t>
      </w:r>
      <w:r w:rsidR="0041506D">
        <w:t>R</w:t>
      </w:r>
      <w:r>
        <w:t>uling (Petition)</w:t>
      </w:r>
      <w:r>
        <w:rPr>
          <w:snapToGrid/>
          <w:vertAlign w:val="superscript"/>
        </w:rPr>
        <w:footnoteReference w:id="3"/>
      </w:r>
      <w:r>
        <w:t xml:space="preserve"> filed by </w:t>
      </w:r>
      <w:r w:rsidR="00212EDE">
        <w:t>Hemisphere Media Group, Inc. (HMTV)</w:t>
      </w:r>
      <w:r w:rsidR="006F3565">
        <w:t>.  HMTV</w:t>
      </w:r>
      <w:r w:rsidR="00212EDE">
        <w:t xml:space="preserve"> </w:t>
      </w:r>
      <w:r w:rsidR="00274562">
        <w:rPr>
          <w:snapToGrid/>
        </w:rPr>
        <w:t>request</w:t>
      </w:r>
      <w:r w:rsidR="006F3565">
        <w:rPr>
          <w:snapToGrid/>
        </w:rPr>
        <w:t>s</w:t>
      </w:r>
      <w:r w:rsidR="00274562">
        <w:rPr>
          <w:snapToGrid/>
        </w:rPr>
        <w:t xml:space="preserve"> that</w:t>
      </w:r>
      <w:r w:rsidRPr="00B53F9E" w:rsidR="00212EDE">
        <w:rPr>
          <w:snapToGrid/>
        </w:rPr>
        <w:t xml:space="preserve"> the Commission</w:t>
      </w:r>
      <w:r w:rsidR="000F1098">
        <w:t xml:space="preserve">, pursuant to its authority under section 310(b)(4) of the Communications Act </w:t>
      </w:r>
      <w:r w:rsidRPr="0074744D" w:rsidR="000F1098">
        <w:t>of 1934, as amended</w:t>
      </w:r>
      <w:r w:rsidR="000F1098">
        <w:t xml:space="preserve"> (the Act),</w:t>
      </w:r>
      <w:r>
        <w:rPr>
          <w:rStyle w:val="FootnoteReference"/>
        </w:rPr>
        <w:footnoteReference w:id="4"/>
      </w:r>
      <w:r w:rsidR="000F1098">
        <w:t xml:space="preserve"> </w:t>
      </w:r>
      <w:r w:rsidR="00212EDE">
        <w:rPr>
          <w:snapToGrid/>
        </w:rPr>
        <w:t>find that it would be in the public interest to</w:t>
      </w:r>
      <w:r w:rsidRPr="00B53F9E" w:rsidR="00212EDE">
        <w:rPr>
          <w:snapToGrid/>
        </w:rPr>
        <w:t xml:space="preserve"> </w:t>
      </w:r>
      <w:r w:rsidR="00212EDE">
        <w:rPr>
          <w:snapToGrid/>
        </w:rPr>
        <w:t xml:space="preserve">permit foreign investors to own up to 100 percent in the aggregate of both </w:t>
      </w:r>
      <w:r>
        <w:rPr>
          <w:snapToGrid/>
        </w:rPr>
        <w:t>HMTV’s</w:t>
      </w:r>
      <w:r w:rsidR="00212EDE">
        <w:rPr>
          <w:snapToGrid/>
        </w:rPr>
        <w:t xml:space="preserve"> equity and voting interests.</w:t>
      </w:r>
      <w:bookmarkEnd w:id="2"/>
      <w:r>
        <w:rPr>
          <w:rStyle w:val="FootnoteReference"/>
          <w:kern w:val="0"/>
          <w:szCs w:val="18"/>
        </w:rPr>
        <w:footnoteReference w:id="5"/>
      </w:r>
      <w:r w:rsidR="00212EDE">
        <w:rPr>
          <w:snapToGrid/>
        </w:rPr>
        <w:t xml:space="preserve">  This ruling would supersede HMTV’s existing declaratory ruling,</w:t>
      </w:r>
      <w:r w:rsidR="00274562">
        <w:rPr>
          <w:snapToGrid/>
        </w:rPr>
        <w:t xml:space="preserve"> discussed below,</w:t>
      </w:r>
      <w:r w:rsidR="00212EDE">
        <w:rPr>
          <w:snapToGrid/>
        </w:rPr>
        <w:t xml:space="preserve"> which (1) permits foreign investors to own up to 49.99 percent in the aggregate of both HMTV’s equity and voting interests and (2) provides for specific approval of various foreign entities and individuals to hold up to a 49.99 percent voting interest and up to 49.99 of the company’s equity.</w:t>
      </w:r>
      <w:r>
        <w:rPr>
          <w:rStyle w:val="FootnoteReference"/>
          <w:kern w:val="0"/>
          <w:szCs w:val="18"/>
        </w:rPr>
        <w:footnoteReference w:id="6"/>
      </w:r>
      <w:r w:rsidR="00212EDE">
        <w:rPr>
          <w:snapToGrid/>
        </w:rPr>
        <w:t xml:space="preserve">  In the Petition, HMTV also seeks specific approval of all previously approved foreign investors; HMTV does not seek approval of a change in control and does not seek specific approval of any new foreign </w:t>
      </w:r>
      <w:r w:rsidR="00212EDE">
        <w:rPr>
          <w:snapToGrid/>
        </w:rPr>
        <w:t>investors.</w:t>
      </w:r>
      <w:r>
        <w:rPr>
          <w:rStyle w:val="FootnoteReference"/>
          <w:kern w:val="0"/>
          <w:szCs w:val="18"/>
        </w:rPr>
        <w:footnoteReference w:id="7"/>
      </w:r>
      <w:r w:rsidR="001676B1">
        <w:rPr>
          <w:snapToGrid/>
        </w:rPr>
        <w:t xml:space="preserve">  </w:t>
      </w:r>
      <w:r w:rsidRPr="00914265">
        <w:t>The petition is unopposed.</w:t>
      </w:r>
      <w:r w:rsidRPr="00ED3FF9">
        <w:t xml:space="preserve">  Upon consideration of the record, we </w:t>
      </w:r>
      <w:r w:rsidRPr="0074744D" w:rsidR="000F1098">
        <w:t xml:space="preserve">find that it </w:t>
      </w:r>
      <w:r w:rsidR="000F1098">
        <w:t>will</w:t>
      </w:r>
      <w:r w:rsidRPr="0074744D" w:rsidR="000F1098">
        <w:t xml:space="preserve"> serve the public interest to </w:t>
      </w:r>
      <w:r w:rsidR="000F1098">
        <w:t xml:space="preserve">grant </w:t>
      </w:r>
      <w:r w:rsidRPr="00ED3FF9">
        <w:t>the Petition.</w:t>
      </w:r>
    </w:p>
    <w:p w:rsidR="00DD07E5" w:rsidRPr="001676B1" w:rsidP="00DD07E5">
      <w:pPr>
        <w:pStyle w:val="Heading1"/>
        <w:rPr>
          <w:snapToGrid/>
        </w:rPr>
      </w:pPr>
      <w:r>
        <w:rPr>
          <w:snapToGrid/>
        </w:rPr>
        <w:t>background</w:t>
      </w:r>
    </w:p>
    <w:p w:rsidR="00BD3DD9" w:rsidRPr="00ED3FF9" w:rsidP="00BD3DD9">
      <w:pPr>
        <w:widowControl/>
        <w:numPr>
          <w:ilvl w:val="0"/>
          <w:numId w:val="17"/>
        </w:numPr>
        <w:tabs>
          <w:tab w:val="clear" w:pos="1080"/>
          <w:tab w:val="num" w:pos="1440"/>
        </w:tabs>
        <w:spacing w:after="120"/>
      </w:pPr>
      <w:r w:rsidRPr="00ED3FF9">
        <w:rPr>
          <w:i/>
        </w:rPr>
        <w:t>Previous Declaratory Ruling</w:t>
      </w:r>
      <w:r w:rsidRPr="008674DD">
        <w:t>.</w:t>
      </w:r>
      <w:r w:rsidRPr="00ED3FF9">
        <w:t xml:space="preserve">  In the </w:t>
      </w:r>
      <w:r w:rsidR="00545E25">
        <w:rPr>
          <w:i/>
        </w:rPr>
        <w:t>2017</w:t>
      </w:r>
      <w:r w:rsidRPr="00ED3FF9">
        <w:rPr>
          <w:i/>
        </w:rPr>
        <w:t xml:space="preserve"> Declaratory Ruling</w:t>
      </w:r>
      <w:r w:rsidRPr="0059620E">
        <w:t>,</w:t>
      </w:r>
      <w:r w:rsidRPr="00ED3FF9">
        <w:rPr>
          <w:i/>
        </w:rPr>
        <w:t xml:space="preserve"> </w:t>
      </w:r>
      <w:r w:rsidRPr="00ED3FF9">
        <w:t xml:space="preserve">the Bureau, acting on delegated authority, found that the public interest would not be served by refusing to grant HMTV’s </w:t>
      </w:r>
      <w:r w:rsidR="00995DE6">
        <w:t>P</w:t>
      </w:r>
      <w:r w:rsidRPr="00ED3FF9">
        <w:t xml:space="preserve">etition for </w:t>
      </w:r>
      <w:r w:rsidR="00995DE6">
        <w:t>D</w:t>
      </w:r>
      <w:r w:rsidRPr="00ED3FF9">
        <w:t xml:space="preserve">eclaratory </w:t>
      </w:r>
      <w:r w:rsidR="00995DE6">
        <w:t>R</w:t>
      </w:r>
      <w:r w:rsidRPr="00ED3FF9">
        <w:t>uling</w:t>
      </w:r>
      <w:r>
        <w:rPr>
          <w:rStyle w:val="FootnoteReference"/>
        </w:rPr>
        <w:footnoteReference w:id="8"/>
      </w:r>
      <w:r w:rsidRPr="00ED3FF9">
        <w:t xml:space="preserve"> to permit foreign ownership above the 25 percent </w:t>
      </w:r>
      <w:r w:rsidR="009925B0">
        <w:t xml:space="preserve">benchmark </w:t>
      </w:r>
      <w:r w:rsidRPr="00ED3FF9">
        <w:t xml:space="preserve">in </w:t>
      </w:r>
      <w:r w:rsidR="0076209F">
        <w:t>s</w:t>
      </w:r>
      <w:r w:rsidRPr="00ED3FF9">
        <w:t>ection 310(b)(4) and</w:t>
      </w:r>
      <w:r w:rsidR="003635FD">
        <w:t>, specifically, to permit aggregate foreign equity and voting interests in HMTV to increase up to and including</w:t>
      </w:r>
      <w:r w:rsidRPr="00ED3FF9">
        <w:t xml:space="preserve"> 49.99 percent </w:t>
      </w:r>
      <w:r w:rsidR="003635FD">
        <w:t xml:space="preserve">of its </w:t>
      </w:r>
      <w:r w:rsidRPr="00ED3FF9">
        <w:t>voting interests and up to 49.99 of the company’s equity.</w:t>
      </w:r>
      <w:r>
        <w:rPr>
          <w:sz w:val="20"/>
          <w:vertAlign w:val="superscript"/>
        </w:rPr>
        <w:footnoteReference w:id="9"/>
      </w:r>
      <w:r w:rsidRPr="00ED3FF9">
        <w:t xml:space="preserve">  The </w:t>
      </w:r>
      <w:r w:rsidR="00545E25">
        <w:rPr>
          <w:i/>
        </w:rPr>
        <w:t>2017</w:t>
      </w:r>
      <w:r w:rsidRPr="00ED3FF9">
        <w:rPr>
          <w:i/>
        </w:rPr>
        <w:t xml:space="preserve"> Declaratory Ruling </w:t>
      </w:r>
      <w:r w:rsidRPr="00ED3FF9">
        <w:t>also specifically approved permitting Cinéma Aeropuerto, its parent entities, and certain descendants of José Joaquín Vargas Gómez, who are members of a trust committee (Trust Committee) that exercises ultimate control over Cinéma Aeropuerto</w:t>
      </w:r>
      <w:r w:rsidR="00995DE6">
        <w:t>,</w:t>
      </w:r>
      <w:r w:rsidRPr="00ED3FF9">
        <w:t xml:space="preserve"> to hold up to 49.99 percent voting interests and up to 49.99 of the company’s equity.</w:t>
      </w:r>
      <w:r>
        <w:rPr>
          <w:sz w:val="20"/>
          <w:vertAlign w:val="superscript"/>
        </w:rPr>
        <w:footnoteReference w:id="10"/>
      </w:r>
    </w:p>
    <w:p w:rsidR="00BD3DD9" w:rsidRPr="00ED3FF9" w:rsidP="00BD3DD9">
      <w:pPr>
        <w:widowControl/>
        <w:numPr>
          <w:ilvl w:val="0"/>
          <w:numId w:val="17"/>
        </w:numPr>
        <w:tabs>
          <w:tab w:val="clear" w:pos="1080"/>
          <w:tab w:val="num" w:pos="1440"/>
        </w:tabs>
        <w:spacing w:after="120"/>
      </w:pPr>
      <w:r w:rsidRPr="00ED3FF9">
        <w:t xml:space="preserve"> At the time of the </w:t>
      </w:r>
      <w:r w:rsidR="00545E25">
        <w:rPr>
          <w:i/>
        </w:rPr>
        <w:t>2017</w:t>
      </w:r>
      <w:r w:rsidRPr="00ED3FF9">
        <w:rPr>
          <w:i/>
        </w:rPr>
        <w:t xml:space="preserve"> Declaratory Ruling</w:t>
      </w:r>
      <w:r w:rsidRPr="0059620E">
        <w:t>,</w:t>
      </w:r>
      <w:r w:rsidRPr="00ED3FF9">
        <w:rPr>
          <w:i/>
        </w:rPr>
        <w:t xml:space="preserve"> </w:t>
      </w:r>
      <w:r w:rsidRPr="00ED3FF9">
        <w:t xml:space="preserve">the Trust Committee exercised its control </w:t>
      </w:r>
      <w:r>
        <w:t xml:space="preserve">over </w:t>
      </w:r>
      <w:r w:rsidRPr="00ED3FF9">
        <w:t>Cinéma Aeropuerto through HSBC 61549, a trust organized under the laws of Mexico for the descendants of José Joaquín Vargas Gómez.</w:t>
      </w:r>
      <w:r>
        <w:rPr>
          <w:sz w:val="20"/>
          <w:vertAlign w:val="superscript"/>
        </w:rPr>
        <w:footnoteReference w:id="11"/>
      </w:r>
      <w:r w:rsidRPr="00ED3FF9">
        <w:t xml:space="preserve">  The sole trustee of HSBC 61549 was HSBC </w:t>
      </w:r>
      <w:bookmarkStart w:id="4" w:name="_Hlk522527556"/>
      <w:r w:rsidRPr="00ED3FF9">
        <w:t>México</w:t>
      </w:r>
      <w:bookmarkEnd w:id="4"/>
      <w:r w:rsidRPr="00ED3FF9">
        <w:t xml:space="preserve">, S.A. (HSBC México), a Mexican </w:t>
      </w:r>
      <w:r w:rsidR="003635FD">
        <w:t>c</w:t>
      </w:r>
      <w:r w:rsidRPr="00ED3FF9">
        <w:t>orporation</w:t>
      </w:r>
      <w:r w:rsidR="003635FD">
        <w:t xml:space="preserve"> and</w:t>
      </w:r>
      <w:r w:rsidRPr="00ED3FF9">
        <w:t xml:space="preserve"> indirect, wholly-owned subsidiary of HSBC Holdings, plc,</w:t>
      </w:r>
      <w:r w:rsidR="00AA0FCD">
        <w:t xml:space="preserve"> which is organized in the United Kingdom</w:t>
      </w:r>
      <w:r w:rsidRPr="00ED3FF9">
        <w:t>.</w:t>
      </w:r>
      <w:r>
        <w:rPr>
          <w:sz w:val="20"/>
          <w:vertAlign w:val="superscript"/>
        </w:rPr>
        <w:footnoteReference w:id="12"/>
      </w:r>
      <w:r w:rsidRPr="00ED3FF9">
        <w:t xml:space="preserve">  HSBC México voted the shares of Grupo MVS, S.A. de C.V. (the ultimate corporate parent of Cinéma Aeropuerto) at the direction of the Trust Committee.</w:t>
      </w:r>
      <w:r>
        <w:rPr>
          <w:sz w:val="20"/>
          <w:vertAlign w:val="superscript"/>
        </w:rPr>
        <w:footnoteReference w:id="13"/>
      </w:r>
      <w:r w:rsidRPr="00ED3FF9">
        <w:t xml:space="preserve"> </w:t>
      </w:r>
    </w:p>
    <w:p w:rsidR="000B6CEC" w:rsidP="000B6CEC">
      <w:pPr>
        <w:pStyle w:val="ParaNum"/>
      </w:pPr>
      <w:r>
        <w:t xml:space="preserve">HMTV filed a </w:t>
      </w:r>
      <w:r w:rsidR="0041506D">
        <w:t>R</w:t>
      </w:r>
      <w:r>
        <w:t xml:space="preserve">emedial </w:t>
      </w:r>
      <w:r w:rsidR="0041506D">
        <w:t>P</w:t>
      </w:r>
      <w:r>
        <w:t xml:space="preserve">etition for </w:t>
      </w:r>
      <w:r w:rsidR="0041506D">
        <w:t>D</w:t>
      </w:r>
      <w:r>
        <w:t xml:space="preserve">eclaratory </w:t>
      </w:r>
      <w:r w:rsidR="0041506D">
        <w:t>R</w:t>
      </w:r>
      <w:r>
        <w:t xml:space="preserve">uling in 2018, which was prompted by Cinema </w:t>
      </w:r>
      <w:r>
        <w:t>Aeropuerto’s</w:t>
      </w:r>
      <w:r>
        <w:t xml:space="preserve"> March 23, 2018, amendment to the Schedule 13D on file with the Securities and Exchange Commission with respect to its investment in HMTV.</w:t>
      </w:r>
      <w:r>
        <w:rPr>
          <w:rStyle w:val="FootnoteReference"/>
          <w:szCs w:val="18"/>
        </w:rPr>
        <w:footnoteReference w:id="14"/>
      </w:r>
      <w:r>
        <w:t xml:space="preserve">  Cinema Aeropuerto reported that HSBC 61549 had been replaced with Santander Trust Agreement Number 2003914 (the Trust), with Banco Santander (Mexico) as the Trustee.</w:t>
      </w:r>
      <w:r>
        <w:rPr>
          <w:rStyle w:val="FootnoteReference"/>
          <w:szCs w:val="18"/>
        </w:rPr>
        <w:footnoteReference w:id="15"/>
      </w:r>
      <w:r>
        <w:t xml:space="preserve">  The new trustee continued to vote the shares of Grupo </w:t>
      </w:r>
      <w:r w:rsidR="00984C4D">
        <w:t>MVS</w:t>
      </w:r>
      <w:r>
        <w:t>—the ultimate corporate parent of Cinema Aeropuerto—at the direction of a trust committee, the members of which remained unchanged.</w:t>
      </w:r>
      <w:r>
        <w:rPr>
          <w:rStyle w:val="FootnoteReference"/>
          <w:szCs w:val="18"/>
        </w:rPr>
        <w:footnoteReference w:id="16"/>
      </w:r>
      <w:r>
        <w:t xml:space="preserve">  In the </w:t>
      </w:r>
      <w:r w:rsidRPr="00833A55">
        <w:rPr>
          <w:i/>
        </w:rPr>
        <w:t>201</w:t>
      </w:r>
      <w:r>
        <w:rPr>
          <w:i/>
        </w:rPr>
        <w:t xml:space="preserve">8 </w:t>
      </w:r>
      <w:r w:rsidRPr="00833A55">
        <w:rPr>
          <w:i/>
        </w:rPr>
        <w:t>Declaratory Ruling</w:t>
      </w:r>
      <w:r>
        <w:t xml:space="preserve">, the Commission granted HMTV’s request for specific approval for the following foreign entities to hold up to a 49.9 percent voting and equity </w:t>
      </w:r>
      <w:r w:rsidRPr="00BD12B8">
        <w:rPr>
          <w:snapToGrid/>
          <w:kern w:val="0"/>
        </w:rPr>
        <w:t>interest</w:t>
      </w:r>
      <w:r>
        <w:t xml:space="preserve"> in HMTV indirectly through Cinema Aeropuerto:  Santander Trust Agreement Number 2003914; Banco Santander (México), S.A.; Grupo </w:t>
      </w:r>
      <w:r>
        <w:t>Financiero</w:t>
      </w:r>
      <w:r>
        <w:t xml:space="preserve"> Santander</w:t>
      </w:r>
      <w:r w:rsidRPr="00587D28">
        <w:t xml:space="preserve"> </w:t>
      </w:r>
      <w:r>
        <w:t>México, S.A. de C.V.; and Banco Santander, S.A.</w:t>
      </w:r>
      <w:r>
        <w:rPr>
          <w:rStyle w:val="FootnoteReference"/>
          <w:szCs w:val="18"/>
        </w:rPr>
        <w:footnoteReference w:id="17"/>
      </w:r>
    </w:p>
    <w:p w:rsidR="004F4C9D" w:rsidP="000B6CEC">
      <w:pPr>
        <w:pStyle w:val="ParaNum"/>
      </w:pPr>
      <w:r>
        <w:rPr>
          <w:i/>
          <w:szCs w:val="22"/>
        </w:rPr>
        <w:t>New Petition for Declaratory Ruling</w:t>
      </w:r>
      <w:r w:rsidRPr="000F1098">
        <w:rPr>
          <w:szCs w:val="22"/>
        </w:rPr>
        <w:t xml:space="preserve">.  </w:t>
      </w:r>
      <w:r>
        <w:rPr>
          <w:szCs w:val="22"/>
        </w:rPr>
        <w:t xml:space="preserve">HMTV now seeks a new ruling under the Commission’s revised foreign ownership rules </w:t>
      </w:r>
      <w:r>
        <w:rPr>
          <w:snapToGrid/>
        </w:rPr>
        <w:t xml:space="preserve">to permit foreign investors to own up to </w:t>
      </w:r>
      <w:r w:rsidR="00D939CC">
        <w:rPr>
          <w:snapToGrid/>
        </w:rPr>
        <w:t>100</w:t>
      </w:r>
      <w:r>
        <w:rPr>
          <w:snapToGrid/>
        </w:rPr>
        <w:t xml:space="preserve"> percent in the aggregate of both HMTV’s equity and voting interests and to provide for specific approval of various foreign entities and individuals to hold up to a 49.99 percent voting interest and up to 49.99 of the company’s equity. </w:t>
      </w:r>
      <w:r w:rsidR="00D939CC">
        <w:rPr>
          <w:snapToGrid/>
        </w:rPr>
        <w:t xml:space="preserve"> </w:t>
      </w:r>
      <w:r w:rsidRPr="00ED3FF9">
        <w:rPr>
          <w:szCs w:val="22"/>
        </w:rPr>
        <w:t xml:space="preserve">The Petition was put out for public comment on </w:t>
      </w:r>
      <w:r>
        <w:rPr>
          <w:szCs w:val="22"/>
        </w:rPr>
        <w:t>July</w:t>
      </w:r>
      <w:r w:rsidRPr="00ED3FF9">
        <w:rPr>
          <w:szCs w:val="22"/>
        </w:rPr>
        <w:t xml:space="preserve"> </w:t>
      </w:r>
      <w:r>
        <w:rPr>
          <w:szCs w:val="22"/>
        </w:rPr>
        <w:t>9</w:t>
      </w:r>
      <w:r w:rsidRPr="00ED3FF9">
        <w:rPr>
          <w:szCs w:val="22"/>
        </w:rPr>
        <w:t>, 201</w:t>
      </w:r>
      <w:r>
        <w:rPr>
          <w:szCs w:val="22"/>
        </w:rPr>
        <w:t>9,</w:t>
      </w:r>
      <w:r w:rsidRPr="00ED3FF9">
        <w:rPr>
          <w:szCs w:val="22"/>
        </w:rPr>
        <w:t xml:space="preserve"> with comments due </w:t>
      </w:r>
      <w:r>
        <w:rPr>
          <w:szCs w:val="22"/>
        </w:rPr>
        <w:t>August 9, 2019, and replies due on August 2</w:t>
      </w:r>
      <w:r w:rsidR="001B02AA">
        <w:rPr>
          <w:szCs w:val="22"/>
        </w:rPr>
        <w:t>6</w:t>
      </w:r>
      <w:r>
        <w:rPr>
          <w:szCs w:val="22"/>
        </w:rPr>
        <w:t>, 2019</w:t>
      </w:r>
      <w:r w:rsidRPr="00ED3FF9">
        <w:rPr>
          <w:szCs w:val="22"/>
        </w:rPr>
        <w:t>.</w:t>
      </w:r>
      <w:r>
        <w:rPr>
          <w:rStyle w:val="FootnoteReference"/>
          <w:szCs w:val="22"/>
        </w:rPr>
        <w:footnoteReference w:id="18"/>
      </w:r>
      <w:r w:rsidRPr="00ED3FF9">
        <w:rPr>
          <w:szCs w:val="22"/>
        </w:rPr>
        <w:t xml:space="preserve">  </w:t>
      </w:r>
      <w:r w:rsidRPr="00914265">
        <w:rPr>
          <w:szCs w:val="22"/>
        </w:rPr>
        <w:t>N</w:t>
      </w:r>
      <w:r w:rsidRPr="00914265">
        <w:t>o parties have opposed the Petition or asked for conditions to be placed on the requested ruling.</w:t>
      </w:r>
      <w:bookmarkStart w:id="6" w:name="_Ref15978134"/>
      <w:r>
        <w:rPr>
          <w:sz w:val="20"/>
          <w:vertAlign w:val="superscript"/>
        </w:rPr>
        <w:footnoteReference w:id="19"/>
      </w:r>
      <w:bookmarkEnd w:id="6"/>
      <w:r w:rsidRPr="00ED3FF9">
        <w:t xml:space="preserve">  </w:t>
      </w:r>
    </w:p>
    <w:p w:rsidR="00DD07E5" w:rsidP="00DD07E5">
      <w:pPr>
        <w:pStyle w:val="Heading1"/>
      </w:pPr>
      <w:r>
        <w:t>discussion</w:t>
      </w:r>
    </w:p>
    <w:p w:rsidR="000F1098" w:rsidP="000F1098">
      <w:pPr>
        <w:pStyle w:val="ParaNum"/>
      </w:pPr>
      <w:r>
        <w:rPr>
          <w:i/>
        </w:rPr>
        <w:t>Standard of Review</w:t>
      </w:r>
      <w:r>
        <w:t xml:space="preserve">.  We review the Petition under </w:t>
      </w:r>
      <w:r w:rsidR="0076209F">
        <w:t>s</w:t>
      </w:r>
      <w:r>
        <w:t>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rPr>
        <w:footnoteReference w:id="20"/>
      </w:r>
    </w:p>
    <w:p w:rsidR="000F1098" w:rsidRPr="008130E6" w:rsidP="000F1098">
      <w:pPr>
        <w:pStyle w:val="ParaNum"/>
      </w:pPr>
      <w:r>
        <w:t xml:space="preserve">In the </w:t>
      </w:r>
      <w:r w:rsidRPr="000F1098">
        <w:rPr>
          <w:i/>
        </w:rPr>
        <w:t>2013 Broadcast Clarification Ruling</w:t>
      </w:r>
      <w:r>
        <w:t xml:space="preserve">, the Commission clarified the policies and procedures for evaluating potential foreign investment in broadcast licensees under </w:t>
      </w:r>
      <w:r w:rsidR="0076209F">
        <w:t>s</w:t>
      </w:r>
      <w:r>
        <w:t>ection 310(b)(4) of the Act.</w:t>
      </w:r>
      <w:r>
        <w:rPr>
          <w:rStyle w:val="FootnoteReference"/>
        </w:rPr>
        <w:footnoteReference w:id="21"/>
      </w:r>
      <w:r>
        <w:t xml:space="preserve">  Subsequently, in the </w:t>
      </w:r>
      <w:r w:rsidRPr="000F1098">
        <w:rPr>
          <w:i/>
        </w:rPr>
        <w:t>2016 Foreign Ownership Order</w:t>
      </w:r>
      <w:r>
        <w:t xml:space="preserve">, the Commission modified the broadcast licensee foreign ownership review process by extending the streamlined rules and procedures developed for review of foreign ownership of common carrier and certain aeronautical licensees under </w:t>
      </w:r>
      <w:r w:rsidR="0076209F">
        <w:t>s</w:t>
      </w:r>
      <w:r>
        <w:t>ection 310(b)(4) to the broadcast context, with cer</w:t>
      </w:r>
      <w:r w:rsidRPr="002F6566">
        <w:t>tain limited exceptions.</w:t>
      </w:r>
      <w:r>
        <w:rPr>
          <w:rStyle w:val="FootnoteReference"/>
        </w:rPr>
        <w:footnoteReference w:id="22"/>
      </w:r>
      <w:r w:rsidRPr="002F6566">
        <w:t xml:space="preserve">  Further, in evaluating petitions relating to foreign ownership, the Commission </w:t>
      </w:r>
      <w:r w:rsidRPr="002F6566" w:rsidR="006E1F85">
        <w:t>accords</w:t>
      </w:r>
      <w:r w:rsidRPr="002F6566">
        <w:t xml:space="preserve"> deference to the expertise of the </w:t>
      </w:r>
      <w:r w:rsidRPr="002F6566" w:rsidR="00CB30A6">
        <w:t xml:space="preserve">relevant </w:t>
      </w:r>
      <w:r w:rsidRPr="002F6566">
        <w:t>Executive Branch agencies on issues related to national security, law enforcement, foreign policy, and trade policy.</w:t>
      </w:r>
      <w:r>
        <w:rPr>
          <w:rStyle w:val="FootnoteReference"/>
        </w:rPr>
        <w:footnoteReference w:id="23"/>
      </w:r>
      <w:r w:rsidRPr="008130E6">
        <w:t xml:space="preserve">   </w:t>
      </w:r>
    </w:p>
    <w:p w:rsidR="008605F7" w:rsidRPr="008605F7" w:rsidP="00771D74">
      <w:pPr>
        <w:pStyle w:val="ParaNum"/>
        <w:widowControl/>
      </w:pPr>
      <w:r>
        <w:t xml:space="preserve">The Commission has explained that, in the context of the </w:t>
      </w:r>
      <w:r w:rsidR="0076209F">
        <w:t>s</w:t>
      </w:r>
      <w:r>
        <w:t>ection 310(b)(4) review for broadcast licensees, the 25 percent benchmark “is only a trigger for the exercise of our discretion, which we then exercise based upon a more searching analysis of the circumstances of each case.”</w:t>
      </w:r>
      <w:r>
        <w:rPr>
          <w:rStyle w:val="FootnoteReference"/>
        </w:rPr>
        <w:footnoteReference w:id="24"/>
      </w:r>
      <w:r>
        <w:t xml:space="preserve">  Moreover, the </w:t>
      </w:r>
      <w:r w:rsidRPr="00E53817">
        <w:rPr>
          <w:i/>
        </w:rPr>
        <w:t>2016 Foreign Ownership Order</w:t>
      </w:r>
      <w:r>
        <w:t xml:space="preserve"> expressly provides for processing of petitions involving 100 percent foreign ownership of a broadcast licensee’s parent, such as here.</w:t>
      </w:r>
      <w:r>
        <w:rPr>
          <w:rStyle w:val="FootnoteReference"/>
        </w:rPr>
        <w:footnoteReference w:id="25"/>
      </w:r>
      <w:r>
        <w:t xml:space="preserve">  To exercise in a meaningful way the </w:t>
      </w:r>
      <w:r>
        <w:t>discretion conferred by statute, the Commission must receive detailed information from the applicant sufficient for the Commission to make the public interest finding the statute requires.</w:t>
      </w:r>
      <w:r>
        <w:rPr>
          <w:rStyle w:val="FootnoteReference"/>
        </w:rPr>
        <w:footnoteReference w:id="26"/>
      </w:r>
      <w:r>
        <w:t xml:space="preserve"> </w:t>
      </w:r>
    </w:p>
    <w:p w:rsidR="00BD3DD9" w:rsidRPr="00411939" w:rsidP="00BD3DD9">
      <w:pPr>
        <w:widowControl/>
        <w:numPr>
          <w:ilvl w:val="0"/>
          <w:numId w:val="17"/>
        </w:numPr>
        <w:tabs>
          <w:tab w:val="clear" w:pos="1080"/>
          <w:tab w:val="num" w:pos="1440"/>
        </w:tabs>
        <w:spacing w:after="120"/>
      </w:pPr>
      <w:r w:rsidRPr="00ED3FF9">
        <w:rPr>
          <w:i/>
        </w:rPr>
        <w:t>Public Interest Analysis</w:t>
      </w:r>
      <w:r>
        <w:rPr>
          <w:i/>
        </w:rPr>
        <w:t>.</w:t>
      </w:r>
      <w:r w:rsidRPr="00ED3FF9">
        <w:rPr>
          <w:i/>
        </w:rPr>
        <w:t xml:space="preserve"> </w:t>
      </w:r>
      <w:r w:rsidR="001E2FA3">
        <w:rPr>
          <w:i/>
        </w:rPr>
        <w:t xml:space="preserve"> </w:t>
      </w:r>
      <w:r>
        <w:t xml:space="preserve">We find that HMTV’s request is in the public interest.  We previously found that grant of the </w:t>
      </w:r>
      <w:r w:rsidR="00204298">
        <w:rPr>
          <w:i/>
        </w:rPr>
        <w:t>2017</w:t>
      </w:r>
      <w:r>
        <w:rPr>
          <w:i/>
        </w:rPr>
        <w:t xml:space="preserve"> Declaratory Ruling</w:t>
      </w:r>
      <w:r w:rsidR="000B6CEC">
        <w:t xml:space="preserve">, as modified in the </w:t>
      </w:r>
      <w:r w:rsidRPr="00833A55" w:rsidR="000B6CEC">
        <w:rPr>
          <w:i/>
        </w:rPr>
        <w:t>201</w:t>
      </w:r>
      <w:r w:rsidR="000B6CEC">
        <w:rPr>
          <w:i/>
        </w:rPr>
        <w:t xml:space="preserve">8 </w:t>
      </w:r>
      <w:r w:rsidRPr="00833A55" w:rsidR="000B6CEC">
        <w:rPr>
          <w:i/>
        </w:rPr>
        <w:t>Declaratory Ruling</w:t>
      </w:r>
      <w:r w:rsidR="000B6CEC">
        <w:t xml:space="preserve">, </w:t>
      </w:r>
      <w:r>
        <w:rPr>
          <w:i/>
        </w:rPr>
        <w:t xml:space="preserve"> </w:t>
      </w:r>
      <w:r>
        <w:t>was in the public interest because it was consistent with the Commission’s goals</w:t>
      </w:r>
      <w:r w:rsidR="00CB30A6">
        <w:t>,</w:t>
      </w:r>
      <w:r>
        <w:t xml:space="preserve"> as expressed i</w:t>
      </w:r>
      <w:r w:rsidRPr="00ED3FF9">
        <w:t xml:space="preserve">n both the </w:t>
      </w:r>
      <w:r w:rsidRPr="00ED3FF9">
        <w:rPr>
          <w:i/>
        </w:rPr>
        <w:t>2013 Broadcast Clarification Order</w:t>
      </w:r>
      <w:r w:rsidRPr="00ED3FF9">
        <w:t xml:space="preserve"> and the </w:t>
      </w:r>
      <w:r w:rsidRPr="00ED3FF9">
        <w:rPr>
          <w:i/>
        </w:rPr>
        <w:t>2016 Foreign Ownership Order</w:t>
      </w:r>
      <w:r w:rsidRPr="006E016B">
        <w:t xml:space="preserve">, </w:t>
      </w:r>
      <w:r w:rsidRPr="00ED3FF9">
        <w:t>to encourage new sources of investment in the broadcast industry, including foreign investment.</w:t>
      </w:r>
      <w:r>
        <w:rPr>
          <w:sz w:val="20"/>
          <w:vertAlign w:val="superscript"/>
        </w:rPr>
        <w:footnoteReference w:id="27"/>
      </w:r>
      <w:r w:rsidRPr="00ED3FF9">
        <w:t xml:space="preserve">  </w:t>
      </w:r>
      <w:r w:rsidR="00F6290D">
        <w:t>In the Petition, Hemisphere reasserts these</w:t>
      </w:r>
      <w:r w:rsidR="001E2FA3">
        <w:t xml:space="preserve"> public interest</w:t>
      </w:r>
      <w:r w:rsidR="00F6290D">
        <w:t xml:space="preserve"> benefits</w:t>
      </w:r>
      <w:r>
        <w:rPr>
          <w:rStyle w:val="FootnoteReference"/>
        </w:rPr>
        <w:footnoteReference w:id="28"/>
      </w:r>
      <w:r w:rsidR="00F6290D">
        <w:t xml:space="preserve"> and </w:t>
      </w:r>
      <w:r w:rsidR="001E2FA3">
        <w:t>emphasizes</w:t>
      </w:r>
      <w:r w:rsidR="00F6290D">
        <w:t xml:space="preserve"> that the instant request may encourage reciprocity by other countries and lower barriers to U.S. investment abroad, which Hemisphere’s existing experience has borne out.</w:t>
      </w:r>
      <w:r>
        <w:rPr>
          <w:rStyle w:val="FootnoteReference"/>
        </w:rPr>
        <w:footnoteReference w:id="29"/>
      </w:r>
      <w:r w:rsidR="00F6290D">
        <w:t xml:space="preserve">  </w:t>
      </w:r>
      <w:r>
        <w:t>In th</w:t>
      </w:r>
      <w:r w:rsidR="00F6290D">
        <w:t>e previous review proceedings</w:t>
      </w:r>
      <w:r>
        <w:t xml:space="preserve">, </w:t>
      </w:r>
      <w:r w:rsidRPr="00914265" w:rsidR="00F6290D">
        <w:t>as in this proceeding,</w:t>
      </w:r>
      <w:r w:rsidR="00F6290D">
        <w:t xml:space="preserve"> </w:t>
      </w:r>
      <w:r>
        <w:t>t</w:t>
      </w:r>
      <w:r w:rsidRPr="00ED3FF9">
        <w:t xml:space="preserve">he relevant Executive Branch agencies with expertise on issues related to national security, law enforcement, foreign policy, and trade policy </w:t>
      </w:r>
      <w:r>
        <w:t>did not file</w:t>
      </w:r>
      <w:r w:rsidRPr="00ED3FF9">
        <w:t xml:space="preserve"> any objection to issuance of </w:t>
      </w:r>
      <w:r w:rsidR="00591545">
        <w:t>a</w:t>
      </w:r>
      <w:r w:rsidRPr="00ED3FF9">
        <w:t xml:space="preserve"> </w:t>
      </w:r>
      <w:r>
        <w:t xml:space="preserve">declaratory ruling or request </w:t>
      </w:r>
      <w:r w:rsidRPr="00ED3FF9">
        <w:t>that we impose conditions on the grant</w:t>
      </w:r>
      <w:r>
        <w:t xml:space="preserve"> after having had the opportunity to review </w:t>
      </w:r>
      <w:r w:rsidR="000B6CEC">
        <w:t>Hemisphere’s p</w:t>
      </w:r>
      <w:r>
        <w:t>etition</w:t>
      </w:r>
      <w:r w:rsidR="000B6CEC">
        <w:t>s</w:t>
      </w:r>
      <w:r>
        <w:t>.</w:t>
      </w:r>
      <w:r>
        <w:rPr>
          <w:rStyle w:val="FootnoteReference"/>
        </w:rPr>
        <w:footnoteReference w:id="30"/>
      </w:r>
      <w:r w:rsidRPr="00ED3FF9">
        <w:t xml:space="preserve">  As noted above, </w:t>
      </w:r>
      <w:r w:rsidRPr="00914265">
        <w:t>no parties have opposed the Petition or asked for conditions to be placed on it.</w:t>
      </w:r>
      <w:r w:rsidRPr="00411939">
        <w:t xml:space="preserve">  </w:t>
      </w:r>
    </w:p>
    <w:p w:rsidR="00DD07E5" w:rsidRPr="005A1951" w:rsidP="00DD07E5">
      <w:pPr>
        <w:pStyle w:val="Heading1"/>
      </w:pPr>
      <w:r>
        <w:t>declaratory ruling</w:t>
      </w:r>
    </w:p>
    <w:p w:rsidR="00DD07E5" w:rsidP="00DD07E5">
      <w:pPr>
        <w:pStyle w:val="ParaNum"/>
      </w:pPr>
      <w:r>
        <w:t xml:space="preserve">Under these circumstances, pursuant to </w:t>
      </w:r>
      <w:r w:rsidR="0076209F">
        <w:t>s</w:t>
      </w:r>
      <w:r>
        <w:t>ection 310(b) of the Act</w:t>
      </w:r>
      <w:r w:rsidR="00C852E6">
        <w:t xml:space="preserve"> and sections 1.5001 through 1.5004 of the Commission’s rules,</w:t>
      </w:r>
      <w:r>
        <w:t xml:space="preserve"> we find that the public interest would not be served by prohibiting foreign ownership of HMTV in excess of the 25 percent benchmark in </w:t>
      </w:r>
      <w:r w:rsidR="0076209F">
        <w:t>s</w:t>
      </w:r>
      <w:r>
        <w:t>ection 310(b)</w:t>
      </w:r>
      <w:r w:rsidR="00AA0FCD">
        <w:t>(4)</w:t>
      </w:r>
      <w:r>
        <w:t xml:space="preserve"> of the Act because</w:t>
      </w:r>
      <w:r w:rsidRPr="006D7270">
        <w:t xml:space="preserve"> </w:t>
      </w:r>
      <w:r>
        <w:t>this increased level of foreign investment in HMTV will facilitate investment from new sources of capital in HMTV that would not otherwise be available and encourage reciprocity by foreign governments.  Specifically, this ruling</w:t>
      </w:r>
      <w:r w:rsidR="00860AA7">
        <w:t>, which supersedes all previous rulings,</w:t>
      </w:r>
      <w:r>
        <w:t xml:space="preserve"> permits aggregate foreign equity and voting interest in HMTV to exceed 25 percent and to increase up to and including 100 percent.  </w:t>
      </w:r>
    </w:p>
    <w:p w:rsidR="00BD3DD9" w:rsidRPr="00ED3FF9" w:rsidP="00BD3DD9">
      <w:pPr>
        <w:widowControl/>
        <w:numPr>
          <w:ilvl w:val="0"/>
          <w:numId w:val="17"/>
        </w:numPr>
        <w:tabs>
          <w:tab w:val="clear" w:pos="1080"/>
          <w:tab w:val="num" w:pos="1440"/>
        </w:tabs>
        <w:spacing w:after="120"/>
      </w:pPr>
      <w:r w:rsidRPr="00ED3FF9">
        <w:rPr>
          <w:i/>
        </w:rPr>
        <w:t xml:space="preserve">Specific Approval.  </w:t>
      </w:r>
      <w:r w:rsidRPr="00ED3FF9" w:rsidR="00A74F8B">
        <w:t>We also find no grounds to object to the requests for specific approvals</w:t>
      </w:r>
      <w:r w:rsidR="00A74F8B">
        <w:t>,</w:t>
      </w:r>
      <w:r w:rsidRPr="00ED3FF9" w:rsidR="00A74F8B">
        <w:t xml:space="preserve"> and we conclude that they will facilitate the foreign investment sought by the petitioner.</w:t>
      </w:r>
      <w:r w:rsidR="00A74F8B">
        <w:t xml:space="preserve">  Therefore, </w:t>
      </w:r>
      <w:r w:rsidR="00860AA7">
        <w:t xml:space="preserve">this </w:t>
      </w:r>
      <w:r w:rsidR="00591545">
        <w:t>D</w:t>
      </w:r>
      <w:r w:rsidR="00860AA7">
        <w:t xml:space="preserve">eclaratory </w:t>
      </w:r>
      <w:r w:rsidR="00591545">
        <w:t>R</w:t>
      </w:r>
      <w:r w:rsidR="00860AA7">
        <w:t>uling grants</w:t>
      </w:r>
      <w:r w:rsidR="00860AA7">
        <w:t xml:space="preserve"> specific approval for the following individuals and entities to hold up to 49.99 percent of the voting interests and 49.99 percent of the equity o</w:t>
      </w:r>
      <w:r w:rsidR="00946FAA">
        <w:t>f HMTV</w:t>
      </w:r>
      <w:r w:rsidR="00860AA7">
        <w:t xml:space="preserve">:   </w:t>
      </w:r>
    </w:p>
    <w:p w:rsidR="00612845" w:rsidRPr="00914265" w:rsidP="00612845">
      <w:pPr>
        <w:numPr>
          <w:ilvl w:val="0"/>
          <w:numId w:val="27"/>
        </w:numPr>
        <w:spacing w:after="120"/>
        <w:ind w:left="1440"/>
      </w:pPr>
      <w:r w:rsidRPr="00914265">
        <w:t xml:space="preserve">Cinéma Aeropuerto; </w:t>
      </w:r>
    </w:p>
    <w:p w:rsidR="00612845" w:rsidRPr="00914265" w:rsidP="00612845">
      <w:pPr>
        <w:numPr>
          <w:ilvl w:val="0"/>
          <w:numId w:val="27"/>
        </w:numPr>
        <w:spacing w:after="120"/>
        <w:ind w:left="1440"/>
      </w:pPr>
      <w:r w:rsidRPr="00914265">
        <w:t xml:space="preserve">Utrera S.A. de C.V.; </w:t>
      </w:r>
    </w:p>
    <w:p w:rsidR="00612845" w:rsidRPr="00914265" w:rsidP="00612845">
      <w:pPr>
        <w:numPr>
          <w:ilvl w:val="0"/>
          <w:numId w:val="27"/>
        </w:numPr>
        <w:spacing w:after="120"/>
        <w:ind w:left="1440"/>
      </w:pPr>
      <w:r w:rsidRPr="00914265">
        <w:t xml:space="preserve">Grupo MVS, S.A. de C.V.; </w:t>
      </w:r>
    </w:p>
    <w:p w:rsidR="00612845" w:rsidRPr="00914265" w:rsidP="00612845">
      <w:pPr>
        <w:numPr>
          <w:ilvl w:val="0"/>
          <w:numId w:val="27"/>
        </w:numPr>
        <w:spacing w:after="120"/>
        <w:ind w:left="1440"/>
      </w:pPr>
      <w:r w:rsidRPr="00914265">
        <w:t xml:space="preserve">Joaquín Vargas Guajardo; </w:t>
      </w:r>
    </w:p>
    <w:p w:rsidR="00612845" w:rsidRPr="00914265" w:rsidP="00612845">
      <w:pPr>
        <w:numPr>
          <w:ilvl w:val="0"/>
          <w:numId w:val="27"/>
        </w:numPr>
        <w:spacing w:after="120"/>
        <w:ind w:left="1440"/>
      </w:pPr>
      <w:r w:rsidRPr="00914265">
        <w:t xml:space="preserve">Elsa Gabriela Vargas Guajardo; </w:t>
      </w:r>
    </w:p>
    <w:p w:rsidR="00612845" w:rsidRPr="00914265" w:rsidP="00612845">
      <w:pPr>
        <w:numPr>
          <w:ilvl w:val="0"/>
          <w:numId w:val="27"/>
        </w:numPr>
        <w:spacing w:after="120"/>
        <w:ind w:left="1440"/>
      </w:pPr>
      <w:r w:rsidRPr="00914265">
        <w:t xml:space="preserve">Ernesto Vargas Guajardo; </w:t>
      </w:r>
    </w:p>
    <w:p w:rsidR="00612845" w:rsidRPr="00914265" w:rsidP="00612845">
      <w:pPr>
        <w:numPr>
          <w:ilvl w:val="0"/>
          <w:numId w:val="27"/>
        </w:numPr>
        <w:spacing w:after="120"/>
        <w:ind w:left="1440"/>
      </w:pPr>
      <w:r w:rsidRPr="00914265">
        <w:t xml:space="preserve">Andrea Matilde Vargas Guajardo; </w:t>
      </w:r>
    </w:p>
    <w:p w:rsidR="00612845" w:rsidRPr="00914265" w:rsidP="00612845">
      <w:pPr>
        <w:numPr>
          <w:ilvl w:val="0"/>
          <w:numId w:val="27"/>
        </w:numPr>
        <w:spacing w:after="120"/>
        <w:ind w:left="1440"/>
      </w:pPr>
      <w:r w:rsidRPr="00914265">
        <w:t xml:space="preserve">Francisco Vargas Guajardo; </w:t>
      </w:r>
    </w:p>
    <w:p w:rsidR="00612845" w:rsidRPr="00914265" w:rsidP="00612845">
      <w:pPr>
        <w:numPr>
          <w:ilvl w:val="0"/>
          <w:numId w:val="27"/>
        </w:numPr>
        <w:spacing w:after="120"/>
        <w:ind w:left="1440"/>
      </w:pPr>
      <w:r w:rsidRPr="00914265">
        <w:t xml:space="preserve">Alejandro Vargas Guajardo; </w:t>
      </w:r>
    </w:p>
    <w:p w:rsidR="00612845" w:rsidRPr="00914265" w:rsidP="00612845">
      <w:pPr>
        <w:numPr>
          <w:ilvl w:val="0"/>
          <w:numId w:val="27"/>
        </w:numPr>
        <w:spacing w:after="120"/>
        <w:ind w:left="1440"/>
      </w:pPr>
      <w:r w:rsidRPr="00914265">
        <w:t xml:space="preserve">Santander Trust Agreement Number 2003914; </w:t>
      </w:r>
    </w:p>
    <w:p w:rsidR="00612845" w:rsidRPr="00914265" w:rsidP="00612845">
      <w:pPr>
        <w:numPr>
          <w:ilvl w:val="0"/>
          <w:numId w:val="27"/>
        </w:numPr>
        <w:spacing w:after="120"/>
        <w:ind w:left="1440"/>
      </w:pPr>
      <w:r w:rsidRPr="00914265">
        <w:t xml:space="preserve">Banco Santander (México), S.A.; </w:t>
      </w:r>
    </w:p>
    <w:p w:rsidR="00612845" w:rsidRPr="00914265" w:rsidP="00BC68BB">
      <w:pPr>
        <w:keepNext/>
        <w:widowControl/>
        <w:numPr>
          <w:ilvl w:val="0"/>
          <w:numId w:val="27"/>
        </w:numPr>
        <w:spacing w:after="120"/>
        <w:ind w:left="1440"/>
      </w:pPr>
      <w:r w:rsidRPr="00914265">
        <w:t xml:space="preserve">Grupo </w:t>
      </w:r>
      <w:r w:rsidRPr="00914265">
        <w:t>Financiero</w:t>
      </w:r>
      <w:r w:rsidRPr="00914265">
        <w:t xml:space="preserve"> Santander México, S.A. de C.V.; and </w:t>
      </w:r>
    </w:p>
    <w:p w:rsidR="00BD3DD9" w:rsidRPr="00914265" w:rsidP="00612845">
      <w:pPr>
        <w:keepNext/>
        <w:widowControl/>
        <w:numPr>
          <w:ilvl w:val="0"/>
          <w:numId w:val="27"/>
        </w:numPr>
        <w:spacing w:after="120"/>
        <w:ind w:left="1440"/>
      </w:pPr>
      <w:r w:rsidRPr="00914265">
        <w:t>Banco Santander, S.A.</w:t>
      </w:r>
      <w:r w:rsidRPr="00914265">
        <w:t xml:space="preserve">  </w:t>
      </w:r>
    </w:p>
    <w:p w:rsidR="008C6749" w:rsidRPr="008C6749" w:rsidP="008C6749">
      <w:pPr>
        <w:pStyle w:val="ParaNum"/>
      </w:pPr>
      <w:r w:rsidRPr="004C187E">
        <w:t xml:space="preserve">This ruling is subject to the terms and conditions set forth in section 1.5004 of the Commission’s rules, including the requirement to obtain Commission approval before foreign ownership of </w:t>
      </w:r>
      <w:r>
        <w:t>HMTV</w:t>
      </w:r>
      <w:r w:rsidRPr="004C187E">
        <w:t xml:space="preserve"> exceeds the terms and conditions of this ruling.</w:t>
      </w:r>
      <w:r>
        <w:rPr>
          <w:rStyle w:val="FootnoteReference"/>
        </w:rPr>
        <w:footnoteReference w:id="31"/>
      </w:r>
      <w:r>
        <w:t xml:space="preserve">  If, at any t</w:t>
      </w:r>
      <w:r w:rsidRPr="00591545">
        <w:t>ime, HMTV knows, or has reason to know, that it is no longer in compliance with this Declaratory Ruling</w:t>
      </w:r>
      <w:r>
        <w:t xml:space="preserve">, </w:t>
      </w:r>
      <w:r w:rsidR="006E016B">
        <w:t>s</w:t>
      </w:r>
      <w:r>
        <w:t>ection 310(b) of the Act, or the Commission’s foreign ownership rules, it shall file a statement with the Commission explaining the circumstances within 30 days of the date that it knew, or had reason to know, that it was no longer in compliance.</w:t>
      </w:r>
      <w:r>
        <w:rPr>
          <w:rStyle w:val="FootnoteReference"/>
        </w:rPr>
        <w:footnoteReference w:id="32"/>
      </w:r>
      <w:r>
        <w:t xml:space="preserve">  HMTV </w:t>
      </w:r>
      <w:r w:rsidRPr="009E17AD">
        <w:t>will be subject to enforcement action by the Commission for such non-compliance, including an order requiring divestiture of the foreign</w:t>
      </w:r>
      <w:r>
        <w:t xml:space="preserve"> investment</w:t>
      </w:r>
      <w:r w:rsidRPr="009E17AD">
        <w:t>.</w:t>
      </w:r>
      <w:r>
        <w:rPr>
          <w:rStyle w:val="FootnoteReference"/>
        </w:rPr>
        <w:footnoteReference w:id="33"/>
      </w:r>
    </w:p>
    <w:p w:rsidR="008C6749" w:rsidP="008C6749">
      <w:pPr>
        <w:pStyle w:val="Heading1"/>
      </w:pPr>
      <w:r w:rsidRPr="00A37BAB">
        <w:t>Ordering Clauses</w:t>
      </w:r>
      <w:r>
        <w:t xml:space="preserve">  </w:t>
      </w:r>
    </w:p>
    <w:p w:rsidR="008C6749" w:rsidRPr="00591545" w:rsidP="008C6749">
      <w:pPr>
        <w:pStyle w:val="ParaNum"/>
        <w:tabs>
          <w:tab w:val="clear" w:pos="1440"/>
          <w:tab w:val="num" w:pos="1620"/>
        </w:tabs>
      </w:pPr>
      <w:r w:rsidRPr="00591545">
        <w:t xml:space="preserve">Accordingly, </w:t>
      </w:r>
      <w:r w:rsidRPr="00591545">
        <w:rPr>
          <w:b/>
        </w:rPr>
        <w:t>IT IS ORDERED</w:t>
      </w:r>
      <w:r w:rsidRPr="00591545">
        <w:t xml:space="preserve"> that, pursuant to </w:t>
      </w:r>
      <w:r w:rsidR="0076209F">
        <w:t>s</w:t>
      </w:r>
      <w:r w:rsidRPr="00591545">
        <w:t xml:space="preserve">ection 310(b)(4) of the Communications Act of 1934, as amended, 47 U.S.C. § 310(b)(4), </w:t>
      </w:r>
      <w:r w:rsidR="00F10E1F">
        <w:t xml:space="preserve">and sections 1.5001 through 1.5004 of the Commission’s rules, 47 CFR </w:t>
      </w:r>
      <w:r w:rsidRPr="00591545" w:rsidR="00F10E1F">
        <w:rPr>
          <w:color w:val="000000"/>
          <w:w w:val="0"/>
          <w:szCs w:val="24"/>
        </w:rPr>
        <w:t>§§</w:t>
      </w:r>
      <w:r w:rsidR="00F10E1F">
        <w:t xml:space="preserve"> 1.5001-04, </w:t>
      </w:r>
      <w:r w:rsidRPr="00591545">
        <w:t xml:space="preserve">and pursuant to authority delegated to the Media Bureau in section 0.283 of the Commission’s rules, </w:t>
      </w:r>
      <w:r w:rsidRPr="00591545">
        <w:rPr>
          <w:color w:val="000000"/>
          <w:w w:val="0"/>
          <w:szCs w:val="24"/>
        </w:rPr>
        <w:t xml:space="preserve">47 CFR § 0.283, </w:t>
      </w:r>
      <w:r w:rsidRPr="00591545">
        <w:t xml:space="preserve">the Petition for Declaratory Ruling filed by Hemisphere Media Group, Inc. </w:t>
      </w:r>
      <w:r w:rsidRPr="00591545">
        <w:rPr>
          <w:b/>
        </w:rPr>
        <w:t>IS GRANTED</w:t>
      </w:r>
      <w:r w:rsidRPr="00591545">
        <w:t xml:space="preserve"> to the extent specified in this</w:t>
      </w:r>
      <w:r w:rsidRPr="00591545">
        <w:rPr>
          <w:b/>
        </w:rPr>
        <w:t xml:space="preserve"> </w:t>
      </w:r>
      <w:r w:rsidRPr="00591545">
        <w:t>Declaratory Ruling and subject to the conditions specified herein.</w:t>
      </w:r>
    </w:p>
    <w:p w:rsidR="00527708" w:rsidRPr="00591545" w:rsidP="00527708">
      <w:pPr>
        <w:pStyle w:val="ParaNum"/>
        <w:widowControl/>
        <w:tabs>
          <w:tab w:val="clear" w:pos="1440"/>
          <w:tab w:val="num" w:pos="1620"/>
        </w:tabs>
      </w:pPr>
      <w:r w:rsidRPr="00591545">
        <w:rPr>
          <w:b/>
        </w:rPr>
        <w:t>IT IS FURTHER ORDERED</w:t>
      </w:r>
      <w:r w:rsidRPr="00591545">
        <w:t xml:space="preserve"> that this Declaratory Ruling and Memorandum Opinion and Order </w:t>
      </w:r>
      <w:r w:rsidRPr="00591545">
        <w:rPr>
          <w:b/>
        </w:rPr>
        <w:t>SHALL BE EFECTIVE</w:t>
      </w:r>
      <w:r w:rsidRPr="00591545">
        <w:t xml:space="preserve"> upon release.</w:t>
      </w:r>
    </w:p>
    <w:p w:rsidR="00BD3DD9" w:rsidRPr="00ED3FF9" w:rsidP="00BD3DD9">
      <w:pPr>
        <w:keepNext/>
        <w:widowControl/>
        <w:rPr>
          <w:rFonts w:ascii="Calibri" w:eastAsia="Calibri" w:hAnsi="Calibri"/>
          <w:snapToGrid/>
          <w:kern w:val="0"/>
          <w:szCs w:val="22"/>
        </w:rPr>
      </w:pPr>
    </w:p>
    <w:p w:rsidR="00BD3DD9" w:rsidRPr="00ED3FF9" w:rsidP="00BD3DD9">
      <w:pPr>
        <w:keepNext/>
        <w:widowControl/>
        <w:rPr>
          <w:rFonts w:eastAsia="Calibri"/>
          <w:snapToGrid/>
          <w:kern w:val="0"/>
          <w:szCs w:val="22"/>
        </w:rPr>
      </w:pPr>
      <w:r w:rsidRPr="00ED3FF9">
        <w:rPr>
          <w:rFonts w:ascii="Calibri" w:eastAsia="Calibri" w:hAnsi="Calibri"/>
          <w:snapToGrid/>
          <w:kern w:val="0"/>
          <w:szCs w:val="22"/>
        </w:rPr>
        <w:tab/>
      </w:r>
      <w:r w:rsidRPr="00ED3FF9">
        <w:rPr>
          <w:rFonts w:ascii="Calibri" w:eastAsia="Calibri" w:hAnsi="Calibri"/>
          <w:snapToGrid/>
          <w:kern w:val="0"/>
          <w:szCs w:val="22"/>
        </w:rPr>
        <w:tab/>
      </w:r>
      <w:r w:rsidRPr="00ED3FF9">
        <w:rPr>
          <w:rFonts w:ascii="Calibri" w:eastAsia="Calibri" w:hAnsi="Calibri"/>
          <w:snapToGrid/>
          <w:kern w:val="0"/>
          <w:szCs w:val="22"/>
        </w:rPr>
        <w:tab/>
      </w:r>
      <w:r w:rsidRPr="00ED3FF9">
        <w:rPr>
          <w:rFonts w:ascii="Calibri" w:eastAsia="Calibri" w:hAnsi="Calibri"/>
          <w:snapToGrid/>
          <w:kern w:val="0"/>
          <w:szCs w:val="22"/>
        </w:rPr>
        <w:tab/>
      </w:r>
      <w:r w:rsidRPr="00ED3FF9">
        <w:rPr>
          <w:rFonts w:ascii="Calibri" w:eastAsia="Calibri" w:hAnsi="Calibri"/>
          <w:snapToGrid/>
          <w:kern w:val="0"/>
          <w:szCs w:val="22"/>
        </w:rPr>
        <w:tab/>
      </w:r>
      <w:r w:rsidRPr="00ED3FF9">
        <w:rPr>
          <w:rFonts w:ascii="Calibri" w:eastAsia="Calibri" w:hAnsi="Calibri"/>
          <w:snapToGrid/>
          <w:kern w:val="0"/>
          <w:szCs w:val="22"/>
        </w:rPr>
        <w:tab/>
      </w:r>
      <w:r w:rsidRPr="00ED3FF9">
        <w:rPr>
          <w:rFonts w:eastAsia="Calibri"/>
          <w:snapToGrid/>
          <w:kern w:val="0"/>
          <w:szCs w:val="22"/>
        </w:rPr>
        <w:t>FEDERAL COMMUNICATIONS COMMISSION</w:t>
      </w:r>
    </w:p>
    <w:p w:rsidR="00BD3DD9" w:rsidRPr="00ED3FF9" w:rsidP="00BD3DD9">
      <w:pPr>
        <w:keepNext/>
        <w:widowControl/>
        <w:rPr>
          <w:rFonts w:eastAsia="Calibri"/>
          <w:snapToGrid/>
          <w:kern w:val="0"/>
          <w:szCs w:val="22"/>
        </w:rPr>
      </w:pPr>
    </w:p>
    <w:p w:rsidR="00BD3DD9" w:rsidRPr="00ED3FF9" w:rsidP="00BD3DD9">
      <w:pPr>
        <w:keepNext/>
        <w:widowControl/>
        <w:rPr>
          <w:rFonts w:eastAsia="Calibri"/>
          <w:snapToGrid/>
          <w:kern w:val="0"/>
          <w:szCs w:val="22"/>
        </w:rPr>
      </w:pPr>
    </w:p>
    <w:p w:rsidR="00BD3DD9" w:rsidRPr="00ED3FF9" w:rsidP="00BD3DD9">
      <w:pPr>
        <w:keepNext/>
        <w:widowControl/>
        <w:rPr>
          <w:rFonts w:eastAsia="Calibri"/>
          <w:snapToGrid/>
          <w:kern w:val="0"/>
          <w:szCs w:val="22"/>
        </w:rPr>
      </w:pPr>
    </w:p>
    <w:p w:rsidR="00BD3DD9" w:rsidRPr="00ED3FF9" w:rsidP="00BD3DD9">
      <w:pPr>
        <w:keepNext/>
        <w:widowControl/>
        <w:rPr>
          <w:rFonts w:eastAsia="Calibri"/>
          <w:snapToGrid/>
          <w:kern w:val="0"/>
          <w:szCs w:val="22"/>
        </w:rPr>
      </w:pPr>
    </w:p>
    <w:p w:rsidR="002F6566" w:rsidP="00BD3DD9">
      <w:pPr>
        <w:keepNext/>
        <w:widowControl/>
        <w:rPr>
          <w:rFonts w:eastAsia="Calibri"/>
          <w:snapToGrid/>
          <w:kern w:val="0"/>
          <w:szCs w:val="22"/>
        </w:rPr>
      </w:pPr>
      <w:r w:rsidRPr="00ED3FF9">
        <w:rPr>
          <w:rFonts w:eastAsia="Calibri"/>
          <w:snapToGrid/>
          <w:kern w:val="0"/>
          <w:szCs w:val="22"/>
        </w:rPr>
        <w:tab/>
      </w:r>
      <w:r w:rsidRPr="00ED3FF9">
        <w:rPr>
          <w:rFonts w:eastAsia="Calibri"/>
          <w:snapToGrid/>
          <w:kern w:val="0"/>
          <w:szCs w:val="22"/>
        </w:rPr>
        <w:tab/>
      </w:r>
      <w:r w:rsidRPr="00ED3FF9">
        <w:rPr>
          <w:rFonts w:eastAsia="Calibri"/>
          <w:snapToGrid/>
          <w:kern w:val="0"/>
          <w:szCs w:val="22"/>
        </w:rPr>
        <w:tab/>
      </w:r>
      <w:r w:rsidRPr="00ED3FF9">
        <w:rPr>
          <w:rFonts w:eastAsia="Calibri"/>
          <w:snapToGrid/>
          <w:kern w:val="0"/>
          <w:szCs w:val="22"/>
        </w:rPr>
        <w:tab/>
      </w:r>
      <w:r w:rsidRPr="00ED3FF9">
        <w:rPr>
          <w:rFonts w:eastAsia="Calibri"/>
          <w:snapToGrid/>
          <w:kern w:val="0"/>
          <w:szCs w:val="22"/>
        </w:rPr>
        <w:tab/>
      </w:r>
      <w:r w:rsidRPr="00ED3FF9">
        <w:rPr>
          <w:rFonts w:eastAsia="Calibri"/>
          <w:snapToGrid/>
          <w:kern w:val="0"/>
          <w:szCs w:val="22"/>
        </w:rPr>
        <w:tab/>
      </w:r>
      <w:r>
        <w:rPr>
          <w:rFonts w:eastAsia="Calibri"/>
          <w:snapToGrid/>
          <w:kern w:val="0"/>
          <w:szCs w:val="22"/>
        </w:rPr>
        <w:t xml:space="preserve">Barbara A. Kreisman, </w:t>
      </w:r>
      <w:r w:rsidRPr="00ED3FF9">
        <w:rPr>
          <w:rFonts w:eastAsia="Calibri"/>
          <w:snapToGrid/>
          <w:kern w:val="0"/>
          <w:szCs w:val="22"/>
        </w:rPr>
        <w:t>Chief</w:t>
      </w:r>
    </w:p>
    <w:p w:rsidR="002F6566" w:rsidP="002F6566">
      <w:pPr>
        <w:keepNext/>
        <w:widowControl/>
        <w:ind w:left="3600" w:firstLine="720"/>
        <w:rPr>
          <w:rFonts w:eastAsia="Calibri"/>
          <w:snapToGrid/>
          <w:kern w:val="0"/>
          <w:szCs w:val="22"/>
        </w:rPr>
      </w:pPr>
      <w:r>
        <w:rPr>
          <w:rFonts w:eastAsia="Calibri"/>
          <w:snapToGrid/>
          <w:kern w:val="0"/>
          <w:szCs w:val="22"/>
        </w:rPr>
        <w:t>Video Division</w:t>
      </w:r>
    </w:p>
    <w:p w:rsidR="00BD3DD9" w:rsidRPr="00ED3FF9" w:rsidP="002F6566">
      <w:pPr>
        <w:keepNext/>
        <w:widowControl/>
        <w:ind w:left="3600" w:firstLine="720"/>
        <w:rPr>
          <w:rFonts w:eastAsia="Calibri"/>
          <w:snapToGrid/>
          <w:kern w:val="0"/>
          <w:szCs w:val="22"/>
        </w:rPr>
      </w:pPr>
      <w:r w:rsidRPr="00ED3FF9">
        <w:rPr>
          <w:rFonts w:eastAsia="Calibri"/>
          <w:snapToGrid/>
          <w:kern w:val="0"/>
          <w:szCs w:val="22"/>
        </w:rPr>
        <w:t>Media Bureau</w:t>
      </w:r>
      <w:r>
        <w:rPr>
          <w:rFonts w:eastAsia="Calibri"/>
          <w:snapToGrid/>
          <w:kern w:val="0"/>
          <w:szCs w:val="22"/>
        </w:rPr>
        <w:t xml:space="preserve"> </w:t>
      </w:r>
    </w:p>
    <w:p w:rsidR="00BD3DD9" w:rsidP="00BD3DD9">
      <w:pPr>
        <w:widowControl/>
        <w:spacing w:after="120"/>
        <w:ind w:left="720"/>
      </w:pPr>
    </w:p>
    <w:p w:rsidR="00BD3DD9" w:rsidP="00BD3DD9">
      <w:pPr>
        <w:widowControl/>
      </w:pPr>
    </w:p>
    <w:p w:rsidR="00BD3DD9" w:rsidRPr="005051CD" w:rsidP="00BD3DD9">
      <w:pPr>
        <w:pStyle w:val="StyleBoldCentered"/>
      </w:pPr>
    </w:p>
    <w:sectPr w:rsidSect="00BD3DD9">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D3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761">
      <w:rPr>
        <w:rStyle w:val="PageNumber"/>
        <w:noProof/>
      </w:rPr>
      <w:t>3</w:t>
    </w:r>
    <w:r>
      <w:rPr>
        <w:rStyle w:val="PageNumber"/>
      </w:rPr>
      <w:fldChar w:fldCharType="end"/>
    </w:r>
  </w:p>
  <w:p w:rsidR="00BD3DD9" w:rsidRPr="000C2EFA">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DD9" w:rsidRPr="0064243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18C4">
      <w:r>
        <w:separator/>
      </w:r>
    </w:p>
  </w:footnote>
  <w:footnote w:type="continuationSeparator" w:id="1">
    <w:p w:rsidR="005218C4">
      <w:r>
        <w:continuationSeparator/>
      </w:r>
    </w:p>
  </w:footnote>
  <w:footnote w:type="continuationNotice" w:id="2">
    <w:p w:rsidR="005218C4"/>
  </w:footnote>
  <w:footnote w:id="3">
    <w:p w:rsidR="00A46AFA" w:rsidRPr="00D147CD" w:rsidP="00A46AFA">
      <w:pPr>
        <w:pStyle w:val="FootnoteText"/>
      </w:pPr>
      <w:r>
        <w:rPr>
          <w:rStyle w:val="FootnoteReference"/>
        </w:rPr>
        <w:footnoteRef/>
      </w:r>
      <w:r>
        <w:t xml:space="preserve"> </w:t>
      </w:r>
      <w:r w:rsidRPr="00D147CD">
        <w:t>47 CFR § 1.</w:t>
      </w:r>
      <w:r>
        <w:t xml:space="preserve">5000 </w:t>
      </w:r>
      <w:r>
        <w:rPr>
          <w:i/>
        </w:rPr>
        <w:t>et seq</w:t>
      </w:r>
      <w:r w:rsidRPr="00D147CD">
        <w:t>.</w:t>
      </w:r>
    </w:p>
  </w:footnote>
  <w:footnote w:id="4">
    <w:p w:rsidR="000F1098" w:rsidP="008674DD">
      <w:pPr>
        <w:pStyle w:val="FootnoteText"/>
      </w:pPr>
      <w:r>
        <w:rPr>
          <w:rStyle w:val="FootnoteReference"/>
        </w:rPr>
        <w:footnoteRef/>
      </w:r>
      <w:r>
        <w:t xml:space="preserve"> </w:t>
      </w:r>
      <w:r w:rsidRPr="008674DD" w:rsidR="008674DD">
        <w:t>47 U.S.C. § 310(b)(4).</w:t>
      </w:r>
    </w:p>
  </w:footnote>
  <w:footnote w:id="5">
    <w:p w:rsidR="00212EDE" w:rsidP="00212EDE">
      <w:pPr>
        <w:pStyle w:val="FootnoteText"/>
      </w:pPr>
      <w:r w:rsidRPr="00D85A63">
        <w:rPr>
          <w:rStyle w:val="FootnoteReference"/>
        </w:rPr>
        <w:footnoteRef/>
      </w:r>
      <w:r w:rsidRPr="00D85A63">
        <w:t xml:space="preserve"> </w:t>
      </w:r>
      <w:r w:rsidR="00786C4A">
        <w:t xml:space="preserve">Petition for Declaratory Ruling of Hemisphere Media Group, Inc., MB Docket No. 19-194, </w:t>
      </w:r>
      <w:r w:rsidRPr="00D85A63">
        <w:t>at 1</w:t>
      </w:r>
      <w:r w:rsidR="00786C4A">
        <w:t xml:space="preserve"> (filed June 3, 2019)</w:t>
      </w:r>
      <w:r w:rsidR="00877767">
        <w:t xml:space="preserve"> (Petition)</w:t>
      </w:r>
      <w:r w:rsidRPr="00D85A63">
        <w:t>.  The Petition was supplemented on July 2, 2019</w:t>
      </w:r>
      <w:r w:rsidR="00786C4A">
        <w:t>.  Supplement to Petition for Declaratory Ruling of Hemisphere Media Group, Inc., MB Docket No. 19-194 (filed July 2, 2019)</w:t>
      </w:r>
      <w:r w:rsidRPr="00D85A63">
        <w:t xml:space="preserve"> (Supplement).  The Supplement made clear that HMTV was seeking a new ruling under section 1.5000 </w:t>
      </w:r>
      <w:r w:rsidRPr="00D85A63">
        <w:rPr>
          <w:i/>
        </w:rPr>
        <w:t>et seq</w:t>
      </w:r>
      <w:r w:rsidRPr="00D85A63">
        <w:t xml:space="preserve">. of the Commission’s rules and provided additional information required </w:t>
      </w:r>
      <w:r w:rsidR="00E767E3">
        <w:t>by</w:t>
      </w:r>
      <w:r w:rsidRPr="00D85A63">
        <w:t xml:space="preserve"> those rules.  </w:t>
      </w:r>
      <w:r w:rsidR="00786C4A">
        <w:rPr>
          <w:i/>
        </w:rPr>
        <w:t xml:space="preserve">See generally </w:t>
      </w:r>
      <w:r w:rsidR="00786C4A">
        <w:t>Supplement; s</w:t>
      </w:r>
      <w:r w:rsidRPr="00D85A63">
        <w:rPr>
          <w:i/>
        </w:rPr>
        <w:t>ee</w:t>
      </w:r>
      <w:r w:rsidR="00786C4A">
        <w:rPr>
          <w:i/>
        </w:rPr>
        <w:t xml:space="preserve"> also</w:t>
      </w:r>
      <w:r w:rsidRPr="00D85A63">
        <w:rPr>
          <w:i/>
        </w:rPr>
        <w:t xml:space="preserve"> </w:t>
      </w:r>
      <w:r w:rsidRPr="00D85A63">
        <w:t>47 CFR §</w:t>
      </w:r>
      <w:r w:rsidRPr="00D85A63" w:rsidR="001A55B3">
        <w:t xml:space="preserve">§ </w:t>
      </w:r>
      <w:r w:rsidRPr="00D85A63">
        <w:t xml:space="preserve">1.5000 </w:t>
      </w:r>
      <w:r w:rsidRPr="00D85A63">
        <w:rPr>
          <w:i/>
        </w:rPr>
        <w:t>et seq</w:t>
      </w:r>
      <w:r w:rsidRPr="00D85A63">
        <w:t>.</w:t>
      </w:r>
    </w:p>
  </w:footnote>
  <w:footnote w:id="6">
    <w:p w:rsidR="00212EDE" w:rsidRPr="00D85A63" w:rsidP="00212EDE">
      <w:pPr>
        <w:pStyle w:val="FootnoteText"/>
      </w:pPr>
      <w:r>
        <w:rPr>
          <w:rStyle w:val="FootnoteReference"/>
        </w:rPr>
        <w:footnoteRef/>
      </w:r>
      <w:r>
        <w:t xml:space="preserve"> </w:t>
      </w:r>
      <w:r>
        <w:rPr>
          <w:i/>
          <w:iCs/>
        </w:rPr>
        <w:t>Hemisphere Media Group, Inc.</w:t>
      </w:r>
      <w:r>
        <w:t>, Declaratory Ruling, 32 FCC Rcd 718 (MB 2017) (</w:t>
      </w:r>
      <w:bookmarkStart w:id="3" w:name="_Hlk512332171"/>
      <w:r w:rsidRPr="00833A55">
        <w:rPr>
          <w:i/>
        </w:rPr>
        <w:t>2017 Declaratory Ruling</w:t>
      </w:r>
      <w:bookmarkEnd w:id="3"/>
      <w:r>
        <w:t xml:space="preserve">); </w:t>
      </w:r>
      <w:r>
        <w:rPr>
          <w:i/>
        </w:rPr>
        <w:t xml:space="preserve">see also </w:t>
      </w:r>
      <w:r>
        <w:rPr>
          <w:i/>
          <w:iCs/>
        </w:rPr>
        <w:t>Hemisphere Media Group, Inc.</w:t>
      </w:r>
      <w:r>
        <w:t xml:space="preserve">, Declaratory Ruling, 33 FCC Rcd 8779 (MB 2018) (revising the </w:t>
      </w:r>
      <w:r w:rsidRPr="00833A55">
        <w:rPr>
          <w:i/>
        </w:rPr>
        <w:t>2017 Declaratory Ruling</w:t>
      </w:r>
      <w:r w:rsidRPr="00ED3FF9">
        <w:t xml:space="preserve"> </w:t>
      </w:r>
      <w:r>
        <w:t xml:space="preserve">to permit </w:t>
      </w:r>
      <w:r w:rsidRPr="00ED3FF9">
        <w:t xml:space="preserve">Banco Santander (México, S.A.), a Mexican </w:t>
      </w:r>
      <w:r w:rsidR="00B834C9">
        <w:t>c</w:t>
      </w:r>
      <w:r w:rsidRPr="00ED3FF9">
        <w:t>orporation</w:t>
      </w:r>
      <w:r>
        <w:t>,</w:t>
      </w:r>
      <w:r w:rsidRPr="00ED3FF9">
        <w:t xml:space="preserve"> and affiliated entities, to hold up to 49.99</w:t>
      </w:r>
      <w:r w:rsidR="00E767E3">
        <w:t xml:space="preserve"> percent</w:t>
      </w:r>
      <w:r w:rsidRPr="00ED3FF9">
        <w:t xml:space="preserve"> of the voting interests and up to 49.99</w:t>
      </w:r>
      <w:r w:rsidR="00E767E3">
        <w:t xml:space="preserve"> percent</w:t>
      </w:r>
      <w:r w:rsidRPr="00ED3FF9">
        <w:t xml:space="preserve"> of the equity of HMTV</w:t>
      </w:r>
      <w:r>
        <w:t>) (</w:t>
      </w:r>
      <w:r w:rsidRPr="00833A55">
        <w:rPr>
          <w:i/>
        </w:rPr>
        <w:t>201</w:t>
      </w:r>
      <w:r>
        <w:rPr>
          <w:i/>
        </w:rPr>
        <w:t>8</w:t>
      </w:r>
      <w:r w:rsidRPr="00833A55">
        <w:rPr>
          <w:i/>
        </w:rPr>
        <w:t xml:space="preserve"> Declaratory Ruling</w:t>
      </w:r>
      <w:r>
        <w:t xml:space="preserve">).  The </w:t>
      </w:r>
      <w:r w:rsidRPr="00976B92">
        <w:rPr>
          <w:i/>
        </w:rPr>
        <w:t>2017 Declaratory Ruling</w:t>
      </w:r>
      <w:r>
        <w:t xml:space="preserve"> was adopted after the release of the order revising the Commission foreign ownership rules, but before the new rules had gone into effect.  </w:t>
      </w:r>
      <w:r>
        <w:rPr>
          <w:i/>
        </w:rPr>
        <w:t>See generally Review of Foreign Ownership Policies for Broadcast, Common Carrier and Aeronautical Radio Licensees under Section 310(b)(4) of the Communications Act of 1934, as Amended</w:t>
      </w:r>
      <w:r w:rsidR="00D924A2">
        <w:t xml:space="preserve">, </w:t>
      </w:r>
      <w:r>
        <w:t>Report and Order,</w:t>
      </w:r>
      <w:r w:rsidR="00EC2F8B">
        <w:t xml:space="preserve"> </w:t>
      </w:r>
      <w:r>
        <w:t>31 FCC Rcd 11272 (2016)</w:t>
      </w:r>
      <w:r w:rsidR="00204298">
        <w:t xml:space="preserve"> (</w:t>
      </w:r>
      <w:r w:rsidRPr="00204298" w:rsidR="00204298">
        <w:rPr>
          <w:i/>
        </w:rPr>
        <w:t>2016 Foreign Ownership Order</w:t>
      </w:r>
      <w:r w:rsidR="00204298">
        <w:t>)</w:t>
      </w:r>
      <w:r>
        <w:t xml:space="preserve">.  Accordingly, the </w:t>
      </w:r>
      <w:r w:rsidR="00877767">
        <w:t xml:space="preserve">initial </w:t>
      </w:r>
      <w:r>
        <w:t xml:space="preserve">ruling—which incorporates the limited modifications adopted in the </w:t>
      </w:r>
      <w:r w:rsidRPr="000023BC">
        <w:rPr>
          <w:i/>
        </w:rPr>
        <w:t>2018 Declaratory Ruling</w:t>
      </w:r>
      <w:r>
        <w:t xml:space="preserve">—was issued under the broadcast foreign ownership policy as set forth by the Commission in 2013.  </w:t>
      </w:r>
      <w:r>
        <w:rPr>
          <w:i/>
        </w:rPr>
        <w:t xml:space="preserve">See generally Commission Policies and Procedures </w:t>
      </w:r>
      <w:r w:rsidR="00877767">
        <w:rPr>
          <w:i/>
        </w:rPr>
        <w:t>U</w:t>
      </w:r>
      <w:r>
        <w:rPr>
          <w:i/>
        </w:rPr>
        <w:t>nder Section 310(b)(4) of the Communications Act, Foreign Investment in Broadcast Licensees</w:t>
      </w:r>
      <w:r>
        <w:t>, Declaratory Ruling, 28 FCC Rcd 16244 (2013)</w:t>
      </w:r>
      <w:r w:rsidR="00204298">
        <w:t xml:space="preserve"> (</w:t>
      </w:r>
      <w:r w:rsidRPr="000F1098" w:rsidR="00204298">
        <w:rPr>
          <w:i/>
        </w:rPr>
        <w:t>2013 Broadcast Clarification Ruling</w:t>
      </w:r>
      <w:r w:rsidRPr="00204298" w:rsidR="00204298">
        <w:t>)</w:t>
      </w:r>
      <w:r>
        <w:t>.  As noted above, th</w:t>
      </w:r>
      <w:r w:rsidRPr="00D85A63">
        <w:t>e Petition seeks a new ruling under the rules</w:t>
      </w:r>
      <w:r w:rsidR="00BF7AD6">
        <w:t xml:space="preserve"> as revised in 2016</w:t>
      </w:r>
      <w:r w:rsidRPr="00D85A63">
        <w:t>.</w:t>
      </w:r>
    </w:p>
  </w:footnote>
  <w:footnote w:id="7">
    <w:p w:rsidR="00212EDE" w:rsidP="00212EDE">
      <w:pPr>
        <w:pStyle w:val="FootnoteText"/>
      </w:pPr>
      <w:r w:rsidRPr="00D85A63">
        <w:rPr>
          <w:rStyle w:val="FootnoteReference"/>
        </w:rPr>
        <w:footnoteRef/>
      </w:r>
      <w:r w:rsidRPr="00D85A63">
        <w:t xml:space="preserve"> </w:t>
      </w:r>
      <w:r w:rsidRPr="00D85A63">
        <w:rPr>
          <w:i/>
        </w:rPr>
        <w:t>See</w:t>
      </w:r>
      <w:r w:rsidRPr="00D85A63">
        <w:t xml:space="preserve"> Petition at 1; Supplement at 2-5.</w:t>
      </w:r>
    </w:p>
  </w:footnote>
  <w:footnote w:id="8">
    <w:p w:rsidR="00995DE6">
      <w:pPr>
        <w:pStyle w:val="FootnoteText"/>
      </w:pPr>
      <w:r>
        <w:rPr>
          <w:rStyle w:val="FootnoteReference"/>
        </w:rPr>
        <w:footnoteRef/>
      </w:r>
      <w:r>
        <w:t xml:space="preserve"> </w:t>
      </w:r>
      <w:r w:rsidR="00A71D1D">
        <w:t xml:space="preserve">Petition for Declaratory Ruling of Hemisphere Media Group, Inc., MB Docket No. 16-238 (filed July 8, 2016).  </w:t>
      </w:r>
    </w:p>
  </w:footnote>
  <w:footnote w:id="9">
    <w:p w:rsidR="00BD3DD9" w:rsidRPr="008054D5" w:rsidP="00BD3DD9">
      <w:pPr>
        <w:pStyle w:val="FootnoteText"/>
      </w:pPr>
      <w:r w:rsidRPr="008054D5">
        <w:rPr>
          <w:rStyle w:val="FootnoteReference"/>
        </w:rPr>
        <w:footnoteRef/>
      </w:r>
      <w:r w:rsidRPr="008054D5">
        <w:t xml:space="preserve"> </w:t>
      </w:r>
      <w:r w:rsidR="00545E25">
        <w:rPr>
          <w:i/>
        </w:rPr>
        <w:t>2017</w:t>
      </w:r>
      <w:r w:rsidRPr="008054D5">
        <w:rPr>
          <w:i/>
        </w:rPr>
        <w:t xml:space="preserve"> Declaratory Ruling</w:t>
      </w:r>
      <w:r w:rsidRPr="00185518">
        <w:t>,</w:t>
      </w:r>
      <w:r w:rsidRPr="008054D5">
        <w:rPr>
          <w:i/>
        </w:rPr>
        <w:t xml:space="preserve"> </w:t>
      </w:r>
      <w:r w:rsidRPr="008054D5">
        <w:t>32 FCC Rcd at 725</w:t>
      </w:r>
      <w:r w:rsidR="00185518">
        <w:t>, para. 19</w:t>
      </w:r>
      <w:r w:rsidR="008674DD">
        <w:t xml:space="preserve">; </w:t>
      </w:r>
      <w:r w:rsidR="008674DD">
        <w:rPr>
          <w:i/>
        </w:rPr>
        <w:t xml:space="preserve">see also </w:t>
      </w:r>
      <w:r w:rsidRPr="008674DD" w:rsidR="008674DD">
        <w:t>47 U.S.C. § 310(b)(4)</w:t>
      </w:r>
      <w:r w:rsidRPr="008054D5">
        <w:t>.</w:t>
      </w:r>
    </w:p>
  </w:footnote>
  <w:footnote w:id="10">
    <w:p w:rsidR="00BD3DD9" w:rsidRPr="00185518" w:rsidP="00BD3DD9">
      <w:pPr>
        <w:pStyle w:val="FootnoteText"/>
      </w:pPr>
      <w:r w:rsidRPr="008054D5">
        <w:rPr>
          <w:rStyle w:val="FootnoteReference"/>
        </w:rPr>
        <w:footnoteRef/>
      </w:r>
      <w:r w:rsidRPr="008054D5">
        <w:t xml:space="preserve"> </w:t>
      </w:r>
      <w:r w:rsidRPr="008054D5">
        <w:rPr>
          <w:i/>
        </w:rPr>
        <w:t>Id.</w:t>
      </w:r>
      <w:r w:rsidR="005D4789">
        <w:rPr>
          <w:i/>
        </w:rPr>
        <w:t xml:space="preserve"> </w:t>
      </w:r>
      <w:r w:rsidR="00185518">
        <w:t>at 725, para. 20.</w:t>
      </w:r>
    </w:p>
  </w:footnote>
  <w:footnote w:id="11">
    <w:p w:rsidR="00BD3DD9" w:rsidRPr="0025201A" w:rsidP="00BD3DD9">
      <w:pPr>
        <w:pStyle w:val="FootnoteText"/>
      </w:pPr>
      <w:r>
        <w:rPr>
          <w:rStyle w:val="FootnoteReference"/>
        </w:rPr>
        <w:footnoteRef/>
      </w:r>
      <w:r>
        <w:t xml:space="preserve"> </w:t>
      </w:r>
      <w:r>
        <w:rPr>
          <w:i/>
        </w:rPr>
        <w:t xml:space="preserve">Id. </w:t>
      </w:r>
      <w:r>
        <w:t>at 719</w:t>
      </w:r>
      <w:r w:rsidR="00185518">
        <w:t>, para. 5</w:t>
      </w:r>
      <w:r>
        <w:t>.</w:t>
      </w:r>
    </w:p>
  </w:footnote>
  <w:footnote w:id="12">
    <w:p w:rsidR="00BD3DD9" w:rsidRPr="0025201A" w:rsidP="00BD3DD9">
      <w:pPr>
        <w:pStyle w:val="FootnoteText"/>
      </w:pPr>
      <w:r>
        <w:rPr>
          <w:rStyle w:val="FootnoteReference"/>
        </w:rPr>
        <w:footnoteRef/>
      </w:r>
      <w:r>
        <w:t xml:space="preserve"> </w:t>
      </w:r>
      <w:r>
        <w:rPr>
          <w:i/>
        </w:rPr>
        <w:t>Id.</w:t>
      </w:r>
    </w:p>
  </w:footnote>
  <w:footnote w:id="13">
    <w:p w:rsidR="00BD3DD9" w:rsidRPr="00F05806" w:rsidP="00BD3DD9">
      <w:pPr>
        <w:pStyle w:val="FootnoteText"/>
      </w:pPr>
      <w:r>
        <w:rPr>
          <w:rStyle w:val="FootnoteReference"/>
        </w:rPr>
        <w:footnoteRef/>
      </w:r>
      <w:r>
        <w:t xml:space="preserve"> </w:t>
      </w:r>
      <w:r>
        <w:rPr>
          <w:i/>
        </w:rPr>
        <w:t>Id.</w:t>
      </w:r>
      <w:r w:rsidR="00DD07E5">
        <w:rPr>
          <w:i/>
        </w:rPr>
        <w:t xml:space="preserve"> </w:t>
      </w:r>
      <w:r>
        <w:rPr>
          <w:i/>
        </w:rPr>
        <w:t xml:space="preserve"> </w:t>
      </w:r>
      <w:r>
        <w:t xml:space="preserve">The </w:t>
      </w:r>
      <w:r w:rsidR="00204298">
        <w:rPr>
          <w:i/>
        </w:rPr>
        <w:t>2017</w:t>
      </w:r>
      <w:r>
        <w:rPr>
          <w:i/>
        </w:rPr>
        <w:t xml:space="preserve"> Declaratory Ruling </w:t>
      </w:r>
      <w:r>
        <w:t xml:space="preserve">identified the immediate parent of Cinéma Aeropuerto as </w:t>
      </w:r>
      <w:r>
        <w:rPr>
          <w:rFonts w:ascii="TimesNewRomanMTStd" w:hAnsi="TimesNewRomanMTStd" w:cs="TimesNewRomanMTStd"/>
        </w:rPr>
        <w:t xml:space="preserve">Grupo </w:t>
      </w:r>
      <w:r>
        <w:rPr>
          <w:rFonts w:ascii="TimesNewRomanMTStd" w:hAnsi="TimesNewRomanMTStd" w:cs="TimesNewRomanMTStd"/>
        </w:rPr>
        <w:t>Frecuencia</w:t>
      </w:r>
      <w:r>
        <w:rPr>
          <w:rFonts w:ascii="TimesNewRomanMTStd" w:hAnsi="TimesNewRomanMTStd" w:cs="TimesNewRomanMTStd"/>
        </w:rPr>
        <w:t xml:space="preserve"> </w:t>
      </w:r>
      <w:r>
        <w:rPr>
          <w:rFonts w:ascii="TimesNewRomanMTStd" w:hAnsi="TimesNewRomanMTStd" w:cs="TimesNewRomanMTStd"/>
        </w:rPr>
        <w:t>Modulada</w:t>
      </w:r>
      <w:r>
        <w:rPr>
          <w:rFonts w:ascii="TimesNewRomanMTStd" w:hAnsi="TimesNewRomanMTStd" w:cs="TimesNewRomanMTStd"/>
        </w:rPr>
        <w:t xml:space="preserve"> Televisión, S.A. de C.V., but the name of the company was changed to Utrera S.A. de C.V.  </w:t>
      </w:r>
      <w:r w:rsidR="00185518">
        <w:t>Petition for Remedial Declaratory Ruling</w:t>
      </w:r>
      <w:r w:rsidR="00204298">
        <w:t xml:space="preserve"> of Hemisphere Media Group, Inc.</w:t>
      </w:r>
      <w:r w:rsidR="00185518">
        <w:t xml:space="preserve">, MB Docket No. 18-134, at 7 </w:t>
      </w:r>
      <w:r w:rsidR="00A71D1D">
        <w:t xml:space="preserve">(filed Apr. 23, 2018) </w:t>
      </w:r>
      <w:r w:rsidR="00185518">
        <w:t>(2018 Petition)</w:t>
      </w:r>
      <w:r>
        <w:rPr>
          <w:rFonts w:ascii="TimesNewRomanMTStd" w:hAnsi="TimesNewRomanMTStd" w:cs="TimesNewRomanMTStd"/>
        </w:rPr>
        <w:t xml:space="preserve">.  Also, HMTV clarified in </w:t>
      </w:r>
      <w:r w:rsidR="00877767">
        <w:rPr>
          <w:rFonts w:ascii="TimesNewRomanMTStd" w:hAnsi="TimesNewRomanMTStd" w:cs="TimesNewRomanMTStd"/>
        </w:rPr>
        <w:t>the</w:t>
      </w:r>
      <w:r>
        <w:rPr>
          <w:rFonts w:ascii="TimesNewRomanMTStd" w:hAnsi="TimesNewRomanMTStd" w:cs="TimesNewRomanMTStd"/>
        </w:rPr>
        <w:t xml:space="preserve"> </w:t>
      </w:r>
      <w:r w:rsidR="00185518">
        <w:rPr>
          <w:rFonts w:ascii="TimesNewRomanMTStd" w:hAnsi="TimesNewRomanMTStd" w:cs="TimesNewRomanMTStd"/>
        </w:rPr>
        <w:t>2018</w:t>
      </w:r>
      <w:r>
        <w:rPr>
          <w:rFonts w:ascii="TimesNewRomanMTStd" w:hAnsi="TimesNewRomanMTStd" w:cs="TimesNewRomanMTStd"/>
        </w:rPr>
        <w:t xml:space="preserve"> Petition that the trust holds a 98.06</w:t>
      </w:r>
      <w:r w:rsidR="004B253B">
        <w:rPr>
          <w:rFonts w:ascii="TimesNewRomanMTStd" w:hAnsi="TimesNewRomanMTStd" w:cs="TimesNewRomanMTStd"/>
        </w:rPr>
        <w:t xml:space="preserve"> percent</w:t>
      </w:r>
      <w:r>
        <w:rPr>
          <w:rFonts w:ascii="TimesNewRomanMTStd" w:hAnsi="TimesNewRomanMTStd" w:cs="TimesNewRomanMTStd"/>
        </w:rPr>
        <w:t xml:space="preserve"> interest in Grupo MVS, not the 99.56</w:t>
      </w:r>
      <w:r w:rsidR="004B253B">
        <w:rPr>
          <w:rFonts w:ascii="TimesNewRomanMTStd" w:hAnsi="TimesNewRomanMTStd" w:cs="TimesNewRomanMTStd"/>
        </w:rPr>
        <w:t xml:space="preserve"> percent</w:t>
      </w:r>
      <w:r>
        <w:rPr>
          <w:rFonts w:ascii="TimesNewRomanMTStd" w:hAnsi="TimesNewRomanMTStd" w:cs="TimesNewRomanMTStd"/>
        </w:rPr>
        <w:t xml:space="preserve"> previously reported.  </w:t>
      </w:r>
      <w:r>
        <w:rPr>
          <w:rFonts w:ascii="TimesNewRomanMTStd" w:hAnsi="TimesNewRomanMTStd" w:cs="TimesNewRomanMTStd"/>
          <w:i/>
        </w:rPr>
        <w:t>Id.</w:t>
      </w:r>
    </w:p>
  </w:footnote>
  <w:footnote w:id="14">
    <w:p w:rsidR="000B6CEC" w:rsidP="000B6CEC">
      <w:pPr>
        <w:pStyle w:val="FootnoteText"/>
      </w:pPr>
      <w:r>
        <w:rPr>
          <w:rStyle w:val="FootnoteReference"/>
        </w:rPr>
        <w:footnoteRef/>
      </w:r>
      <w:r>
        <w:t xml:space="preserve"> </w:t>
      </w:r>
      <w:bookmarkStart w:id="5" w:name="_Hlk512341316"/>
      <w:r>
        <w:t>2018 Petition</w:t>
      </w:r>
      <w:bookmarkEnd w:id="5"/>
      <w:r w:rsidR="00185518">
        <w:t xml:space="preserve"> at 2</w:t>
      </w:r>
      <w:r>
        <w:t>.</w:t>
      </w:r>
      <w:r w:rsidRPr="00F7144F">
        <w:t xml:space="preserve"> </w:t>
      </w:r>
    </w:p>
  </w:footnote>
  <w:footnote w:id="15">
    <w:p w:rsidR="000B6CEC" w:rsidRPr="003F46C6" w:rsidP="000B6CEC">
      <w:pPr>
        <w:pStyle w:val="FootnoteText"/>
        <w:rPr>
          <w:i/>
        </w:rPr>
      </w:pPr>
      <w:r w:rsidRPr="003F46C6">
        <w:rPr>
          <w:rStyle w:val="FootnoteReference"/>
        </w:rPr>
        <w:footnoteRef/>
      </w:r>
      <w:r w:rsidRPr="003F46C6">
        <w:t xml:space="preserve"> </w:t>
      </w:r>
      <w:r w:rsidRPr="003F46C6">
        <w:rPr>
          <w:i/>
        </w:rPr>
        <w:t xml:space="preserve">Id.  </w:t>
      </w:r>
      <w:r w:rsidRPr="003F46C6">
        <w:t xml:space="preserve">HMTV confirmed with Cinema Aeropuerto and its counsel that there were no other changes to the trust structure </w:t>
      </w:r>
      <w:r w:rsidRPr="003F46C6">
        <w:rPr>
          <w:snapToGrid w:val="0"/>
        </w:rPr>
        <w:t>other</w:t>
      </w:r>
      <w:r w:rsidRPr="003F46C6">
        <w:t xml:space="preserve"> than the replacement of HSBC Mexico by Banco Santander (Mexico).  </w:t>
      </w:r>
      <w:r w:rsidRPr="003F46C6">
        <w:rPr>
          <w:i/>
        </w:rPr>
        <w:t>Id.</w:t>
      </w:r>
    </w:p>
  </w:footnote>
  <w:footnote w:id="16">
    <w:p w:rsidR="000B6CEC" w:rsidP="000B6CEC">
      <w:pPr>
        <w:pStyle w:val="FootnoteText"/>
      </w:pPr>
      <w:r>
        <w:rPr>
          <w:rStyle w:val="FootnoteReference"/>
        </w:rPr>
        <w:footnoteRef/>
      </w:r>
      <w:r>
        <w:t xml:space="preserve"> </w:t>
      </w:r>
      <w:r>
        <w:rPr>
          <w:i/>
        </w:rPr>
        <w:t>Id.</w:t>
      </w:r>
    </w:p>
  </w:footnote>
  <w:footnote w:id="17">
    <w:p w:rsidR="000B6CEC" w:rsidRPr="00F7144F" w:rsidP="000B6CEC">
      <w:pPr>
        <w:pStyle w:val="FootnoteText"/>
      </w:pPr>
      <w:r>
        <w:rPr>
          <w:rStyle w:val="FootnoteReference"/>
        </w:rPr>
        <w:footnoteRef/>
      </w:r>
      <w:r>
        <w:t xml:space="preserve"> </w:t>
      </w:r>
      <w:r w:rsidRPr="00833A55">
        <w:rPr>
          <w:i/>
        </w:rPr>
        <w:t>201</w:t>
      </w:r>
      <w:r>
        <w:rPr>
          <w:i/>
        </w:rPr>
        <w:t>8</w:t>
      </w:r>
      <w:r w:rsidRPr="00833A55">
        <w:rPr>
          <w:i/>
        </w:rPr>
        <w:t xml:space="preserve"> Declaratory Ruling</w:t>
      </w:r>
      <w:r>
        <w:t>, 33 FCC Rcd at 8779, para. 1.</w:t>
      </w:r>
    </w:p>
  </w:footnote>
  <w:footnote w:id="18">
    <w:p w:rsidR="00984C4D" w:rsidRPr="00416685">
      <w:pPr>
        <w:pStyle w:val="FootnoteText"/>
      </w:pPr>
      <w:r>
        <w:rPr>
          <w:rStyle w:val="FootnoteReference"/>
        </w:rPr>
        <w:footnoteRef/>
      </w:r>
      <w:r>
        <w:t xml:space="preserve"> </w:t>
      </w:r>
      <w:r w:rsidR="00416685">
        <w:rPr>
          <w:i/>
        </w:rPr>
        <w:t xml:space="preserve">Media Bureau Announces Filing of Petition for Declaratory Ruling by Hemisphere Media Group, </w:t>
      </w:r>
      <w:r w:rsidR="00DF6546">
        <w:rPr>
          <w:i/>
        </w:rPr>
        <w:t>Inc., and</w:t>
      </w:r>
      <w:r w:rsidR="00416685">
        <w:rPr>
          <w:i/>
        </w:rPr>
        <w:t xml:space="preserve"> Permit-but-Disclose Status for the Proceeding</w:t>
      </w:r>
      <w:r w:rsidRPr="00DF6546" w:rsidR="00416685">
        <w:t>,</w:t>
      </w:r>
      <w:r w:rsidR="00416685">
        <w:t xml:space="preserve"> </w:t>
      </w:r>
      <w:r w:rsidR="00DF6546">
        <w:t xml:space="preserve">Public Notice, </w:t>
      </w:r>
      <w:r w:rsidR="00416685">
        <w:t xml:space="preserve">DA 19-636 (MB </w:t>
      </w:r>
      <w:r w:rsidR="00DF6546">
        <w:t xml:space="preserve">July 10, </w:t>
      </w:r>
      <w:r w:rsidR="00416685">
        <w:t>2019).</w:t>
      </w:r>
    </w:p>
  </w:footnote>
  <w:footnote w:id="19">
    <w:p w:rsidR="004F4C9D" w:rsidP="004F4C9D">
      <w:pPr>
        <w:pStyle w:val="FootnoteText"/>
      </w:pPr>
      <w:r>
        <w:rPr>
          <w:rStyle w:val="FootnoteReference"/>
        </w:rPr>
        <w:footnoteRef/>
      </w:r>
      <w:r>
        <w:t xml:space="preserve"> </w:t>
      </w:r>
      <w:r w:rsidR="008130E6">
        <w:t xml:space="preserve">During the comment period, the U.S. Department of Justice requested that the Commission defer action on the Petition while the matter was under review by the Executive Branch.  </w:t>
      </w:r>
      <w:r w:rsidRPr="008130E6" w:rsidR="008130E6">
        <w:t xml:space="preserve">Letter from </w:t>
      </w:r>
      <w:r w:rsidR="008130E6">
        <w:t>Lee Licata</w:t>
      </w:r>
      <w:r w:rsidRPr="008130E6" w:rsidR="008130E6">
        <w:t>,</w:t>
      </w:r>
      <w:r w:rsidR="008130E6">
        <w:t xml:space="preserve"> Attorney Advisor</w:t>
      </w:r>
      <w:r w:rsidRPr="008130E6" w:rsidR="008130E6">
        <w:t>, National Security Division, U.S. Department of Justice, to Marlene Dortch, Secretary, Federal Communications Commission, MB Docket</w:t>
      </w:r>
      <w:r w:rsidR="00DD01B8">
        <w:t xml:space="preserve"> No.</w:t>
      </w:r>
      <w:r w:rsidRPr="008130E6" w:rsidR="008130E6">
        <w:t xml:space="preserve"> 19-194 (</w:t>
      </w:r>
      <w:r w:rsidR="008130E6">
        <w:t>July 12</w:t>
      </w:r>
      <w:r w:rsidRPr="008130E6" w:rsidR="008130E6">
        <w:t xml:space="preserve">, 2019).  </w:t>
      </w:r>
      <w:r w:rsidRPr="00914265">
        <w:t xml:space="preserve">On </w:t>
      </w:r>
      <w:r w:rsidRPr="00914265" w:rsidR="00914265">
        <w:t>November 15</w:t>
      </w:r>
      <w:r w:rsidRPr="00914265">
        <w:t xml:space="preserve">, 2019, the Commission received a letter stating that the reviewing Executive Branch agencies have no objection to the Petition.  </w:t>
      </w:r>
      <w:r w:rsidRPr="00914265">
        <w:rPr>
          <w:i/>
        </w:rPr>
        <w:t xml:space="preserve">See </w:t>
      </w:r>
      <w:r w:rsidRPr="00914265">
        <w:t xml:space="preserve">Letter from </w:t>
      </w:r>
      <w:r w:rsidRPr="00914265" w:rsidR="007020A7">
        <w:t>Lee Licata, Attorney Advisor</w:t>
      </w:r>
      <w:r w:rsidRPr="00914265">
        <w:t>, National Security Division, U.S. Department of Justice, to Marlene Dortch, Secretary, Federal Communications Commission, MB Docket</w:t>
      </w:r>
      <w:r w:rsidRPr="00914265" w:rsidR="00DD01B8">
        <w:t xml:space="preserve"> No.</w:t>
      </w:r>
      <w:r w:rsidRPr="00914265">
        <w:t xml:space="preserve"> 19-194</w:t>
      </w:r>
      <w:r w:rsidRPr="00914265" w:rsidR="006F69C3">
        <w:t xml:space="preserve"> (</w:t>
      </w:r>
      <w:r w:rsidRPr="00914265" w:rsidR="00914265">
        <w:t>November 15</w:t>
      </w:r>
      <w:r w:rsidR="0076773C">
        <w:t>,</w:t>
      </w:r>
      <w:r w:rsidRPr="00914265" w:rsidR="006F69C3">
        <w:t xml:space="preserve"> 2019)</w:t>
      </w:r>
      <w:r w:rsidRPr="00914265">
        <w:t>.</w:t>
      </w:r>
    </w:p>
  </w:footnote>
  <w:footnote w:id="20">
    <w:p w:rsidR="000F1098">
      <w:pPr>
        <w:pStyle w:val="FootnoteText"/>
      </w:pPr>
      <w:r>
        <w:rPr>
          <w:rStyle w:val="FootnoteReference"/>
        </w:rPr>
        <w:footnoteRef/>
      </w:r>
      <w:r>
        <w:t xml:space="preserve"> 47 U.S.C. § 310(b)(4).</w:t>
      </w:r>
    </w:p>
  </w:footnote>
  <w:footnote w:id="21">
    <w:p w:rsidR="00204298" w:rsidRPr="00204298">
      <w:pPr>
        <w:pStyle w:val="FootnoteText"/>
      </w:pPr>
      <w:r>
        <w:rPr>
          <w:rStyle w:val="FootnoteReference"/>
        </w:rPr>
        <w:footnoteRef/>
      </w:r>
      <w:r>
        <w:t xml:space="preserve"> </w:t>
      </w:r>
      <w:r>
        <w:rPr>
          <w:i/>
        </w:rPr>
        <w:t xml:space="preserve">See generally </w:t>
      </w:r>
      <w:r w:rsidRPr="000F1098">
        <w:rPr>
          <w:i/>
        </w:rPr>
        <w:t>2013 Broadcast Clarification Ruling</w:t>
      </w:r>
      <w:r>
        <w:t>, 28 FCC Rcd 16244.</w:t>
      </w:r>
    </w:p>
  </w:footnote>
  <w:footnote w:id="22">
    <w:p w:rsidR="00204298" w:rsidRPr="00204298">
      <w:pPr>
        <w:pStyle w:val="FootnoteText"/>
      </w:pPr>
      <w:r>
        <w:rPr>
          <w:rStyle w:val="FootnoteReference"/>
        </w:rPr>
        <w:footnoteRef/>
      </w:r>
      <w:r>
        <w:t xml:space="preserve"> </w:t>
      </w:r>
      <w:r>
        <w:rPr>
          <w:i/>
        </w:rPr>
        <w:t xml:space="preserve">See generally </w:t>
      </w:r>
      <w:r w:rsidRPr="000F1098">
        <w:rPr>
          <w:i/>
        </w:rPr>
        <w:t>2016 Foreign Ownership Order</w:t>
      </w:r>
      <w:r>
        <w:t>, 31 FCC Rcd 11272.</w:t>
      </w:r>
    </w:p>
  </w:footnote>
  <w:footnote w:id="23">
    <w:p w:rsidR="006E1F85">
      <w:pPr>
        <w:pStyle w:val="FootnoteText"/>
      </w:pPr>
      <w:r>
        <w:rPr>
          <w:rStyle w:val="FootnoteReference"/>
        </w:rPr>
        <w:footnoteRef/>
      </w:r>
      <w:r>
        <w:t xml:space="preserve"> </w:t>
      </w:r>
      <w:r w:rsidR="008130E6">
        <w:rPr>
          <w:i/>
        </w:rPr>
        <w:t>Id.</w:t>
      </w:r>
      <w:r>
        <w:t xml:space="preserve"> at 11277, para 6</w:t>
      </w:r>
      <w:r w:rsidR="008130E6">
        <w:t xml:space="preserve">; </w:t>
      </w:r>
      <w:r w:rsidR="008130E6">
        <w:rPr>
          <w:i/>
        </w:rPr>
        <w:t>s</w:t>
      </w:r>
      <w:r>
        <w:rPr>
          <w:i/>
        </w:rPr>
        <w:t xml:space="preserve">ee also </w:t>
      </w:r>
      <w:r w:rsidRPr="006C11A1">
        <w:rPr>
          <w:i/>
        </w:rPr>
        <w:t xml:space="preserve">Rules and Policies on </w:t>
      </w:r>
      <w:r>
        <w:rPr>
          <w:i/>
          <w:iCs/>
        </w:rPr>
        <w:t xml:space="preserve">Foreign Participation in the U.S. Telecommunications Market; </w:t>
      </w:r>
      <w:r w:rsidRPr="005A43E9">
        <w:rPr>
          <w:i/>
          <w:iCs/>
        </w:rPr>
        <w:t>Market Entry and Regulation of Foreign-Affiliated Entities</w:t>
      </w:r>
      <w:r w:rsidRPr="005A43E9">
        <w:t>, Report and Order and Order on Reconsideration, 12 FCC Rcd 23891, 2391</w:t>
      </w:r>
      <w:r>
        <w:t>9-21</w:t>
      </w:r>
      <w:r w:rsidRPr="005A43E9">
        <w:t>, para</w:t>
      </w:r>
      <w:r>
        <w:t>s</w:t>
      </w:r>
      <w:r w:rsidRPr="005A43E9">
        <w:t xml:space="preserve">. </w:t>
      </w:r>
      <w:r>
        <w:t>61-6</w:t>
      </w:r>
      <w:r w:rsidR="00CB1024">
        <w:t>3</w:t>
      </w:r>
      <w:r>
        <w:t>, 66</w:t>
      </w:r>
      <w:r w:rsidRPr="005A43E9">
        <w:t xml:space="preserve"> (1997), </w:t>
      </w:r>
      <w:r w:rsidRPr="005A43E9">
        <w:rPr>
          <w:i/>
        </w:rPr>
        <w:t>recon. denied</w:t>
      </w:r>
      <w:r w:rsidRPr="005A43E9">
        <w:t>, 15 FCC Rcd 18158 (2000)</w:t>
      </w:r>
      <w:r w:rsidR="00F73681">
        <w:t>.</w:t>
      </w:r>
    </w:p>
  </w:footnote>
  <w:footnote w:id="24">
    <w:p w:rsidR="000F1098" w:rsidRPr="005F6BD4">
      <w:pPr>
        <w:pStyle w:val="FootnoteText"/>
      </w:pPr>
      <w:r>
        <w:rPr>
          <w:rStyle w:val="FootnoteReference"/>
        </w:rPr>
        <w:footnoteRef/>
      </w:r>
      <w:r>
        <w:t xml:space="preserve"> </w:t>
      </w:r>
      <w:r w:rsidRPr="005F6BD4" w:rsidR="005F6BD4">
        <w:rPr>
          <w:i/>
        </w:rPr>
        <w:t xml:space="preserve">Application of </w:t>
      </w:r>
      <w:r w:rsidR="005F6BD4">
        <w:rPr>
          <w:i/>
        </w:rPr>
        <w:t>Fox Television Stations, Inc.</w:t>
      </w:r>
      <w:r w:rsidR="005F6BD4">
        <w:t>, Memorandum Opinion and Order, 10 FCC Rcd 8452, 8472, para. 44 (1995).</w:t>
      </w:r>
    </w:p>
  </w:footnote>
  <w:footnote w:id="25">
    <w:p w:rsidR="00771D74">
      <w:pPr>
        <w:pStyle w:val="FootnoteText"/>
      </w:pPr>
      <w:r>
        <w:rPr>
          <w:rStyle w:val="FootnoteReference"/>
        </w:rPr>
        <w:footnoteRef/>
      </w:r>
      <w:r>
        <w:t xml:space="preserve"> </w:t>
      </w:r>
      <w:r w:rsidRPr="000F1098">
        <w:rPr>
          <w:i/>
        </w:rPr>
        <w:t>2016 Foreign Ownership Order</w:t>
      </w:r>
      <w:r>
        <w:t>, 31 FCC Rcd at 11274, para. 4.</w:t>
      </w:r>
    </w:p>
  </w:footnote>
  <w:footnote w:id="26">
    <w:p w:rsidR="00DF6546">
      <w:pPr>
        <w:pStyle w:val="FootnoteText"/>
      </w:pPr>
      <w:r>
        <w:rPr>
          <w:rStyle w:val="FootnoteReference"/>
        </w:rPr>
        <w:footnoteRef/>
      </w:r>
      <w:r>
        <w:t xml:space="preserve"> </w:t>
      </w:r>
      <w:r>
        <w:rPr>
          <w:i/>
        </w:rPr>
        <w:t>See</w:t>
      </w:r>
      <w:r w:rsidR="006457C3">
        <w:rPr>
          <w:i/>
        </w:rPr>
        <w:t>, e.g.</w:t>
      </w:r>
      <w:r w:rsidR="006457C3">
        <w:t>,</w:t>
      </w:r>
      <w:r>
        <w:rPr>
          <w:i/>
        </w:rPr>
        <w:t xml:space="preserve"> </w:t>
      </w:r>
      <w:r w:rsidRPr="000F1098">
        <w:rPr>
          <w:i/>
        </w:rPr>
        <w:t>2016 Foreign Ownership Order</w:t>
      </w:r>
      <w:r>
        <w:t xml:space="preserve">, 31 FCC Rcd at </w:t>
      </w:r>
      <w:r w:rsidR="006457C3">
        <w:t xml:space="preserve">11282, </w:t>
      </w:r>
      <w:r>
        <w:t>11283-84, para</w:t>
      </w:r>
      <w:r w:rsidR="006457C3">
        <w:t>s</w:t>
      </w:r>
      <w:r>
        <w:t xml:space="preserve">. </w:t>
      </w:r>
      <w:r w:rsidR="006457C3">
        <w:t xml:space="preserve">15, </w:t>
      </w:r>
      <w:r>
        <w:t>20</w:t>
      </w:r>
      <w:r w:rsidR="006457C3">
        <w:t xml:space="preserve"> (noting that the</w:t>
      </w:r>
      <w:r w:rsidR="00B213CE">
        <w:t xml:space="preserve"> requirements adopted in the </w:t>
      </w:r>
      <w:r w:rsidR="006457C3">
        <w:t>streamlined foreign ownership rules ensure that the Commission has the information necessary to evaluate and understand a licensee’s ownership structure and to fulfill its obligations under section 310(b) of the Act)</w:t>
      </w:r>
      <w:r>
        <w:t>.</w:t>
      </w:r>
    </w:p>
  </w:footnote>
  <w:footnote w:id="27">
    <w:p w:rsidR="00BD3DD9" w:rsidRPr="00A32781" w:rsidP="00BD3DD9">
      <w:pPr>
        <w:pStyle w:val="FootnoteText"/>
      </w:pPr>
      <w:r>
        <w:rPr>
          <w:rStyle w:val="FootnoteReference"/>
        </w:rPr>
        <w:footnoteRef/>
      </w:r>
      <w:r>
        <w:t xml:space="preserve"> </w:t>
      </w:r>
      <w:r w:rsidRPr="00833A55" w:rsidR="000B6CEC">
        <w:rPr>
          <w:i/>
        </w:rPr>
        <w:t>201</w:t>
      </w:r>
      <w:r w:rsidR="000B6CEC">
        <w:rPr>
          <w:i/>
        </w:rPr>
        <w:t xml:space="preserve">8 </w:t>
      </w:r>
      <w:r w:rsidRPr="00833A55" w:rsidR="000B6CEC">
        <w:rPr>
          <w:i/>
        </w:rPr>
        <w:t>Declaratory Ruling</w:t>
      </w:r>
      <w:r w:rsidR="000B6CEC">
        <w:t xml:space="preserve">, 33 FCC Rcd at 8781, para. 8; </w:t>
      </w:r>
      <w:r w:rsidR="00204298">
        <w:rPr>
          <w:i/>
        </w:rPr>
        <w:t>2017</w:t>
      </w:r>
      <w:r>
        <w:rPr>
          <w:i/>
        </w:rPr>
        <w:t xml:space="preserve"> Declaratory Ruling</w:t>
      </w:r>
      <w:r w:rsidRPr="00813D12">
        <w:t xml:space="preserve">, </w:t>
      </w:r>
      <w:r>
        <w:t>32 FCC Rcd at 724</w:t>
      </w:r>
      <w:r w:rsidR="00813D12">
        <w:t>, para. 18</w:t>
      </w:r>
      <w:r>
        <w:t xml:space="preserve">.  </w:t>
      </w:r>
    </w:p>
  </w:footnote>
  <w:footnote w:id="28">
    <w:p w:rsidR="00CD278D" w:rsidRPr="00CD278D">
      <w:pPr>
        <w:pStyle w:val="FootnoteText"/>
        <w:rPr>
          <w:i/>
        </w:rPr>
      </w:pPr>
      <w:r>
        <w:rPr>
          <w:rStyle w:val="FootnoteReference"/>
        </w:rPr>
        <w:footnoteRef/>
      </w:r>
      <w:r>
        <w:t xml:space="preserve"> </w:t>
      </w:r>
      <w:r>
        <w:rPr>
          <w:i/>
        </w:rPr>
        <w:t xml:space="preserve">See </w:t>
      </w:r>
      <w:r w:rsidRPr="00CD278D">
        <w:t>Supplement at 5-9.</w:t>
      </w:r>
    </w:p>
  </w:footnote>
  <w:footnote w:id="29">
    <w:p w:rsidR="00F6290D">
      <w:pPr>
        <w:pStyle w:val="FootnoteText"/>
      </w:pPr>
      <w:r>
        <w:rPr>
          <w:rStyle w:val="FootnoteReference"/>
        </w:rPr>
        <w:footnoteRef/>
      </w:r>
      <w:r>
        <w:t xml:space="preserve"> </w:t>
      </w:r>
      <w:r>
        <w:rPr>
          <w:i/>
        </w:rPr>
        <w:t xml:space="preserve">See </w:t>
      </w:r>
      <w:r>
        <w:t>Petition at 2; Supplement at 5-6.</w:t>
      </w:r>
    </w:p>
  </w:footnote>
  <w:footnote w:id="30">
    <w:p w:rsidR="00BD3DD9" w:rsidRPr="00C64CBD" w:rsidP="00BD3DD9">
      <w:pPr>
        <w:pStyle w:val="FootnoteText"/>
        <w:rPr>
          <w:i/>
        </w:rPr>
      </w:pPr>
      <w:r>
        <w:rPr>
          <w:rStyle w:val="FootnoteReference"/>
        </w:rPr>
        <w:footnoteRef/>
      </w:r>
      <w:r>
        <w:t xml:space="preserve"> </w:t>
      </w:r>
      <w:r w:rsidRPr="00833A55" w:rsidR="00F6290D">
        <w:rPr>
          <w:i/>
        </w:rPr>
        <w:t>201</w:t>
      </w:r>
      <w:r w:rsidR="00F6290D">
        <w:rPr>
          <w:i/>
        </w:rPr>
        <w:t xml:space="preserve">8 </w:t>
      </w:r>
      <w:r w:rsidRPr="00833A55" w:rsidR="00F6290D">
        <w:rPr>
          <w:i/>
        </w:rPr>
        <w:t>Declaratory Ruling</w:t>
      </w:r>
      <w:r w:rsidR="00F6290D">
        <w:t xml:space="preserve">, 33 FCC Rcd at 8781, para. 8; </w:t>
      </w:r>
      <w:r w:rsidR="00204298">
        <w:rPr>
          <w:i/>
        </w:rPr>
        <w:t>2017</w:t>
      </w:r>
      <w:r w:rsidR="00F6290D">
        <w:rPr>
          <w:i/>
        </w:rPr>
        <w:t xml:space="preserve"> Declaratory Ruling</w:t>
      </w:r>
      <w:r w:rsidRPr="00813D12" w:rsidR="00F6290D">
        <w:t>,</w:t>
      </w:r>
      <w:r w:rsidR="00F6290D">
        <w:t xml:space="preserve"> 32 FCC Rcd at 724</w:t>
      </w:r>
      <w:r w:rsidR="00813D12">
        <w:t>, para. 18</w:t>
      </w:r>
      <w:r w:rsidR="00F6290D">
        <w:t>.</w:t>
      </w:r>
    </w:p>
  </w:footnote>
  <w:footnote w:id="31">
    <w:p w:rsidR="00CB30A6">
      <w:pPr>
        <w:pStyle w:val="FootnoteText"/>
      </w:pPr>
      <w:r>
        <w:rPr>
          <w:rStyle w:val="FootnoteReference"/>
        </w:rPr>
        <w:footnoteRef/>
      </w:r>
      <w:r>
        <w:t xml:space="preserve"> </w:t>
      </w:r>
      <w:r>
        <w:rPr>
          <w:i/>
        </w:rPr>
        <w:t xml:space="preserve">See generally </w:t>
      </w:r>
      <w:r>
        <w:t>47 CFR § 1.5004.</w:t>
      </w:r>
    </w:p>
  </w:footnote>
  <w:footnote w:id="32">
    <w:p w:rsidR="008C6749" w:rsidP="008C6749">
      <w:pPr>
        <w:pStyle w:val="FootnoteText"/>
      </w:pPr>
      <w:r>
        <w:rPr>
          <w:rStyle w:val="FootnoteReference"/>
        </w:rPr>
        <w:footnoteRef/>
      </w:r>
      <w:r>
        <w:t xml:space="preserve"> </w:t>
      </w:r>
      <w:r>
        <w:rPr>
          <w:i/>
        </w:rPr>
        <w:t xml:space="preserve">See </w:t>
      </w:r>
      <w:r w:rsidRPr="00CB30A6" w:rsidR="00CB30A6">
        <w:rPr>
          <w:i/>
        </w:rPr>
        <w:t>id.</w:t>
      </w:r>
      <w:r>
        <w:t xml:space="preserve"> § 1.5004(f)(1).  </w:t>
      </w:r>
      <w:r w:rsidRPr="00E93DF3">
        <w:t>Subsequent action</w:t>
      </w:r>
      <w:r>
        <w:t xml:space="preserve">s taken by or on behalf of HMTV </w:t>
      </w:r>
      <w:r w:rsidRPr="00E93DF3">
        <w:t>to remedy non</w:t>
      </w:r>
      <w:r>
        <w:t xml:space="preserve">-compliance shall not relieve it </w:t>
      </w:r>
      <w:r w:rsidRPr="00E93DF3">
        <w:t>of the obligation to notify the Commission of the circumstances (including duration) of non-compliance.</w:t>
      </w:r>
    </w:p>
  </w:footnote>
  <w:footnote w:id="33">
    <w:p w:rsidR="008C6749" w:rsidP="008C6749">
      <w:pPr>
        <w:pStyle w:val="FootnoteText"/>
      </w:pPr>
      <w:r>
        <w:rPr>
          <w:rStyle w:val="FootnoteReference"/>
        </w:rPr>
        <w:footnoteRef/>
      </w:r>
      <w:r>
        <w:t xml:space="preserve">  </w:t>
      </w:r>
      <w:r w:rsidRPr="008C6749">
        <w:rPr>
          <w:i/>
        </w:rPr>
        <w:t>Id</w:t>
      </w:r>
      <w:r>
        <w:t xml:space="preserve">.; </w:t>
      </w:r>
      <w:r>
        <w:rPr>
          <w:i/>
        </w:rPr>
        <w:t>but see id.</w:t>
      </w:r>
      <w:r>
        <w:t xml:space="preserve"> § 1.5004(f)(3) (detailing certain circumstances in which “the Commission does not expect to take enforcement action related to</w:t>
      </w:r>
      <w:r w:rsidR="00E01D83">
        <w:t xml:space="preserve"> . . .</w:t>
      </w:r>
      <w:r>
        <w:t xml:space="preserve"> non-compliance”).</w:t>
      </w:r>
      <w:r w:rsidRPr="00E93DF3">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DD9" w:rsidP="00BD3DD9">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DA </w:t>
    </w:r>
    <w:r w:rsidR="008433F4">
      <w:rPr>
        <w:spacing w:val="-2"/>
      </w:rPr>
      <w:t>19</w:t>
    </w:r>
    <w:r>
      <w:rPr>
        <w:spacing w:val="-2"/>
      </w:rPr>
      <w:t>-</w:t>
    </w:r>
    <w:r w:rsidR="00462001">
      <w:rPr>
        <w:spacing w:val="-2"/>
      </w:rPr>
      <w:t>1192</w:t>
    </w:r>
  </w:p>
  <w:p w:rsidR="00BD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DD9" w:rsidP="00BD3DD9">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Pr>
        <w:spacing w:val="-2"/>
      </w:rPr>
      <w:t>DA 1</w:t>
    </w:r>
    <w:r w:rsidR="00420D13">
      <w:rPr>
        <w:spacing w:val="-2"/>
      </w:rPr>
      <w:t>9</w:t>
    </w:r>
    <w:r>
      <w:rPr>
        <w:spacing w:val="-2"/>
      </w:rPr>
      <w:t>-</w:t>
    </w:r>
    <w:r w:rsidR="00462001">
      <w:rPr>
        <w:spacing w:val="-2"/>
      </w:rPr>
      <w:t>1192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64F24"/>
    <w:multiLevelType w:val="hybridMultilevel"/>
    <w:tmpl w:val="E9785AA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2B400B"/>
    <w:multiLevelType w:val="hybridMultilevel"/>
    <w:tmpl w:val="5CB607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516E3"/>
    <w:multiLevelType w:val="hybridMultilevel"/>
    <w:tmpl w:val="86D64EC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9CE1022"/>
    <w:multiLevelType w:val="hybridMultilevel"/>
    <w:tmpl w:val="CFE4D6A0"/>
    <w:lvl w:ilvl="0">
      <w:start w:val="2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F6A2FF4"/>
    <w:multiLevelType w:val="hybridMultilevel"/>
    <w:tmpl w:val="97481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161D70"/>
    <w:multiLevelType w:val="hybridMultilevel"/>
    <w:tmpl w:val="A550619E"/>
    <w:lvl w:ilvl="0">
      <w:start w:val="1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1">
    <w:nsid w:val="3FD34EB8"/>
    <w:multiLevelType w:val="hybridMultilevel"/>
    <w:tmpl w:val="905CA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453BAB"/>
    <w:multiLevelType w:val="hybridMultilevel"/>
    <w:tmpl w:val="190063D0"/>
    <w:lvl w:ilvl="0">
      <w:start w:val="2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FE4767"/>
    <w:multiLevelType w:val="hybridMultilevel"/>
    <w:tmpl w:val="BF4C3D3A"/>
    <w:lvl w:ilvl="0">
      <w:start w:val="2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0D93189"/>
    <w:multiLevelType w:val="hybridMultilevel"/>
    <w:tmpl w:val="FB4EA0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A95038"/>
    <w:multiLevelType w:val="hybridMultilevel"/>
    <w:tmpl w:val="8A5EB4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5BA6B9D"/>
    <w:multiLevelType w:val="hybridMultilevel"/>
    <w:tmpl w:val="CB96B4FE"/>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E463B03"/>
    <w:multiLevelType w:val="multilevel"/>
    <w:tmpl w:val="237A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201BC"/>
    <w:multiLevelType w:val="hybridMultilevel"/>
    <w:tmpl w:val="5AF4B192"/>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A457269"/>
    <w:multiLevelType w:val="hybridMultilevel"/>
    <w:tmpl w:val="6582A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A4C7BB3"/>
    <w:multiLevelType w:val="hybridMultilevel"/>
    <w:tmpl w:val="5C78DE58"/>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B1F3788"/>
    <w:multiLevelType w:val="hybridMultilevel"/>
    <w:tmpl w:val="F60A66D6"/>
    <w:lvl w:ilvl="0">
      <w:start w:val="5"/>
      <w:numFmt w:val="decimal"/>
      <w:lvlText w:val="%1."/>
      <w:lvlJc w:val="left"/>
      <w:pPr>
        <w:tabs>
          <w:tab w:val="num" w:pos="1080"/>
        </w:tabs>
        <w:ind w:left="1080" w:hanging="360"/>
      </w:pPr>
      <w:rPr>
        <w:rFonts w:hint="default"/>
        <w:b w:val="0"/>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D450F98"/>
    <w:multiLevelType w:val="hybridMultilevel"/>
    <w:tmpl w:val="29B42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6759D9"/>
    <w:multiLevelType w:val="hybridMultilevel"/>
    <w:tmpl w:val="288E2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0"/>
  </w:num>
  <w:num w:numId="4">
    <w:abstractNumId w:val="0"/>
  </w:num>
  <w:num w:numId="5">
    <w:abstractNumId w:val="23"/>
  </w:num>
  <w:num w:numId="6">
    <w:abstractNumId w:val="10"/>
  </w:num>
  <w:num w:numId="7">
    <w:abstractNumId w:val="22"/>
  </w:num>
  <w:num w:numId="8">
    <w:abstractNumId w:val="9"/>
  </w:num>
  <w:num w:numId="9">
    <w:abstractNumId w:val="7"/>
  </w:num>
  <w:num w:numId="10">
    <w:abstractNumId w:val="12"/>
  </w:num>
  <w:num w:numId="11">
    <w:abstractNumId w:val="14"/>
  </w:num>
  <w:num w:numId="12">
    <w:abstractNumId w:val="6"/>
  </w:num>
  <w:num w:numId="13">
    <w:abstractNumId w:val="18"/>
  </w:num>
  <w:num w:numId="14">
    <w:abstractNumId w:val="19"/>
  </w:num>
  <w:num w:numId="15">
    <w:abstractNumId w:val="10"/>
  </w:num>
  <w:num w:numId="16">
    <w:abstractNumId w:val="3"/>
  </w:num>
  <w:num w:numId="17">
    <w:abstractNumId w:val="16"/>
  </w:num>
  <w:num w:numId="18">
    <w:abstractNumId w:val="5"/>
  </w:num>
  <w:num w:numId="19">
    <w:abstractNumId w:val="13"/>
  </w:num>
  <w:num w:numId="20">
    <w:abstractNumId w:val="4"/>
  </w:num>
  <w:num w:numId="21">
    <w:abstractNumId w:val="1"/>
  </w:num>
  <w:num w:numId="22">
    <w:abstractNumId w:val="21"/>
  </w:num>
  <w:num w:numId="23">
    <w:abstractNumId w:val="24"/>
  </w:num>
  <w:num w:numId="24">
    <w:abstractNumId w:val="17"/>
  </w:num>
  <w:num w:numId="25">
    <w:abstractNumId w:val="16"/>
    <w:lvlOverride w:ilvl="0">
      <w:startOverride w:val="1"/>
    </w:lvlOverride>
  </w:num>
  <w:num w:numId="26">
    <w:abstractNumId w:val="15"/>
  </w:num>
  <w:num w:numId="27">
    <w:abstractNumId w:val="25"/>
  </w:num>
  <w:num w:numId="28">
    <w:abstractNumId w:val="8"/>
  </w:num>
  <w:num w:numId="29">
    <w:abstractNumId w:val="2"/>
  </w:num>
  <w:num w:numId="30">
    <w:abstractNumId w:val="16"/>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E"/>
    <w:rsid w:val="000023BC"/>
    <w:rsid w:val="0000422A"/>
    <w:rsid w:val="000252E1"/>
    <w:rsid w:val="00064761"/>
    <w:rsid w:val="00064C3C"/>
    <w:rsid w:val="000B6832"/>
    <w:rsid w:val="000B6CEC"/>
    <w:rsid w:val="000C2EFA"/>
    <w:rsid w:val="000E4BF7"/>
    <w:rsid w:val="000F1098"/>
    <w:rsid w:val="000F69D9"/>
    <w:rsid w:val="001552AB"/>
    <w:rsid w:val="00162790"/>
    <w:rsid w:val="001676B1"/>
    <w:rsid w:val="00185518"/>
    <w:rsid w:val="00192F36"/>
    <w:rsid w:val="001A55B3"/>
    <w:rsid w:val="001B02AA"/>
    <w:rsid w:val="001E2FA3"/>
    <w:rsid w:val="00204298"/>
    <w:rsid w:val="00212EDE"/>
    <w:rsid w:val="00230C80"/>
    <w:rsid w:val="0025201A"/>
    <w:rsid w:val="00256513"/>
    <w:rsid w:val="0025748A"/>
    <w:rsid w:val="00266B31"/>
    <w:rsid w:val="00274562"/>
    <w:rsid w:val="002A0500"/>
    <w:rsid w:val="002C3B1C"/>
    <w:rsid w:val="002F6566"/>
    <w:rsid w:val="00327604"/>
    <w:rsid w:val="00361E57"/>
    <w:rsid w:val="003635FD"/>
    <w:rsid w:val="00363809"/>
    <w:rsid w:val="00380BAE"/>
    <w:rsid w:val="003F21F9"/>
    <w:rsid w:val="003F46C6"/>
    <w:rsid w:val="00411939"/>
    <w:rsid w:val="00412230"/>
    <w:rsid w:val="0041506D"/>
    <w:rsid w:val="00416685"/>
    <w:rsid w:val="00420D13"/>
    <w:rsid w:val="00427B64"/>
    <w:rsid w:val="00462001"/>
    <w:rsid w:val="00485DC1"/>
    <w:rsid w:val="004B253B"/>
    <w:rsid w:val="004C187E"/>
    <w:rsid w:val="004F4C9D"/>
    <w:rsid w:val="005051CD"/>
    <w:rsid w:val="00511698"/>
    <w:rsid w:val="005218C4"/>
    <w:rsid w:val="00527708"/>
    <w:rsid w:val="0054370C"/>
    <w:rsid w:val="00545E25"/>
    <w:rsid w:val="005830B3"/>
    <w:rsid w:val="00587D28"/>
    <w:rsid w:val="00591545"/>
    <w:rsid w:val="0059620E"/>
    <w:rsid w:val="005A1951"/>
    <w:rsid w:val="005A43E9"/>
    <w:rsid w:val="005C5F41"/>
    <w:rsid w:val="005D4789"/>
    <w:rsid w:val="005F261D"/>
    <w:rsid w:val="005F3935"/>
    <w:rsid w:val="005F6BD4"/>
    <w:rsid w:val="00612845"/>
    <w:rsid w:val="00642433"/>
    <w:rsid w:val="006457C3"/>
    <w:rsid w:val="0068176D"/>
    <w:rsid w:val="006C11A1"/>
    <w:rsid w:val="006D37AD"/>
    <w:rsid w:val="006D3CF5"/>
    <w:rsid w:val="006D7270"/>
    <w:rsid w:val="006E016B"/>
    <w:rsid w:val="006E1F85"/>
    <w:rsid w:val="006F3565"/>
    <w:rsid w:val="006F69C3"/>
    <w:rsid w:val="007020A7"/>
    <w:rsid w:val="00732658"/>
    <w:rsid w:val="0074744D"/>
    <w:rsid w:val="0076209F"/>
    <w:rsid w:val="0076773C"/>
    <w:rsid w:val="00771D74"/>
    <w:rsid w:val="00786C4A"/>
    <w:rsid w:val="00787264"/>
    <w:rsid w:val="00793F64"/>
    <w:rsid w:val="007B2260"/>
    <w:rsid w:val="007E329B"/>
    <w:rsid w:val="008054D5"/>
    <w:rsid w:val="008130E6"/>
    <w:rsid w:val="00813D12"/>
    <w:rsid w:val="00833A55"/>
    <w:rsid w:val="008433F4"/>
    <w:rsid w:val="0084469E"/>
    <w:rsid w:val="008605F7"/>
    <w:rsid w:val="00860AA7"/>
    <w:rsid w:val="008640A4"/>
    <w:rsid w:val="008674DD"/>
    <w:rsid w:val="00870EB9"/>
    <w:rsid w:val="00877767"/>
    <w:rsid w:val="00892ADB"/>
    <w:rsid w:val="008B4283"/>
    <w:rsid w:val="008C6749"/>
    <w:rsid w:val="00914265"/>
    <w:rsid w:val="00925C62"/>
    <w:rsid w:val="00945593"/>
    <w:rsid w:val="00946FAA"/>
    <w:rsid w:val="009606DC"/>
    <w:rsid w:val="00976B92"/>
    <w:rsid w:val="00984C4D"/>
    <w:rsid w:val="009925B0"/>
    <w:rsid w:val="00995DE6"/>
    <w:rsid w:val="009E11AD"/>
    <w:rsid w:val="009E17AD"/>
    <w:rsid w:val="009E49AC"/>
    <w:rsid w:val="00A32781"/>
    <w:rsid w:val="00A33B05"/>
    <w:rsid w:val="00A37BAB"/>
    <w:rsid w:val="00A46AFA"/>
    <w:rsid w:val="00A53AB2"/>
    <w:rsid w:val="00A71D1D"/>
    <w:rsid w:val="00A74F8B"/>
    <w:rsid w:val="00A759B1"/>
    <w:rsid w:val="00AA0FCD"/>
    <w:rsid w:val="00B11A95"/>
    <w:rsid w:val="00B213CE"/>
    <w:rsid w:val="00B53F9E"/>
    <w:rsid w:val="00B834C9"/>
    <w:rsid w:val="00B91BC1"/>
    <w:rsid w:val="00BA62E4"/>
    <w:rsid w:val="00BC3495"/>
    <w:rsid w:val="00BC68BB"/>
    <w:rsid w:val="00BD12B8"/>
    <w:rsid w:val="00BD3DD9"/>
    <w:rsid w:val="00BF48B7"/>
    <w:rsid w:val="00BF7AD6"/>
    <w:rsid w:val="00C04ED9"/>
    <w:rsid w:val="00C43A58"/>
    <w:rsid w:val="00C57256"/>
    <w:rsid w:val="00C64CBD"/>
    <w:rsid w:val="00C852E6"/>
    <w:rsid w:val="00CB1024"/>
    <w:rsid w:val="00CB30A6"/>
    <w:rsid w:val="00CC5E56"/>
    <w:rsid w:val="00CC7B53"/>
    <w:rsid w:val="00CD278D"/>
    <w:rsid w:val="00CD69F8"/>
    <w:rsid w:val="00D147CD"/>
    <w:rsid w:val="00D83562"/>
    <w:rsid w:val="00D85A63"/>
    <w:rsid w:val="00D924A2"/>
    <w:rsid w:val="00D939CC"/>
    <w:rsid w:val="00DB1D8F"/>
    <w:rsid w:val="00DD01B8"/>
    <w:rsid w:val="00DD07E5"/>
    <w:rsid w:val="00DF6546"/>
    <w:rsid w:val="00E000CD"/>
    <w:rsid w:val="00E01D83"/>
    <w:rsid w:val="00E50D4D"/>
    <w:rsid w:val="00E53817"/>
    <w:rsid w:val="00E767E3"/>
    <w:rsid w:val="00E93DF3"/>
    <w:rsid w:val="00EC2F8B"/>
    <w:rsid w:val="00EC701E"/>
    <w:rsid w:val="00ED3FF9"/>
    <w:rsid w:val="00F05806"/>
    <w:rsid w:val="00F10E1F"/>
    <w:rsid w:val="00F6290D"/>
    <w:rsid w:val="00F7144F"/>
    <w:rsid w:val="00F73681"/>
    <w:rsid w:val="00F75E26"/>
    <w:rsid w:val="00FA41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2AB06AFD-56C2-4E6B-A43C-0B6A0CAA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B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870EB9"/>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870EB9"/>
    <w:pPr>
      <w:keepNext/>
      <w:numPr>
        <w:ilvl w:val="1"/>
        <w:numId w:val="18"/>
      </w:numPr>
      <w:spacing w:after="120"/>
      <w:outlineLvl w:val="1"/>
    </w:pPr>
    <w:rPr>
      <w:b/>
    </w:rPr>
  </w:style>
  <w:style w:type="paragraph" w:styleId="Heading3">
    <w:name w:val="heading 3"/>
    <w:aliases w:val="Heading 3 Char Char,Heading 3 Char Char Char,Heading 3 Char Char Char Char,Heading 3 Char Char Char Char Char,Heading 3 Char Char1 C,Heading 3 Char1,Heading 3 Char1 Char,Heading 3 Char1 Char Char,Heading 3 Char2 Char1 Char Char"/>
    <w:basedOn w:val="Normal"/>
    <w:next w:val="ParaNum"/>
    <w:qFormat/>
    <w:rsid w:val="00870EB9"/>
    <w:pPr>
      <w:keepNext/>
      <w:numPr>
        <w:ilvl w:val="2"/>
        <w:numId w:val="18"/>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870EB9"/>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870EB9"/>
    <w:pPr>
      <w:keepNext/>
      <w:numPr>
        <w:ilvl w:val="4"/>
        <w:numId w:val="18"/>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70EB9"/>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870EB9"/>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870EB9"/>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0EB9"/>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870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EB9"/>
  </w:style>
  <w:style w:type="paragraph" w:customStyle="1" w:styleId="ParaNum">
    <w:name w:val="ParaNum"/>
    <w:basedOn w:val="Normal"/>
    <w:link w:val="ParaNumChar"/>
    <w:rsid w:val="00870EB9"/>
    <w:pPr>
      <w:numPr>
        <w:numId w:val="17"/>
      </w:numPr>
      <w:tabs>
        <w:tab w:val="clear" w:pos="1080"/>
        <w:tab w:val="num" w:pos="1440"/>
      </w:tabs>
      <w:spacing w:after="120"/>
    </w:p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fn"/>
    <w:link w:val="FootnoteTextChar3"/>
    <w:rsid w:val="00870EB9"/>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870EB9"/>
    <w:rPr>
      <w:rFonts w:ascii="Times New Roman" w:hAnsi="Times New Roman"/>
      <w:dstrike w:val="0"/>
      <w:color w:val="auto"/>
      <w:sz w:val="20"/>
      <w:vertAlign w:val="superscript"/>
    </w:rPr>
  </w:style>
  <w:style w:type="paragraph" w:styleId="Header">
    <w:name w:val="header"/>
    <w:basedOn w:val="Normal"/>
    <w:autoRedefine/>
    <w:rsid w:val="00870EB9"/>
    <w:pPr>
      <w:tabs>
        <w:tab w:val="center" w:pos="4680"/>
        <w:tab w:val="right" w:pos="9360"/>
      </w:tabs>
    </w:pPr>
    <w:rPr>
      <w:b/>
    </w:rPr>
  </w:style>
  <w:style w:type="paragraph" w:styleId="Footer">
    <w:name w:val="footer"/>
    <w:basedOn w:val="Normal"/>
    <w:link w:val="FooterChar"/>
    <w:uiPriority w:val="99"/>
    <w:rsid w:val="00870EB9"/>
    <w:pPr>
      <w:tabs>
        <w:tab w:val="center" w:pos="4320"/>
        <w:tab w:val="right" w:pos="8640"/>
      </w:tabs>
    </w:pPr>
  </w:style>
  <w:style w:type="character" w:styleId="PageNumber">
    <w:name w:val="page number"/>
    <w:basedOn w:val="DefaultParagraphFont"/>
    <w:rsid w:val="00870EB9"/>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f Char"/>
    <w:link w:val="FootnoteText"/>
    <w:rsid w:val="001C6A9E"/>
  </w:style>
  <w:style w:type="character" w:customStyle="1" w:styleId="documentbody1">
    <w:name w:val="documentbody1"/>
    <w:rsid w:val="00314514"/>
    <w:rPr>
      <w:rFonts w:ascii="Verdana" w:hAnsi="Verdana" w:hint="default"/>
      <w:sz w:val="19"/>
      <w:szCs w:val="19"/>
      <w:shd w:val="clear" w:color="auto" w:fill="FFFFFF"/>
    </w:rPr>
  </w:style>
  <w:style w:type="paragraph" w:styleId="BalloonText">
    <w:name w:val="Balloon Text"/>
    <w:basedOn w:val="Normal"/>
    <w:semiHidden/>
    <w:rsid w:val="00780723"/>
    <w:rPr>
      <w:rFonts w:ascii="Tahoma" w:hAnsi="Tahoma" w:cs="Tahoma"/>
      <w:sz w:val="16"/>
      <w:szCs w:val="16"/>
    </w:rPr>
  </w:style>
  <w:style w:type="character" w:customStyle="1" w:styleId="FootnoteTextCharChar2">
    <w:name w:val="Footnote Text Char Char2"/>
    <w:aliases w:val="Footnote Text Char Char Char Char,Footnote Text Char Char Char Char Char Char Char,Footnote Text Char1 Char Char,Footnote Text Char1 Char Char Char Char Char,Footnote Text Char1 Char1,Footnote Text Char2 Char Char1 Char Char"/>
    <w:rsid w:val="0073324A"/>
    <w:rPr>
      <w:lang w:val="en-US" w:eastAsia="en-US" w:bidi="ar-SA"/>
    </w:rPr>
  </w:style>
  <w:style w:type="character" w:styleId="CommentReference">
    <w:name w:val="annotation reference"/>
    <w:semiHidden/>
    <w:rsid w:val="00A965D3"/>
    <w:rPr>
      <w:sz w:val="16"/>
      <w:szCs w:val="16"/>
    </w:rPr>
  </w:style>
  <w:style w:type="paragraph" w:styleId="CommentText">
    <w:name w:val="annotation text"/>
    <w:basedOn w:val="Normal"/>
    <w:link w:val="CommentTextChar"/>
    <w:semiHidden/>
    <w:rsid w:val="00A965D3"/>
    <w:rPr>
      <w:sz w:val="20"/>
    </w:rPr>
  </w:style>
  <w:style w:type="paragraph" w:styleId="CommentSubject">
    <w:name w:val="annotation subject"/>
    <w:basedOn w:val="CommentText"/>
    <w:next w:val="CommentText"/>
    <w:semiHidden/>
    <w:rsid w:val="00A965D3"/>
    <w:rPr>
      <w:b/>
      <w:bCs/>
    </w:rPr>
  </w:style>
  <w:style w:type="paragraph" w:styleId="BodyText">
    <w:name w:val="Body Text"/>
    <w:basedOn w:val="Normal"/>
    <w:rsid w:val="00045073"/>
    <w:pPr>
      <w:tabs>
        <w:tab w:val="left" w:pos="-1440"/>
        <w:tab w:val="left" w:pos="-720"/>
        <w:tab w:val="right" w:pos="900"/>
        <w:tab w:val="left" w:pos="1440"/>
      </w:tabs>
      <w:suppressAutoHyphens/>
    </w:pPr>
    <w:rPr>
      <w:snapToGrid/>
    </w:rPr>
  </w:style>
  <w:style w:type="character" w:customStyle="1" w:styleId="ParaNumChar">
    <w:name w:val="ParaNum Char"/>
    <w:link w:val="ParaNum"/>
    <w:rsid w:val="00F34B49"/>
    <w:rPr>
      <w:snapToGrid w:val="0"/>
      <w:kern w:val="28"/>
      <w:sz w:val="22"/>
    </w:rPr>
  </w:style>
  <w:style w:type="character" w:customStyle="1" w:styleId="emphi1">
    <w:name w:val="emphi1"/>
    <w:rsid w:val="00A05F4E"/>
    <w:rPr>
      <w:i/>
      <w:iCs/>
    </w:rPr>
  </w:style>
  <w:style w:type="character" w:customStyle="1" w:styleId="emphi">
    <w:name w:val="emphi"/>
    <w:rsid w:val="00A36659"/>
  </w:style>
  <w:style w:type="character" w:styleId="Hyperlink">
    <w:name w:val="Hyperlink"/>
    <w:rsid w:val="00870EB9"/>
    <w:rPr>
      <w:color w:val="0000FF"/>
      <w:u w:val="single"/>
    </w:rPr>
  </w:style>
  <w:style w:type="character" w:customStyle="1" w:styleId="displayhltext">
    <w:name w:val="display_hl_text"/>
    <w:rsid w:val="00A36659"/>
  </w:style>
  <w:style w:type="paragraph" w:styleId="Revision">
    <w:name w:val="Revision"/>
    <w:hidden/>
    <w:uiPriority w:val="99"/>
    <w:semiHidden/>
    <w:rsid w:val="00F873A1"/>
    <w:rPr>
      <w:sz w:val="22"/>
    </w:rPr>
  </w:style>
  <w:style w:type="character" w:customStyle="1" w:styleId="CommentTextChar">
    <w:name w:val="Comment Text Char"/>
    <w:link w:val="CommentText"/>
    <w:semiHidden/>
    <w:rsid w:val="0096398E"/>
  </w:style>
  <w:style w:type="character" w:styleId="Emphasis">
    <w:name w:val="Emphasis"/>
    <w:uiPriority w:val="20"/>
    <w:qFormat/>
    <w:rsid w:val="0028057D"/>
    <w:rPr>
      <w:i/>
      <w:iCs/>
    </w:rPr>
  </w:style>
  <w:style w:type="character" w:customStyle="1" w:styleId="cosearchwithinterm">
    <w:name w:val="co_searchwithinterm"/>
    <w:basedOn w:val="DefaultParagraphFont"/>
    <w:rsid w:val="0028057D"/>
  </w:style>
  <w:style w:type="paragraph" w:styleId="NoSpacing">
    <w:name w:val="No Spacing"/>
    <w:uiPriority w:val="1"/>
    <w:qFormat/>
    <w:rsid w:val="00F14A61"/>
    <w:rPr>
      <w:sz w:val="22"/>
    </w:rPr>
  </w:style>
  <w:style w:type="paragraph" w:styleId="ListParagraph">
    <w:name w:val="List Paragraph"/>
    <w:basedOn w:val="Normal"/>
    <w:uiPriority w:val="34"/>
    <w:qFormat/>
    <w:rsid w:val="00612057"/>
    <w:pPr>
      <w:ind w:left="720"/>
      <w:contextualSpacing/>
    </w:pPr>
  </w:style>
  <w:style w:type="character" w:customStyle="1" w:styleId="Heading4Char">
    <w:name w:val="Heading 4 Char"/>
    <w:link w:val="Heading4"/>
    <w:rsid w:val="0001026F"/>
    <w:rPr>
      <w:b/>
      <w:snapToGrid w:val="0"/>
      <w:kern w:val="28"/>
      <w:sz w:val="22"/>
    </w:rPr>
  </w:style>
  <w:style w:type="character" w:customStyle="1" w:styleId="Heading5Char">
    <w:name w:val="Heading 5 Char"/>
    <w:link w:val="Heading5"/>
    <w:rsid w:val="0001026F"/>
    <w:rPr>
      <w:b/>
      <w:snapToGrid w:val="0"/>
      <w:kern w:val="28"/>
      <w:sz w:val="22"/>
    </w:rPr>
  </w:style>
  <w:style w:type="character" w:customStyle="1" w:styleId="Heading6Char">
    <w:name w:val="Heading 6 Char"/>
    <w:link w:val="Heading6"/>
    <w:rsid w:val="0001026F"/>
    <w:rPr>
      <w:b/>
      <w:snapToGrid w:val="0"/>
      <w:kern w:val="28"/>
      <w:sz w:val="22"/>
    </w:rPr>
  </w:style>
  <w:style w:type="character" w:customStyle="1" w:styleId="Heading7Char">
    <w:name w:val="Heading 7 Char"/>
    <w:link w:val="Heading7"/>
    <w:rsid w:val="0001026F"/>
    <w:rPr>
      <w:b/>
      <w:snapToGrid w:val="0"/>
      <w:kern w:val="28"/>
      <w:sz w:val="22"/>
    </w:rPr>
  </w:style>
  <w:style w:type="character" w:customStyle="1" w:styleId="Heading8Char">
    <w:name w:val="Heading 8 Char"/>
    <w:link w:val="Heading8"/>
    <w:rsid w:val="0001026F"/>
    <w:rPr>
      <w:b/>
      <w:snapToGrid w:val="0"/>
      <w:kern w:val="28"/>
      <w:sz w:val="22"/>
    </w:rPr>
  </w:style>
  <w:style w:type="character" w:customStyle="1" w:styleId="Heading9Char">
    <w:name w:val="Heading 9 Char"/>
    <w:link w:val="Heading9"/>
    <w:rsid w:val="0001026F"/>
    <w:rPr>
      <w:b/>
      <w:snapToGrid w:val="0"/>
      <w:kern w:val="28"/>
      <w:sz w:val="22"/>
    </w:rPr>
  </w:style>
  <w:style w:type="paragraph" w:styleId="EndnoteText">
    <w:name w:val="endnote text"/>
    <w:basedOn w:val="Normal"/>
    <w:link w:val="EndnoteTextChar"/>
    <w:rsid w:val="00870EB9"/>
    <w:rPr>
      <w:sz w:val="20"/>
    </w:rPr>
  </w:style>
  <w:style w:type="character" w:customStyle="1" w:styleId="EndnoteTextChar">
    <w:name w:val="Endnote Text Char"/>
    <w:link w:val="EndnoteText"/>
    <w:rsid w:val="0001026F"/>
    <w:rPr>
      <w:snapToGrid w:val="0"/>
      <w:kern w:val="28"/>
    </w:rPr>
  </w:style>
  <w:style w:type="character" w:styleId="EndnoteReference">
    <w:name w:val="endnote reference"/>
    <w:rsid w:val="00870EB9"/>
    <w:rPr>
      <w:vertAlign w:val="superscript"/>
    </w:rPr>
  </w:style>
  <w:style w:type="paragraph" w:styleId="TOC1">
    <w:name w:val="toc 1"/>
    <w:basedOn w:val="Normal"/>
    <w:next w:val="Normal"/>
    <w:rsid w:val="00870EB9"/>
    <w:pPr>
      <w:tabs>
        <w:tab w:val="left" w:pos="360"/>
        <w:tab w:val="right" w:leader="dot" w:pos="9360"/>
      </w:tabs>
      <w:suppressAutoHyphens/>
      <w:ind w:left="360" w:right="720" w:hanging="360"/>
    </w:pPr>
    <w:rPr>
      <w:caps/>
      <w:noProof/>
    </w:rPr>
  </w:style>
  <w:style w:type="paragraph" w:styleId="TOC2">
    <w:name w:val="toc 2"/>
    <w:basedOn w:val="Normal"/>
    <w:next w:val="Normal"/>
    <w:rsid w:val="00870EB9"/>
    <w:pPr>
      <w:tabs>
        <w:tab w:val="left" w:pos="720"/>
        <w:tab w:val="right" w:leader="dot" w:pos="9360"/>
      </w:tabs>
      <w:suppressAutoHyphens/>
      <w:ind w:left="720" w:right="720" w:hanging="360"/>
    </w:pPr>
    <w:rPr>
      <w:noProof/>
    </w:rPr>
  </w:style>
  <w:style w:type="paragraph" w:styleId="TOC3">
    <w:name w:val="toc 3"/>
    <w:basedOn w:val="Normal"/>
    <w:next w:val="Normal"/>
    <w:rsid w:val="00870E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70E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70EB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70EB9"/>
    <w:pPr>
      <w:tabs>
        <w:tab w:val="left" w:pos="2160"/>
        <w:tab w:val="right" w:leader="dot" w:pos="9360"/>
      </w:tabs>
      <w:suppressAutoHyphens/>
      <w:ind w:left="2160" w:hanging="360"/>
    </w:pPr>
    <w:rPr>
      <w:noProof/>
    </w:rPr>
  </w:style>
  <w:style w:type="paragraph" w:styleId="TOC7">
    <w:name w:val="toc 7"/>
    <w:basedOn w:val="Normal"/>
    <w:next w:val="Normal"/>
    <w:autoRedefine/>
    <w:rsid w:val="00870EB9"/>
    <w:pPr>
      <w:tabs>
        <w:tab w:val="left" w:pos="2520"/>
        <w:tab w:val="right" w:leader="dot" w:pos="9360"/>
      </w:tabs>
      <w:suppressAutoHyphens/>
      <w:ind w:left="2520" w:hanging="360"/>
    </w:pPr>
    <w:rPr>
      <w:noProof/>
    </w:rPr>
  </w:style>
  <w:style w:type="paragraph" w:styleId="TOC8">
    <w:name w:val="toc 8"/>
    <w:basedOn w:val="Normal"/>
    <w:next w:val="Normal"/>
    <w:autoRedefine/>
    <w:rsid w:val="00870EB9"/>
    <w:pPr>
      <w:tabs>
        <w:tab w:val="left" w:pos="2880"/>
        <w:tab w:val="right" w:leader="dot" w:pos="9360"/>
      </w:tabs>
      <w:suppressAutoHyphens/>
      <w:ind w:left="2880" w:hanging="360"/>
    </w:pPr>
    <w:rPr>
      <w:noProof/>
    </w:rPr>
  </w:style>
  <w:style w:type="paragraph" w:styleId="TOC9">
    <w:name w:val="toc 9"/>
    <w:basedOn w:val="Normal"/>
    <w:next w:val="Normal"/>
    <w:autoRedefine/>
    <w:rsid w:val="00870EB9"/>
    <w:pPr>
      <w:tabs>
        <w:tab w:val="left" w:pos="3240"/>
        <w:tab w:val="right" w:leader="dot" w:pos="9360"/>
      </w:tabs>
      <w:suppressAutoHyphens/>
      <w:ind w:left="3240" w:hanging="360"/>
    </w:pPr>
    <w:rPr>
      <w:noProof/>
    </w:rPr>
  </w:style>
  <w:style w:type="paragraph" w:styleId="TOAHeading">
    <w:name w:val="toa heading"/>
    <w:basedOn w:val="Normal"/>
    <w:next w:val="Normal"/>
    <w:rsid w:val="00870EB9"/>
    <w:pPr>
      <w:tabs>
        <w:tab w:val="right" w:pos="9360"/>
      </w:tabs>
      <w:suppressAutoHyphens/>
    </w:pPr>
  </w:style>
  <w:style w:type="character" w:customStyle="1" w:styleId="EquationCaption">
    <w:name w:val="_Equation Caption"/>
    <w:rsid w:val="00870EB9"/>
  </w:style>
  <w:style w:type="paragraph" w:styleId="BlockText">
    <w:name w:val="Block Text"/>
    <w:basedOn w:val="Normal"/>
    <w:rsid w:val="00870EB9"/>
    <w:pPr>
      <w:spacing w:after="240"/>
      <w:ind w:left="1440" w:right="1440"/>
    </w:pPr>
  </w:style>
  <w:style w:type="paragraph" w:customStyle="1" w:styleId="Paratitle">
    <w:name w:val="Para title"/>
    <w:basedOn w:val="Normal"/>
    <w:rsid w:val="00870EB9"/>
    <w:pPr>
      <w:tabs>
        <w:tab w:val="center" w:pos="9270"/>
      </w:tabs>
      <w:spacing w:after="240"/>
    </w:pPr>
    <w:rPr>
      <w:spacing w:val="-2"/>
    </w:rPr>
  </w:style>
  <w:style w:type="paragraph" w:customStyle="1" w:styleId="Bullet">
    <w:name w:val="Bullet"/>
    <w:basedOn w:val="Normal"/>
    <w:rsid w:val="00870EB9"/>
    <w:pPr>
      <w:tabs>
        <w:tab w:val="left" w:pos="2160"/>
      </w:tabs>
      <w:spacing w:after="220"/>
      <w:ind w:left="2160" w:hanging="720"/>
    </w:pPr>
  </w:style>
  <w:style w:type="paragraph" w:customStyle="1" w:styleId="TableFormat">
    <w:name w:val="TableFormat"/>
    <w:basedOn w:val="Bullet"/>
    <w:rsid w:val="00870EB9"/>
    <w:pPr>
      <w:tabs>
        <w:tab w:val="clear" w:pos="2160"/>
        <w:tab w:val="left" w:pos="5040"/>
      </w:tabs>
      <w:ind w:left="5040" w:hanging="3600"/>
    </w:pPr>
  </w:style>
  <w:style w:type="paragraph" w:customStyle="1" w:styleId="TOCTitle">
    <w:name w:val="TOC Title"/>
    <w:basedOn w:val="Normal"/>
    <w:rsid w:val="00870E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0EB9"/>
    <w:pPr>
      <w:jc w:val="center"/>
    </w:pPr>
    <w:rPr>
      <w:rFonts w:ascii="Times New Roman Bold" w:hAnsi="Times New Roman Bold"/>
      <w:b/>
      <w:bCs/>
      <w:caps/>
      <w:szCs w:val="22"/>
    </w:rPr>
  </w:style>
  <w:style w:type="character" w:customStyle="1" w:styleId="FooterChar">
    <w:name w:val="Footer Char"/>
    <w:link w:val="Footer"/>
    <w:uiPriority w:val="99"/>
    <w:rsid w:val="00870EB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