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D2ECE" w:rsidRPr="001179F2" w:rsidP="00D63946">
      <w:pPr>
        <w:widowControl/>
        <w:jc w:val="center"/>
        <w:rPr>
          <w:b/>
          <w:w w:val="105"/>
          <w:kern w:val="0"/>
          <w:szCs w:val="22"/>
        </w:rPr>
      </w:pPr>
      <w:bookmarkStart w:id="0" w:name="_GoBack"/>
      <w:bookmarkEnd w:id="0"/>
      <w:r w:rsidRPr="001179F2">
        <w:rPr>
          <w:b/>
          <w:w w:val="105"/>
          <w:kern w:val="0"/>
          <w:szCs w:val="22"/>
        </w:rPr>
        <w:t>Before the</w:t>
      </w:r>
    </w:p>
    <w:p w:rsidR="008D2ECE" w:rsidRPr="001179F2" w:rsidP="00D63946">
      <w:pPr>
        <w:widowControl/>
        <w:jc w:val="center"/>
        <w:rPr>
          <w:b/>
          <w:bCs/>
          <w:caps/>
          <w:w w:val="105"/>
          <w:kern w:val="0"/>
          <w:szCs w:val="22"/>
        </w:rPr>
      </w:pPr>
      <w:r w:rsidRPr="001179F2">
        <w:rPr>
          <w:b/>
          <w:bCs/>
          <w:caps/>
          <w:w w:val="105"/>
          <w:kern w:val="0"/>
          <w:szCs w:val="22"/>
        </w:rPr>
        <w:t>F</w:t>
      </w:r>
      <w:r w:rsidRPr="001179F2">
        <w:rPr>
          <w:b/>
          <w:bCs/>
          <w:w w:val="105"/>
          <w:kern w:val="0"/>
          <w:szCs w:val="22"/>
        </w:rPr>
        <w:t>ederal Communications Commission</w:t>
      </w:r>
    </w:p>
    <w:p w:rsidR="008D2ECE" w:rsidRPr="001179F2" w:rsidP="00D63946">
      <w:pPr>
        <w:widowControl/>
        <w:jc w:val="center"/>
        <w:rPr>
          <w:b/>
          <w:bCs/>
          <w:caps/>
          <w:w w:val="105"/>
          <w:kern w:val="0"/>
          <w:szCs w:val="22"/>
        </w:rPr>
      </w:pPr>
      <w:r w:rsidRPr="001179F2">
        <w:rPr>
          <w:b/>
          <w:bCs/>
          <w:w w:val="105"/>
          <w:kern w:val="0"/>
          <w:szCs w:val="22"/>
        </w:rPr>
        <w:t>Washington, D.C. 20554</w:t>
      </w:r>
    </w:p>
    <w:p w:rsidR="008D2ECE" w:rsidRPr="001179F2" w:rsidP="00D63946">
      <w:pPr>
        <w:widowControl/>
        <w:rPr>
          <w:w w:val="105"/>
          <w:kern w:val="0"/>
          <w:szCs w:val="22"/>
        </w:rPr>
      </w:pPr>
    </w:p>
    <w:p w:rsidR="008D2ECE" w:rsidRPr="001179F2" w:rsidP="00D63946">
      <w:pPr>
        <w:widowControl/>
        <w:rPr>
          <w:w w:val="105"/>
          <w:kern w:val="0"/>
          <w:szCs w:val="22"/>
        </w:rPr>
      </w:pPr>
    </w:p>
    <w:tbl>
      <w:tblPr>
        <w:tblW w:w="9576" w:type="dxa"/>
        <w:tblLayout w:type="fixed"/>
        <w:tblLook w:val="0000"/>
      </w:tblPr>
      <w:tblGrid>
        <w:gridCol w:w="4698"/>
        <w:gridCol w:w="630"/>
        <w:gridCol w:w="4248"/>
      </w:tblGrid>
      <w:tr w:rsidTr="00B40639">
        <w:tblPrEx>
          <w:tblW w:w="9576" w:type="dxa"/>
          <w:tblLayout w:type="fixed"/>
          <w:tblLook w:val="0000"/>
        </w:tblPrEx>
        <w:tc>
          <w:tcPr>
            <w:tcW w:w="4698" w:type="dxa"/>
          </w:tcPr>
          <w:p w:rsidR="008D2ECE" w:rsidRPr="001179F2" w:rsidP="00D63946">
            <w:pPr>
              <w:widowControl/>
              <w:tabs>
                <w:tab w:val="center" w:pos="4680"/>
              </w:tabs>
              <w:suppressAutoHyphens/>
              <w:rPr>
                <w:w w:val="105"/>
                <w:kern w:val="0"/>
                <w:szCs w:val="22"/>
              </w:rPr>
            </w:pPr>
            <w:r w:rsidRPr="001179F2">
              <w:rPr>
                <w:w w:val="105"/>
                <w:kern w:val="0"/>
                <w:szCs w:val="22"/>
              </w:rPr>
              <w:t>In the Matter of</w:t>
            </w:r>
          </w:p>
          <w:p w:rsidR="008D2ECE" w:rsidRPr="001179F2" w:rsidP="00D63946">
            <w:pPr>
              <w:widowControl/>
              <w:tabs>
                <w:tab w:val="center" w:pos="4680"/>
              </w:tabs>
              <w:suppressAutoHyphens/>
              <w:rPr>
                <w:w w:val="105"/>
                <w:kern w:val="0"/>
                <w:szCs w:val="22"/>
              </w:rPr>
            </w:pPr>
          </w:p>
          <w:p w:rsidR="008D2ECE" w:rsidRPr="001179F2" w:rsidP="00D63946">
            <w:pPr>
              <w:widowControl/>
              <w:tabs>
                <w:tab w:val="center" w:pos="4680"/>
              </w:tabs>
              <w:suppressAutoHyphens/>
              <w:rPr>
                <w:w w:val="105"/>
                <w:kern w:val="0"/>
                <w:szCs w:val="22"/>
              </w:rPr>
            </w:pPr>
            <w:r w:rsidRPr="001179F2">
              <w:rPr>
                <w:w w:val="105"/>
                <w:kern w:val="0"/>
                <w:szCs w:val="22"/>
              </w:rPr>
              <w:t>Improving Wireless Emergency Alerts and Community-Initiated Alerting</w:t>
            </w:r>
          </w:p>
          <w:p w:rsidR="008D2ECE" w:rsidRPr="001179F2" w:rsidP="00D63946">
            <w:pPr>
              <w:widowControl/>
              <w:tabs>
                <w:tab w:val="center" w:pos="4680"/>
              </w:tabs>
              <w:suppressAutoHyphens/>
              <w:rPr>
                <w:w w:val="105"/>
                <w:kern w:val="0"/>
                <w:szCs w:val="22"/>
              </w:rPr>
            </w:pPr>
          </w:p>
          <w:p w:rsidR="008D2ECE" w:rsidRPr="001179F2" w:rsidP="00D63946">
            <w:pPr>
              <w:widowControl/>
              <w:tabs>
                <w:tab w:val="center" w:pos="4680"/>
              </w:tabs>
              <w:suppressAutoHyphens/>
              <w:rPr>
                <w:w w:val="105"/>
                <w:kern w:val="0"/>
                <w:szCs w:val="22"/>
              </w:rPr>
            </w:pPr>
          </w:p>
        </w:tc>
        <w:tc>
          <w:tcPr>
            <w:tcW w:w="630" w:type="dxa"/>
          </w:tcPr>
          <w:p w:rsidR="008D2ECE" w:rsidRPr="001179F2" w:rsidP="00D63946">
            <w:pPr>
              <w:widowControl/>
              <w:tabs>
                <w:tab w:val="center" w:pos="4680"/>
              </w:tabs>
              <w:suppressAutoHyphens/>
              <w:rPr>
                <w:b/>
                <w:w w:val="105"/>
                <w:kern w:val="0"/>
                <w:szCs w:val="22"/>
              </w:rPr>
            </w:pPr>
            <w:r w:rsidRPr="001179F2">
              <w:rPr>
                <w:b/>
                <w:w w:val="105"/>
                <w:kern w:val="0"/>
                <w:szCs w:val="22"/>
              </w:rPr>
              <w:t>)</w:t>
            </w:r>
          </w:p>
          <w:p w:rsidR="008D2ECE" w:rsidRPr="001179F2" w:rsidP="00D63946">
            <w:pPr>
              <w:widowControl/>
              <w:tabs>
                <w:tab w:val="center" w:pos="4680"/>
              </w:tabs>
              <w:suppressAutoHyphens/>
              <w:rPr>
                <w:b/>
                <w:w w:val="105"/>
                <w:kern w:val="0"/>
                <w:szCs w:val="22"/>
              </w:rPr>
            </w:pPr>
            <w:r w:rsidRPr="001179F2">
              <w:rPr>
                <w:b/>
                <w:w w:val="105"/>
                <w:kern w:val="0"/>
                <w:szCs w:val="22"/>
              </w:rPr>
              <w:t>)</w:t>
            </w:r>
          </w:p>
          <w:p w:rsidR="008D2ECE" w:rsidRPr="001179F2" w:rsidP="00D63946">
            <w:pPr>
              <w:widowControl/>
              <w:tabs>
                <w:tab w:val="center" w:pos="4680"/>
              </w:tabs>
              <w:suppressAutoHyphens/>
              <w:rPr>
                <w:b/>
                <w:w w:val="105"/>
                <w:kern w:val="0"/>
                <w:szCs w:val="22"/>
              </w:rPr>
            </w:pPr>
            <w:r w:rsidRPr="001179F2">
              <w:rPr>
                <w:b/>
                <w:w w:val="105"/>
                <w:kern w:val="0"/>
                <w:szCs w:val="22"/>
              </w:rPr>
              <w:t>)</w:t>
            </w:r>
          </w:p>
          <w:p w:rsidR="008D2ECE" w:rsidRPr="001179F2" w:rsidP="00D63946">
            <w:pPr>
              <w:widowControl/>
              <w:tabs>
                <w:tab w:val="center" w:pos="4680"/>
              </w:tabs>
              <w:suppressAutoHyphens/>
              <w:rPr>
                <w:b/>
                <w:w w:val="105"/>
                <w:kern w:val="0"/>
                <w:szCs w:val="22"/>
              </w:rPr>
            </w:pPr>
            <w:r>
              <w:rPr>
                <w:b/>
                <w:w w:val="105"/>
                <w:kern w:val="0"/>
                <w:szCs w:val="22"/>
              </w:rPr>
              <w:t>)</w:t>
            </w:r>
          </w:p>
          <w:p w:rsidR="008D2ECE" w:rsidRPr="001179F2" w:rsidP="00D63946">
            <w:pPr>
              <w:widowControl/>
              <w:tabs>
                <w:tab w:val="center" w:pos="4680"/>
              </w:tabs>
              <w:suppressAutoHyphens/>
              <w:rPr>
                <w:w w:val="105"/>
                <w:kern w:val="0"/>
                <w:szCs w:val="22"/>
              </w:rPr>
            </w:pPr>
          </w:p>
        </w:tc>
        <w:tc>
          <w:tcPr>
            <w:tcW w:w="4248" w:type="dxa"/>
          </w:tcPr>
          <w:p w:rsidR="008D2ECE" w:rsidRPr="001179F2" w:rsidP="00D63946">
            <w:pPr>
              <w:widowControl/>
              <w:tabs>
                <w:tab w:val="center" w:pos="4680"/>
              </w:tabs>
              <w:suppressAutoHyphens/>
              <w:rPr>
                <w:w w:val="105"/>
                <w:kern w:val="0"/>
                <w:szCs w:val="22"/>
              </w:rPr>
            </w:pPr>
          </w:p>
          <w:p w:rsidR="008D2ECE" w:rsidRPr="001179F2" w:rsidP="00D63946">
            <w:pPr>
              <w:widowControl/>
              <w:tabs>
                <w:tab w:val="center" w:pos="4680"/>
              </w:tabs>
              <w:suppressAutoHyphens/>
              <w:rPr>
                <w:w w:val="105"/>
                <w:kern w:val="0"/>
                <w:szCs w:val="22"/>
              </w:rPr>
            </w:pPr>
          </w:p>
          <w:p w:rsidR="008D2ECE" w:rsidRPr="001179F2" w:rsidP="00D63946">
            <w:pPr>
              <w:widowControl/>
              <w:tabs>
                <w:tab w:val="center" w:pos="4680"/>
              </w:tabs>
              <w:suppressAutoHyphens/>
              <w:rPr>
                <w:w w:val="105"/>
                <w:kern w:val="0"/>
                <w:szCs w:val="22"/>
              </w:rPr>
            </w:pPr>
            <w:r w:rsidRPr="001179F2">
              <w:rPr>
                <w:w w:val="105"/>
                <w:kern w:val="0"/>
                <w:szCs w:val="22"/>
              </w:rPr>
              <w:t>PS Docket No. 15-91</w:t>
            </w:r>
          </w:p>
          <w:p w:rsidR="008D2ECE" w:rsidRPr="001179F2" w:rsidP="00D63946">
            <w:pPr>
              <w:widowControl/>
              <w:tabs>
                <w:tab w:val="center" w:pos="4680"/>
              </w:tabs>
              <w:suppressAutoHyphens/>
              <w:rPr>
                <w:w w:val="105"/>
                <w:kern w:val="0"/>
                <w:szCs w:val="22"/>
              </w:rPr>
            </w:pPr>
          </w:p>
          <w:p w:rsidR="008D2ECE" w:rsidRPr="001179F2" w:rsidP="00D63946">
            <w:pPr>
              <w:widowControl/>
              <w:tabs>
                <w:tab w:val="center" w:pos="4680"/>
              </w:tabs>
              <w:suppressAutoHyphens/>
              <w:rPr>
                <w:w w:val="105"/>
                <w:kern w:val="0"/>
                <w:szCs w:val="22"/>
              </w:rPr>
            </w:pPr>
          </w:p>
          <w:p w:rsidR="008D2ECE" w:rsidRPr="001179F2" w:rsidP="00D63946">
            <w:pPr>
              <w:widowControl/>
              <w:tabs>
                <w:tab w:val="center" w:pos="4680"/>
              </w:tabs>
              <w:suppressAutoHyphens/>
              <w:rPr>
                <w:w w:val="105"/>
                <w:kern w:val="0"/>
                <w:szCs w:val="22"/>
              </w:rPr>
            </w:pPr>
          </w:p>
        </w:tc>
      </w:tr>
    </w:tbl>
    <w:p w:rsidR="00B40639" w:rsidRPr="00B40639" w:rsidP="003961C8">
      <w:pPr>
        <w:widowControl/>
        <w:rPr>
          <w:w w:val="105"/>
          <w:kern w:val="0"/>
          <w:szCs w:val="22"/>
        </w:rPr>
      </w:pPr>
    </w:p>
    <w:p w:rsidR="008D2ECE" w:rsidRPr="001179F2" w:rsidP="00B40639">
      <w:pPr>
        <w:widowControl/>
        <w:jc w:val="center"/>
        <w:rPr>
          <w:b/>
          <w:bCs/>
          <w:caps/>
          <w:w w:val="105"/>
          <w:kern w:val="0"/>
          <w:szCs w:val="22"/>
        </w:rPr>
      </w:pPr>
      <w:r w:rsidRPr="00B40639">
        <w:rPr>
          <w:b/>
          <w:bCs/>
          <w:w w:val="105"/>
          <w:kern w:val="0"/>
          <w:szCs w:val="22"/>
        </w:rPr>
        <w:t xml:space="preserve"> </w:t>
      </w:r>
      <w:r w:rsidRPr="001179F2" w:rsidR="00632D33">
        <w:rPr>
          <w:b/>
          <w:bCs/>
          <w:caps/>
          <w:w w:val="105"/>
          <w:kern w:val="0"/>
          <w:szCs w:val="22"/>
        </w:rPr>
        <w:t>ORDER</w:t>
      </w:r>
    </w:p>
    <w:p w:rsidR="008D2ECE" w:rsidRPr="001179F2" w:rsidP="00D63946">
      <w:pPr>
        <w:widowControl/>
        <w:tabs>
          <w:tab w:val="left" w:pos="-720"/>
        </w:tabs>
        <w:suppressAutoHyphens/>
        <w:spacing w:line="227" w:lineRule="auto"/>
        <w:rPr>
          <w:w w:val="105"/>
          <w:kern w:val="0"/>
          <w:szCs w:val="22"/>
        </w:rPr>
      </w:pPr>
    </w:p>
    <w:p w:rsidR="008D2ECE" w:rsidRPr="001179F2" w:rsidP="00D63946">
      <w:pPr>
        <w:widowControl/>
        <w:tabs>
          <w:tab w:val="left" w:pos="720"/>
          <w:tab w:val="right" w:pos="9360"/>
        </w:tabs>
        <w:suppressAutoHyphens/>
        <w:spacing w:line="227" w:lineRule="auto"/>
        <w:rPr>
          <w:w w:val="105"/>
          <w:kern w:val="0"/>
          <w:szCs w:val="22"/>
        </w:rPr>
      </w:pPr>
      <w:r w:rsidRPr="001179F2">
        <w:rPr>
          <w:b/>
          <w:w w:val="105"/>
          <w:kern w:val="0"/>
          <w:szCs w:val="22"/>
        </w:rPr>
        <w:t xml:space="preserve">Adopted:  </w:t>
      </w:r>
      <w:r w:rsidRPr="001179F2" w:rsidR="00677D67">
        <w:rPr>
          <w:b/>
          <w:w w:val="105"/>
          <w:kern w:val="0"/>
          <w:szCs w:val="22"/>
        </w:rPr>
        <w:t>Novem</w:t>
      </w:r>
      <w:r w:rsidRPr="001179F2">
        <w:rPr>
          <w:b/>
          <w:w w:val="105"/>
          <w:kern w:val="0"/>
          <w:szCs w:val="22"/>
        </w:rPr>
        <w:t xml:space="preserve">ber </w:t>
      </w:r>
      <w:r w:rsidR="00971A8D">
        <w:rPr>
          <w:b/>
          <w:w w:val="105"/>
          <w:kern w:val="0"/>
          <w:szCs w:val="22"/>
        </w:rPr>
        <w:t>18</w:t>
      </w:r>
      <w:r w:rsidRPr="001179F2">
        <w:rPr>
          <w:b/>
          <w:w w:val="105"/>
          <w:kern w:val="0"/>
          <w:szCs w:val="22"/>
        </w:rPr>
        <w:t>, 2019</w:t>
      </w:r>
      <w:r w:rsidRPr="001179F2">
        <w:rPr>
          <w:b/>
          <w:w w:val="105"/>
          <w:kern w:val="0"/>
          <w:szCs w:val="22"/>
        </w:rPr>
        <w:tab/>
        <w:t xml:space="preserve">Released:  </w:t>
      </w:r>
      <w:r w:rsidRPr="001179F2" w:rsidR="00677D67">
        <w:rPr>
          <w:b/>
          <w:w w:val="105"/>
          <w:kern w:val="0"/>
          <w:szCs w:val="22"/>
        </w:rPr>
        <w:t>November</w:t>
      </w:r>
      <w:r w:rsidRPr="001179F2">
        <w:rPr>
          <w:b/>
          <w:w w:val="105"/>
          <w:kern w:val="0"/>
          <w:szCs w:val="22"/>
        </w:rPr>
        <w:t xml:space="preserve"> </w:t>
      </w:r>
      <w:r w:rsidR="00971A8D">
        <w:rPr>
          <w:b/>
          <w:w w:val="105"/>
          <w:kern w:val="0"/>
          <w:szCs w:val="22"/>
        </w:rPr>
        <w:t>19</w:t>
      </w:r>
      <w:r w:rsidRPr="001179F2">
        <w:rPr>
          <w:b/>
          <w:w w:val="105"/>
          <w:kern w:val="0"/>
          <w:szCs w:val="22"/>
        </w:rPr>
        <w:t>, 2019</w:t>
      </w:r>
    </w:p>
    <w:p w:rsidR="008D2ECE" w:rsidRPr="001179F2" w:rsidP="00D63946">
      <w:pPr>
        <w:widowControl/>
        <w:rPr>
          <w:w w:val="105"/>
          <w:kern w:val="0"/>
          <w:szCs w:val="22"/>
        </w:rPr>
      </w:pPr>
    </w:p>
    <w:p w:rsidR="008D2ECE" w:rsidRPr="001179F2" w:rsidP="00D63946">
      <w:pPr>
        <w:widowControl/>
        <w:rPr>
          <w:w w:val="105"/>
          <w:kern w:val="0"/>
          <w:szCs w:val="22"/>
        </w:rPr>
      </w:pPr>
      <w:r w:rsidRPr="001179F2">
        <w:rPr>
          <w:w w:val="105"/>
          <w:kern w:val="0"/>
          <w:szCs w:val="22"/>
        </w:rPr>
        <w:t>By the Deputy Chief, Public Safety and Homeland Security Bureau:</w:t>
      </w:r>
    </w:p>
    <w:p w:rsidR="008D2ECE" w:rsidRPr="001179F2" w:rsidP="00D63946">
      <w:pPr>
        <w:keepNext/>
        <w:widowControl/>
        <w:tabs>
          <w:tab w:val="left" w:pos="720"/>
        </w:tabs>
        <w:suppressAutoHyphens/>
        <w:spacing w:after="120"/>
        <w:outlineLvl w:val="0"/>
        <w:rPr>
          <w:w w:val="105"/>
          <w:kern w:val="0"/>
          <w:szCs w:val="22"/>
        </w:rPr>
      </w:pPr>
    </w:p>
    <w:p w:rsidR="008D2ECE" w:rsidRPr="001179F2" w:rsidP="00D63946">
      <w:pPr>
        <w:pStyle w:val="Heading1"/>
        <w:widowControl/>
        <w:rPr>
          <w:rFonts w:ascii="Times New Roman" w:hAnsi="Times New Roman"/>
          <w:w w:val="105"/>
          <w:kern w:val="0"/>
          <w:szCs w:val="22"/>
        </w:rPr>
      </w:pPr>
      <w:r w:rsidRPr="001179F2">
        <w:rPr>
          <w:rFonts w:ascii="Times New Roman" w:hAnsi="Times New Roman"/>
          <w:w w:val="105"/>
          <w:kern w:val="0"/>
          <w:szCs w:val="22"/>
        </w:rPr>
        <w:t>introduction</w:t>
      </w:r>
    </w:p>
    <w:p w:rsidR="008D2ECE" w:rsidRPr="001179F2" w:rsidP="00842C1D">
      <w:pPr>
        <w:widowControl/>
        <w:numPr>
          <w:ilvl w:val="0"/>
          <w:numId w:val="2"/>
        </w:numPr>
        <w:tabs>
          <w:tab w:val="clear" w:pos="1080"/>
          <w:tab w:val="num" w:pos="1440"/>
        </w:tabs>
        <w:spacing w:after="120" w:line="259" w:lineRule="auto"/>
        <w:rPr>
          <w:w w:val="105"/>
          <w:kern w:val="0"/>
          <w:szCs w:val="22"/>
        </w:rPr>
      </w:pPr>
      <w:r w:rsidRPr="001179F2">
        <w:rPr>
          <w:w w:val="105"/>
          <w:kern w:val="0"/>
          <w:szCs w:val="22"/>
        </w:rPr>
        <w:t xml:space="preserve">In this </w:t>
      </w:r>
      <w:r w:rsidRPr="001179F2">
        <w:rPr>
          <w:i/>
          <w:w w:val="105"/>
          <w:kern w:val="0"/>
          <w:szCs w:val="22"/>
        </w:rPr>
        <w:t>Order</w:t>
      </w:r>
      <w:r w:rsidRPr="001179F2">
        <w:rPr>
          <w:w w:val="105"/>
          <w:kern w:val="0"/>
          <w:szCs w:val="22"/>
        </w:rPr>
        <w:t>, the Public Safety and Homeland Security Bureau (Bureau) of the Federal Communications Commission (Commission) grants a limited waiver of the Commission’s Wireless Emergency Alert (WEA) rules</w:t>
      </w:r>
      <w:r w:rsidRPr="001179F2">
        <w:rPr>
          <w:w w:val="105"/>
          <w:kern w:val="0"/>
          <w:position w:val="7"/>
          <w:szCs w:val="22"/>
        </w:rPr>
        <w:t xml:space="preserve"> </w:t>
      </w:r>
      <w:r w:rsidRPr="001179F2">
        <w:rPr>
          <w:w w:val="105"/>
          <w:kern w:val="0"/>
          <w:szCs w:val="22"/>
        </w:rPr>
        <w:t>to permit Participating Commercial Mobile Service (CMS) Providers</w:t>
      </w:r>
      <w:r>
        <w:rPr>
          <w:w w:val="105"/>
          <w:kern w:val="0"/>
          <w:szCs w:val="22"/>
          <w:vertAlign w:val="superscript"/>
        </w:rPr>
        <w:footnoteReference w:id="3"/>
      </w:r>
      <w:r w:rsidRPr="001179F2">
        <w:rPr>
          <w:w w:val="105"/>
          <w:kern w:val="0"/>
          <w:szCs w:val="22"/>
        </w:rPr>
        <w:t xml:space="preserve"> to participate in a test to be conducted by the </w:t>
      </w:r>
      <w:r w:rsidRPr="001179F2" w:rsidR="00677D67">
        <w:rPr>
          <w:color w:val="1D1D23"/>
          <w:w w:val="105"/>
          <w:kern w:val="0"/>
          <w:szCs w:val="22"/>
        </w:rPr>
        <w:t>Napa County Office of Emergency Services (Napa OES)</w:t>
      </w:r>
      <w:r w:rsidRPr="001179F2" w:rsidR="00677D67">
        <w:rPr>
          <w:w w:val="105"/>
          <w:kern w:val="0"/>
          <w:szCs w:val="22"/>
        </w:rPr>
        <w:t>.</w:t>
      </w:r>
      <w:r>
        <w:rPr>
          <w:rStyle w:val="FootnoteReference"/>
          <w:w w:val="105"/>
          <w:kern w:val="0"/>
          <w:sz w:val="22"/>
          <w:szCs w:val="22"/>
        </w:rPr>
        <w:footnoteReference w:id="4"/>
      </w:r>
      <w:r w:rsidRPr="001179F2">
        <w:rPr>
          <w:w w:val="105"/>
          <w:kern w:val="0"/>
          <w:szCs w:val="22"/>
        </w:rPr>
        <w:t xml:space="preserve">  This </w:t>
      </w:r>
      <w:r w:rsidRPr="001179F2" w:rsidR="001A58D9">
        <w:rPr>
          <w:w w:val="105"/>
          <w:kern w:val="0"/>
          <w:szCs w:val="22"/>
        </w:rPr>
        <w:t xml:space="preserve">proposed </w:t>
      </w:r>
      <w:r w:rsidRPr="001179F2">
        <w:rPr>
          <w:w w:val="105"/>
          <w:kern w:val="0"/>
          <w:szCs w:val="22"/>
        </w:rPr>
        <w:t xml:space="preserve">test </w:t>
      </w:r>
      <w:r w:rsidRPr="001179F2" w:rsidR="001A58D9">
        <w:rPr>
          <w:w w:val="105"/>
          <w:kern w:val="0"/>
          <w:szCs w:val="22"/>
        </w:rPr>
        <w:t>would</w:t>
      </w:r>
      <w:r w:rsidRPr="001179F2">
        <w:rPr>
          <w:w w:val="105"/>
          <w:kern w:val="0"/>
          <w:szCs w:val="22"/>
        </w:rPr>
        <w:t xml:space="preserve"> be a live end-to-end WEA test </w:t>
      </w:r>
      <w:r w:rsidRPr="001179F2" w:rsidR="001A58D9">
        <w:rPr>
          <w:w w:val="105"/>
          <w:kern w:val="0"/>
          <w:szCs w:val="22"/>
        </w:rPr>
        <w:t xml:space="preserve">at 1:00 PM Pacific Standard Time on </w:t>
      </w:r>
      <w:r w:rsidRPr="001179F2" w:rsidR="00677D67">
        <w:rPr>
          <w:color w:val="1D1D23"/>
          <w:w w:val="105"/>
          <w:kern w:val="0"/>
          <w:szCs w:val="22"/>
        </w:rPr>
        <w:t>Friday, December 6, 2019</w:t>
      </w:r>
      <w:r w:rsidRPr="001179F2" w:rsidR="001A58D9">
        <w:rPr>
          <w:color w:val="1D1D23"/>
          <w:w w:val="105"/>
          <w:kern w:val="0"/>
          <w:szCs w:val="22"/>
        </w:rPr>
        <w:t xml:space="preserve"> with a backup date of December 11, 2019 at 1:00 PM Pacific Standard Time</w:t>
      </w:r>
      <w:r w:rsidRPr="001179F2">
        <w:rPr>
          <w:w w:val="105"/>
          <w:kern w:val="0"/>
          <w:szCs w:val="22"/>
        </w:rPr>
        <w:t>.</w:t>
      </w:r>
      <w:r w:rsidRPr="001179F2" w:rsidR="00FB4D6E">
        <w:rPr>
          <w:w w:val="105"/>
          <w:kern w:val="0"/>
          <w:szCs w:val="22"/>
        </w:rPr>
        <w:t xml:space="preserve"> </w:t>
      </w:r>
      <w:r w:rsidRPr="001179F2">
        <w:rPr>
          <w:w w:val="105"/>
          <w:kern w:val="0"/>
          <w:szCs w:val="22"/>
        </w:rPr>
        <w:t xml:space="preserve"> For the reasons discussed below</w:t>
      </w:r>
      <w:r w:rsidR="00585E15">
        <w:rPr>
          <w:w w:val="105"/>
          <w:kern w:val="0"/>
          <w:szCs w:val="22"/>
        </w:rPr>
        <w:t>,</w:t>
      </w:r>
      <w:r w:rsidR="00A446F5">
        <w:rPr>
          <w:w w:val="105"/>
          <w:kern w:val="0"/>
          <w:szCs w:val="22"/>
        </w:rPr>
        <w:t xml:space="preserve"> </w:t>
      </w:r>
      <w:r w:rsidRPr="001179F2">
        <w:rPr>
          <w:w w:val="105"/>
          <w:kern w:val="0"/>
          <w:szCs w:val="22"/>
        </w:rPr>
        <w:t xml:space="preserve">we grant the </w:t>
      </w:r>
      <w:r w:rsidRPr="001179F2" w:rsidR="00677D67">
        <w:rPr>
          <w:w w:val="105"/>
          <w:kern w:val="0"/>
          <w:szCs w:val="22"/>
        </w:rPr>
        <w:t>Napa OES</w:t>
      </w:r>
      <w:r w:rsidRPr="001179F2">
        <w:rPr>
          <w:w w:val="105"/>
          <w:kern w:val="0"/>
          <w:szCs w:val="22"/>
        </w:rPr>
        <w:t xml:space="preserve"> request subject to certain conditions.</w:t>
      </w:r>
    </w:p>
    <w:p w:rsidR="008D2ECE" w:rsidRPr="001179F2" w:rsidP="00D63946">
      <w:pPr>
        <w:pStyle w:val="Heading1"/>
        <w:widowControl/>
        <w:rPr>
          <w:rFonts w:ascii="Times New Roman" w:hAnsi="Times New Roman"/>
          <w:w w:val="105"/>
          <w:kern w:val="0"/>
          <w:szCs w:val="22"/>
        </w:rPr>
      </w:pPr>
      <w:r w:rsidRPr="001179F2">
        <w:rPr>
          <w:rFonts w:ascii="Times New Roman" w:hAnsi="Times New Roman"/>
          <w:w w:val="105"/>
          <w:kern w:val="0"/>
          <w:szCs w:val="22"/>
        </w:rPr>
        <w:t>background</w:t>
      </w:r>
    </w:p>
    <w:p w:rsidR="00C33E3D" w:rsidRPr="001179F2" w:rsidP="00842C1D">
      <w:pPr>
        <w:widowControl/>
        <w:numPr>
          <w:ilvl w:val="0"/>
          <w:numId w:val="2"/>
        </w:numPr>
        <w:tabs>
          <w:tab w:val="clear" w:pos="1080"/>
          <w:tab w:val="num" w:pos="1440"/>
        </w:tabs>
        <w:spacing w:after="120" w:line="259" w:lineRule="auto"/>
        <w:rPr>
          <w:w w:val="105"/>
          <w:kern w:val="0"/>
          <w:szCs w:val="22"/>
        </w:rPr>
      </w:pPr>
      <w:bookmarkStart w:id="1" w:name="_Ref434933436"/>
      <w:r w:rsidRPr="001179F2">
        <w:rPr>
          <w:w w:val="105"/>
          <w:kern w:val="0"/>
          <w:szCs w:val="22"/>
        </w:rPr>
        <w:t xml:space="preserve">The WEA system allows authorized government entities to send geographically targeted emergency alerts to commercial wireless subscribers who have WEA-capable mobile devices and whose commercial wireless service </w:t>
      </w:r>
      <w:r w:rsidRPr="00842C1D">
        <w:rPr>
          <w:color w:val="1D1D23"/>
          <w:w w:val="105"/>
          <w:kern w:val="0"/>
          <w:szCs w:val="22"/>
        </w:rPr>
        <w:t>providers</w:t>
      </w:r>
      <w:r w:rsidRPr="001179F2">
        <w:rPr>
          <w:w w:val="105"/>
          <w:kern w:val="0"/>
          <w:szCs w:val="22"/>
        </w:rPr>
        <w:t xml:space="preserve"> are Participating CMS Providers.</w:t>
      </w:r>
      <w:r>
        <w:rPr>
          <w:w w:val="105"/>
          <w:kern w:val="0"/>
          <w:szCs w:val="22"/>
          <w:vertAlign w:val="superscript"/>
        </w:rPr>
        <w:footnoteReference w:id="5"/>
      </w:r>
      <w:r w:rsidRPr="001179F2">
        <w:rPr>
          <w:w w:val="105"/>
          <w:kern w:val="0"/>
          <w:szCs w:val="22"/>
        </w:rPr>
        <w:t xml:space="preserve">  </w:t>
      </w:r>
      <w:r w:rsidR="00A446F5">
        <w:rPr>
          <w:w w:val="105"/>
          <w:kern w:val="0"/>
          <w:szCs w:val="22"/>
        </w:rPr>
        <w:t>T</w:t>
      </w:r>
      <w:r w:rsidRPr="001179F2">
        <w:rPr>
          <w:w w:val="105"/>
          <w:kern w:val="0"/>
          <w:szCs w:val="22"/>
        </w:rPr>
        <w:t>he Commission’s rules allow testing of WEA functionality only in limited circumstances that currently do not include end-to-end WEA tests to the public.</w:t>
      </w:r>
      <w:r>
        <w:rPr>
          <w:w w:val="105"/>
          <w:kern w:val="0"/>
          <w:szCs w:val="22"/>
          <w:vertAlign w:val="superscript"/>
        </w:rPr>
        <w:footnoteReference w:id="6"/>
      </w:r>
      <w:r w:rsidR="00AB027A">
        <w:rPr>
          <w:w w:val="105"/>
          <w:kern w:val="0"/>
          <w:szCs w:val="22"/>
        </w:rPr>
        <w:t xml:space="preserve"> </w:t>
      </w:r>
      <w:r w:rsidRPr="00AB027A" w:rsidR="00AB027A">
        <w:rPr>
          <w:w w:val="105"/>
          <w:kern w:val="0"/>
          <w:szCs w:val="22"/>
        </w:rPr>
        <w:t xml:space="preserve">The Commission's rules prohibit use of the </w:t>
      </w:r>
      <w:r w:rsidRPr="00AB027A" w:rsidR="00AB027A">
        <w:rPr>
          <w:w w:val="105"/>
          <w:kern w:val="0"/>
          <w:szCs w:val="22"/>
        </w:rPr>
        <w:t>WEA Attention Signal except during actual emergencies, authorized tests, and certain public service announcements.</w:t>
      </w:r>
      <w:r>
        <w:rPr>
          <w:w w:val="105"/>
          <w:kern w:val="0"/>
          <w:szCs w:val="22"/>
          <w:vertAlign w:val="superscript"/>
        </w:rPr>
        <w:footnoteReference w:id="7"/>
      </w:r>
    </w:p>
    <w:p w:rsidR="00C33E3D" w:rsidRPr="001179F2" w:rsidP="00842C1D">
      <w:pPr>
        <w:widowControl/>
        <w:numPr>
          <w:ilvl w:val="0"/>
          <w:numId w:val="2"/>
        </w:numPr>
        <w:tabs>
          <w:tab w:val="clear" w:pos="1080"/>
          <w:tab w:val="num" w:pos="1440"/>
        </w:tabs>
        <w:spacing w:after="120" w:line="259" w:lineRule="auto"/>
        <w:rPr>
          <w:w w:val="105"/>
          <w:kern w:val="0"/>
          <w:szCs w:val="22"/>
        </w:rPr>
      </w:pPr>
      <w:r w:rsidRPr="001179F2">
        <w:rPr>
          <w:w w:val="105"/>
          <w:kern w:val="0"/>
          <w:szCs w:val="22"/>
        </w:rPr>
        <w:t>On</w:t>
      </w:r>
      <w:r w:rsidRPr="001179F2">
        <w:rPr>
          <w:snapToGrid/>
          <w:w w:val="105"/>
          <w:kern w:val="0"/>
          <w:szCs w:val="22"/>
        </w:rPr>
        <w:t xml:space="preserve"> November 1, 2016 the Commission adopted a </w:t>
      </w:r>
      <w:r w:rsidRPr="001179F2">
        <w:rPr>
          <w:i/>
          <w:snapToGrid/>
          <w:w w:val="105"/>
          <w:kern w:val="0"/>
          <w:szCs w:val="22"/>
        </w:rPr>
        <w:t>Report and Order</w:t>
      </w:r>
      <w:r w:rsidRPr="001179F2">
        <w:rPr>
          <w:snapToGrid/>
          <w:w w:val="105"/>
          <w:kern w:val="0"/>
          <w:szCs w:val="22"/>
        </w:rPr>
        <w:t xml:space="preserve"> that amend</w:t>
      </w:r>
      <w:r w:rsidRPr="001179F2" w:rsidR="00942F9A">
        <w:rPr>
          <w:snapToGrid/>
          <w:w w:val="105"/>
          <w:kern w:val="0"/>
          <w:szCs w:val="22"/>
        </w:rPr>
        <w:t>ed</w:t>
      </w:r>
      <w:r w:rsidRPr="001179F2">
        <w:rPr>
          <w:snapToGrid/>
          <w:w w:val="105"/>
          <w:kern w:val="0"/>
          <w:szCs w:val="22"/>
        </w:rPr>
        <w:t xml:space="preserve"> the WEA testing rules to permit emergency managers to conduct end-to-end WEA tests to the public, without obtaining a waiver, to assess how WEA </w:t>
      </w:r>
      <w:r w:rsidRPr="001179F2">
        <w:rPr>
          <w:w w:val="105"/>
          <w:kern w:val="0"/>
          <w:szCs w:val="22"/>
        </w:rPr>
        <w:t>works</w:t>
      </w:r>
      <w:r w:rsidRPr="001179F2">
        <w:rPr>
          <w:snapToGrid/>
          <w:w w:val="105"/>
          <w:kern w:val="0"/>
          <w:szCs w:val="22"/>
        </w:rPr>
        <w:t xml:space="preserve"> within their jurisdictions.</w:t>
      </w:r>
      <w:r>
        <w:rPr>
          <w:rStyle w:val="FootnoteReference"/>
          <w:snapToGrid/>
          <w:w w:val="105"/>
          <w:kern w:val="0"/>
          <w:sz w:val="22"/>
          <w:szCs w:val="22"/>
        </w:rPr>
        <w:footnoteReference w:id="8"/>
      </w:r>
      <w:r w:rsidRPr="001179F2">
        <w:rPr>
          <w:snapToGrid/>
          <w:w w:val="105"/>
          <w:kern w:val="0"/>
          <w:szCs w:val="22"/>
        </w:rPr>
        <w:t xml:space="preserve">  The rules allowing such State/Local WEA Tests </w:t>
      </w:r>
      <w:r w:rsidRPr="00842C1D">
        <w:rPr>
          <w:color w:val="1D1D23"/>
          <w:w w:val="105"/>
          <w:kern w:val="0"/>
          <w:szCs w:val="22"/>
        </w:rPr>
        <w:t>became</w:t>
      </w:r>
      <w:r w:rsidRPr="001179F2">
        <w:rPr>
          <w:snapToGrid/>
          <w:w w:val="105"/>
          <w:kern w:val="0"/>
          <w:szCs w:val="22"/>
        </w:rPr>
        <w:t xml:space="preserve"> </w:t>
      </w:r>
      <w:r w:rsidRPr="001179F2">
        <w:rPr>
          <w:w w:val="105"/>
          <w:kern w:val="0"/>
          <w:szCs w:val="22"/>
        </w:rPr>
        <w:t>effective</w:t>
      </w:r>
      <w:r w:rsidRPr="001179F2">
        <w:rPr>
          <w:snapToGrid/>
          <w:w w:val="105"/>
          <w:kern w:val="0"/>
          <w:szCs w:val="22"/>
        </w:rPr>
        <w:t xml:space="preserve"> on May 1, 2019 but the Department of Homeland Security’s Federal Emergency Management Agency (FEMA), which administers the Integrated Public Alert and Warning System</w:t>
      </w:r>
      <w:r w:rsidRPr="001179F2" w:rsidR="00FD5A14">
        <w:rPr>
          <w:snapToGrid/>
          <w:w w:val="105"/>
          <w:kern w:val="0"/>
          <w:szCs w:val="22"/>
        </w:rPr>
        <w:t xml:space="preserve"> </w:t>
      </w:r>
      <w:r w:rsidRPr="001179F2">
        <w:rPr>
          <w:snapToGrid/>
          <w:w w:val="105"/>
          <w:kern w:val="0"/>
          <w:szCs w:val="22"/>
        </w:rPr>
        <w:t>(IPAWS) infrastructure through which all alerts are authenticated, validated, and delivered to Participating CMS Providers, has informed the Public Safety and Homeland Security Bureau that IPAWS will not be ready to support additional features, including State/Local WEA tests, pending further necessary technical changes to IPAWS.</w:t>
      </w:r>
      <w:r>
        <w:rPr>
          <w:rStyle w:val="FootnoteReference"/>
          <w:snapToGrid/>
          <w:w w:val="105"/>
          <w:kern w:val="0"/>
          <w:sz w:val="22"/>
          <w:szCs w:val="22"/>
        </w:rPr>
        <w:footnoteReference w:id="9"/>
      </w:r>
      <w:r w:rsidRPr="001179F2">
        <w:rPr>
          <w:snapToGrid/>
          <w:w w:val="105"/>
          <w:kern w:val="0"/>
          <w:szCs w:val="22"/>
        </w:rPr>
        <w:t xml:space="preserve">  Accordingly, alert originators wishing to conduct end-to-end WEA tests prior to IPAWS’s readiness to support State/Local WEA </w:t>
      </w:r>
      <w:r w:rsidRPr="001179F2" w:rsidR="001A58D9">
        <w:rPr>
          <w:snapToGrid/>
          <w:w w:val="105"/>
          <w:kern w:val="0"/>
          <w:szCs w:val="22"/>
        </w:rPr>
        <w:t>t</w:t>
      </w:r>
      <w:r w:rsidRPr="001179F2">
        <w:rPr>
          <w:snapToGrid/>
          <w:w w:val="105"/>
          <w:kern w:val="0"/>
          <w:szCs w:val="22"/>
        </w:rPr>
        <w:t>ests must continue to request a waiver to use existing WEA message classifications</w:t>
      </w:r>
      <w:r w:rsidRPr="001179F2" w:rsidR="00A21589">
        <w:rPr>
          <w:snapToGrid/>
          <w:w w:val="105"/>
          <w:kern w:val="0"/>
          <w:szCs w:val="22"/>
        </w:rPr>
        <w:t>,</w:t>
      </w:r>
      <w:r w:rsidRPr="001179F2">
        <w:rPr>
          <w:snapToGrid/>
          <w:w w:val="105"/>
          <w:kern w:val="0"/>
          <w:szCs w:val="22"/>
        </w:rPr>
        <w:t xml:space="preserve"> to permit the alerts to be transmitted to the public.</w:t>
      </w:r>
    </w:p>
    <w:bookmarkEnd w:id="1"/>
    <w:p w:rsidR="00FC119D" w:rsidRPr="001179F2" w:rsidP="00842C1D">
      <w:pPr>
        <w:widowControl/>
        <w:numPr>
          <w:ilvl w:val="0"/>
          <w:numId w:val="2"/>
        </w:numPr>
        <w:tabs>
          <w:tab w:val="clear" w:pos="1080"/>
          <w:tab w:val="num" w:pos="1440"/>
        </w:tabs>
        <w:spacing w:after="120" w:line="259" w:lineRule="auto"/>
        <w:rPr>
          <w:color w:val="010101"/>
          <w:w w:val="105"/>
          <w:kern w:val="0"/>
          <w:szCs w:val="22"/>
        </w:rPr>
      </w:pPr>
      <w:r w:rsidRPr="001179F2">
        <w:rPr>
          <w:w w:val="105"/>
          <w:kern w:val="0"/>
          <w:szCs w:val="22"/>
        </w:rPr>
        <w:t>The Napa OES Letter requests a waiver of the Commission’s rules to allow</w:t>
      </w:r>
      <w:r w:rsidRPr="001179F2">
        <w:rPr>
          <w:color w:val="010101"/>
          <w:w w:val="105"/>
          <w:kern w:val="0"/>
          <w:szCs w:val="22"/>
        </w:rPr>
        <w:t xml:space="preserve"> </w:t>
      </w:r>
      <w:r w:rsidRPr="001179F2">
        <w:rPr>
          <w:w w:val="105"/>
          <w:kern w:val="0"/>
          <w:szCs w:val="22"/>
        </w:rPr>
        <w:t xml:space="preserve">Participating CMS Providers to participate in a </w:t>
      </w:r>
      <w:r w:rsidRPr="001179F2" w:rsidR="006B2ADD">
        <w:rPr>
          <w:w w:val="105"/>
          <w:kern w:val="0"/>
          <w:szCs w:val="22"/>
        </w:rPr>
        <w:t xml:space="preserve">live </w:t>
      </w:r>
      <w:r w:rsidRPr="001179F2">
        <w:rPr>
          <w:w w:val="105"/>
          <w:kern w:val="0"/>
          <w:szCs w:val="22"/>
        </w:rPr>
        <w:t xml:space="preserve">WEA test </w:t>
      </w:r>
      <w:r w:rsidRPr="001179F2" w:rsidR="006B2ADD">
        <w:rPr>
          <w:w w:val="105"/>
          <w:kern w:val="0"/>
          <w:szCs w:val="22"/>
        </w:rPr>
        <w:t xml:space="preserve">that will deliver a text message to the public, following </w:t>
      </w:r>
      <w:r w:rsidRPr="001179F2">
        <w:rPr>
          <w:color w:val="1D1D23"/>
          <w:w w:val="105"/>
          <w:kern w:val="0"/>
          <w:szCs w:val="22"/>
        </w:rPr>
        <w:t xml:space="preserve">a Regional Alert </w:t>
      </w:r>
      <w:r w:rsidRPr="001179F2" w:rsidR="006B2ADD">
        <w:rPr>
          <w:color w:val="1D1D23"/>
          <w:w w:val="105"/>
          <w:kern w:val="0"/>
          <w:szCs w:val="22"/>
        </w:rPr>
        <w:t>and</w:t>
      </w:r>
      <w:r w:rsidRPr="001179F2">
        <w:rPr>
          <w:color w:val="1D1D23"/>
          <w:w w:val="105"/>
          <w:kern w:val="0"/>
          <w:szCs w:val="22"/>
        </w:rPr>
        <w:t xml:space="preserve"> Warning Functional Exercise </w:t>
      </w:r>
      <w:r w:rsidRPr="001179F2" w:rsidR="001A58D9">
        <w:rPr>
          <w:color w:val="1D1D23"/>
          <w:w w:val="105"/>
          <w:kern w:val="0"/>
          <w:szCs w:val="22"/>
        </w:rPr>
        <w:t xml:space="preserve">on </w:t>
      </w:r>
      <w:r w:rsidRPr="001179F2" w:rsidR="006B2ADD">
        <w:rPr>
          <w:color w:val="1D1D23"/>
          <w:w w:val="105"/>
          <w:kern w:val="0"/>
          <w:szCs w:val="22"/>
        </w:rPr>
        <w:t>December 6, 2019</w:t>
      </w:r>
      <w:r w:rsidRPr="001179F2">
        <w:rPr>
          <w:color w:val="1D1D23"/>
          <w:w w:val="105"/>
          <w:kern w:val="0"/>
          <w:szCs w:val="22"/>
        </w:rPr>
        <w:t>.</w:t>
      </w:r>
      <w:r>
        <w:rPr>
          <w:rStyle w:val="FootnoteReference"/>
          <w:w w:val="105"/>
          <w:kern w:val="0"/>
          <w:sz w:val="22"/>
          <w:szCs w:val="22"/>
        </w:rPr>
        <w:footnoteReference w:id="10"/>
      </w:r>
      <w:r w:rsidRPr="001179F2">
        <w:rPr>
          <w:w w:val="105"/>
          <w:kern w:val="0"/>
          <w:szCs w:val="22"/>
        </w:rPr>
        <w:t xml:space="preserve">  The Napa OES Letter notes that </w:t>
      </w:r>
      <w:r w:rsidRPr="001179F2" w:rsidR="00B75880">
        <w:rPr>
          <w:w w:val="105"/>
          <w:kern w:val="0"/>
          <w:szCs w:val="22"/>
        </w:rPr>
        <w:t xml:space="preserve">over the past two years, California has been </w:t>
      </w:r>
      <w:r w:rsidRPr="001179F2">
        <w:rPr>
          <w:color w:val="010101"/>
          <w:w w:val="105"/>
          <w:kern w:val="0"/>
          <w:szCs w:val="22"/>
        </w:rPr>
        <w:t>devastated by wildfire</w:t>
      </w:r>
      <w:r w:rsidRPr="001179F2" w:rsidR="00B75880">
        <w:rPr>
          <w:color w:val="010101"/>
          <w:w w:val="105"/>
          <w:kern w:val="0"/>
          <w:szCs w:val="22"/>
        </w:rPr>
        <w:t>s and floods</w:t>
      </w:r>
      <w:r w:rsidRPr="001179F2">
        <w:rPr>
          <w:color w:val="010101"/>
          <w:w w:val="105"/>
          <w:kern w:val="0"/>
          <w:szCs w:val="22"/>
        </w:rPr>
        <w:t xml:space="preserve">, </w:t>
      </w:r>
      <w:r w:rsidRPr="001179F2" w:rsidR="00B75880">
        <w:rPr>
          <w:color w:val="010101"/>
          <w:w w:val="105"/>
          <w:kern w:val="0"/>
          <w:szCs w:val="22"/>
        </w:rPr>
        <w:t xml:space="preserve">which have led to </w:t>
      </w:r>
      <w:r w:rsidRPr="001179F2" w:rsidR="00B75880">
        <w:rPr>
          <w:color w:val="1D1D23"/>
          <w:w w:val="105"/>
          <w:kern w:val="0"/>
          <w:szCs w:val="22"/>
        </w:rPr>
        <w:t xml:space="preserve">new state alert and warning mandates and public concern about </w:t>
      </w:r>
      <w:r w:rsidRPr="001179F2" w:rsidR="0037501F">
        <w:rPr>
          <w:color w:val="1D1D23"/>
          <w:w w:val="105"/>
          <w:kern w:val="0"/>
          <w:szCs w:val="22"/>
        </w:rPr>
        <w:t>emergency warning</w:t>
      </w:r>
      <w:r w:rsidR="00A446F5">
        <w:rPr>
          <w:color w:val="1D1D23"/>
          <w:w w:val="105"/>
          <w:kern w:val="0"/>
          <w:szCs w:val="22"/>
        </w:rPr>
        <w:t>s</w:t>
      </w:r>
      <w:r w:rsidRPr="001179F2" w:rsidR="00B75880">
        <w:rPr>
          <w:color w:val="3F3F44"/>
          <w:w w:val="105"/>
          <w:kern w:val="0"/>
          <w:szCs w:val="22"/>
        </w:rPr>
        <w:t>.</w:t>
      </w:r>
      <w:r>
        <w:rPr>
          <w:rStyle w:val="FootnoteReference"/>
          <w:w w:val="105"/>
          <w:kern w:val="0"/>
          <w:sz w:val="22"/>
          <w:szCs w:val="22"/>
        </w:rPr>
        <w:footnoteReference w:id="11"/>
      </w:r>
      <w:r w:rsidRPr="001179F2">
        <w:rPr>
          <w:color w:val="010101"/>
          <w:w w:val="105"/>
          <w:kern w:val="0"/>
          <w:szCs w:val="22"/>
        </w:rPr>
        <w:t xml:space="preserve">  </w:t>
      </w:r>
      <w:r w:rsidRPr="001179F2" w:rsidR="009F707C">
        <w:rPr>
          <w:color w:val="010101"/>
          <w:w w:val="105"/>
          <w:kern w:val="0"/>
          <w:szCs w:val="22"/>
        </w:rPr>
        <w:t xml:space="preserve">Consequently, Napa County OES notes, it and </w:t>
      </w:r>
      <w:r w:rsidRPr="001179F2" w:rsidR="0037501F">
        <w:rPr>
          <w:color w:val="1D1D23"/>
          <w:w w:val="105"/>
          <w:kern w:val="0"/>
          <w:szCs w:val="22"/>
        </w:rPr>
        <w:t xml:space="preserve">local and Bay Area partners </w:t>
      </w:r>
      <w:r w:rsidRPr="001179F2" w:rsidR="00CA2DED">
        <w:rPr>
          <w:color w:val="1D1D23"/>
          <w:w w:val="105"/>
          <w:kern w:val="0"/>
          <w:szCs w:val="22"/>
        </w:rPr>
        <w:t xml:space="preserve">are </w:t>
      </w:r>
      <w:r w:rsidRPr="001179F2" w:rsidR="0037501F">
        <w:rPr>
          <w:color w:val="1D1D23"/>
          <w:w w:val="105"/>
          <w:kern w:val="0"/>
          <w:szCs w:val="22"/>
        </w:rPr>
        <w:t>updat</w:t>
      </w:r>
      <w:r w:rsidRPr="001179F2" w:rsidR="00CA2DED">
        <w:rPr>
          <w:color w:val="1D1D23"/>
          <w:w w:val="105"/>
          <w:kern w:val="0"/>
          <w:szCs w:val="22"/>
        </w:rPr>
        <w:t>ing</w:t>
      </w:r>
      <w:r w:rsidRPr="001179F2" w:rsidR="0037501F">
        <w:rPr>
          <w:color w:val="1D1D23"/>
          <w:w w:val="105"/>
          <w:kern w:val="0"/>
          <w:szCs w:val="22"/>
        </w:rPr>
        <w:t xml:space="preserve"> </w:t>
      </w:r>
      <w:r w:rsidRPr="001179F2" w:rsidR="00CA2DED">
        <w:rPr>
          <w:color w:val="1D1D23"/>
          <w:w w:val="105"/>
          <w:kern w:val="0"/>
          <w:szCs w:val="22"/>
        </w:rPr>
        <w:t xml:space="preserve">their </w:t>
      </w:r>
      <w:r w:rsidRPr="001179F2" w:rsidR="0037501F">
        <w:rPr>
          <w:color w:val="1D1D23"/>
          <w:w w:val="105"/>
          <w:kern w:val="0"/>
          <w:szCs w:val="22"/>
        </w:rPr>
        <w:t>mass notification plans and policies.</w:t>
      </w:r>
      <w:r>
        <w:rPr>
          <w:rStyle w:val="FootnoteReference"/>
          <w:w w:val="105"/>
          <w:kern w:val="0"/>
          <w:sz w:val="22"/>
          <w:szCs w:val="22"/>
        </w:rPr>
        <w:footnoteReference w:id="12"/>
      </w:r>
      <w:r w:rsidRPr="001179F2" w:rsidR="00AC522F">
        <w:rPr>
          <w:color w:val="1D1D23"/>
          <w:w w:val="105"/>
          <w:kern w:val="0"/>
          <w:szCs w:val="22"/>
        </w:rPr>
        <w:t xml:space="preserve"> </w:t>
      </w:r>
      <w:r w:rsidRPr="001179F2" w:rsidR="0037501F">
        <w:rPr>
          <w:color w:val="1D1D23"/>
          <w:w w:val="105"/>
          <w:kern w:val="0"/>
          <w:szCs w:val="22"/>
        </w:rPr>
        <w:t xml:space="preserve"> </w:t>
      </w:r>
      <w:r w:rsidRPr="001179F2" w:rsidR="006B2ADD">
        <w:rPr>
          <w:color w:val="1D1D23"/>
          <w:w w:val="105"/>
          <w:kern w:val="0"/>
          <w:szCs w:val="22"/>
        </w:rPr>
        <w:t>According to the Napa OES Letter, the purpose o</w:t>
      </w:r>
      <w:r w:rsidRPr="001179F2" w:rsidR="0037501F">
        <w:rPr>
          <w:color w:val="1D1D23"/>
          <w:w w:val="105"/>
          <w:kern w:val="0"/>
          <w:szCs w:val="22"/>
        </w:rPr>
        <w:t>f th</w:t>
      </w:r>
      <w:r w:rsidRPr="001179F2" w:rsidR="009F707C">
        <w:rPr>
          <w:color w:val="1D1D23"/>
          <w:w w:val="105"/>
          <w:kern w:val="0"/>
          <w:szCs w:val="22"/>
        </w:rPr>
        <w:t xml:space="preserve">e requested </w:t>
      </w:r>
      <w:r w:rsidRPr="001179F2" w:rsidR="0037501F">
        <w:rPr>
          <w:color w:val="1D1D23"/>
          <w:w w:val="105"/>
          <w:kern w:val="0"/>
          <w:szCs w:val="22"/>
        </w:rPr>
        <w:t>test is to</w:t>
      </w:r>
      <w:r w:rsidRPr="001179F2" w:rsidR="006B2ADD">
        <w:rPr>
          <w:color w:val="1D1D23"/>
          <w:w w:val="105"/>
          <w:kern w:val="0"/>
          <w:szCs w:val="22"/>
        </w:rPr>
        <w:t xml:space="preserve">: </w:t>
      </w:r>
      <w:r w:rsidRPr="001179F2" w:rsidR="0037501F">
        <w:rPr>
          <w:color w:val="1D1D23"/>
          <w:w w:val="105"/>
          <w:kern w:val="0"/>
          <w:szCs w:val="22"/>
        </w:rPr>
        <w:t xml:space="preserve"> </w:t>
      </w:r>
      <w:r w:rsidRPr="001179F2" w:rsidR="006B2ADD">
        <w:rPr>
          <w:color w:val="1D1D23"/>
          <w:w w:val="105"/>
          <w:kern w:val="0"/>
          <w:szCs w:val="22"/>
        </w:rPr>
        <w:t>“</w:t>
      </w:r>
      <w:r w:rsidRPr="001179F2" w:rsidR="0037501F">
        <w:rPr>
          <w:color w:val="1D1D23"/>
          <w:w w:val="105"/>
          <w:kern w:val="0"/>
          <w:szCs w:val="22"/>
        </w:rPr>
        <w:t>assess the readiness and effectiveness of our public warning system, plans and infrastructure and to raise public awareness about our alerting capability.</w:t>
      </w:r>
      <w:r w:rsidRPr="001179F2" w:rsidR="00144E99">
        <w:rPr>
          <w:color w:val="1D1D23"/>
          <w:w w:val="105"/>
          <w:kern w:val="0"/>
          <w:szCs w:val="22"/>
        </w:rPr>
        <w:t>”</w:t>
      </w:r>
      <w:r>
        <w:rPr>
          <w:rStyle w:val="FootnoteReference"/>
          <w:w w:val="105"/>
          <w:kern w:val="0"/>
          <w:sz w:val="22"/>
          <w:szCs w:val="22"/>
        </w:rPr>
        <w:footnoteReference w:id="13"/>
      </w:r>
    </w:p>
    <w:p w:rsidR="007A4643" w:rsidRPr="001179F2" w:rsidP="00842C1D">
      <w:pPr>
        <w:widowControl/>
        <w:numPr>
          <w:ilvl w:val="0"/>
          <w:numId w:val="2"/>
        </w:numPr>
        <w:tabs>
          <w:tab w:val="clear" w:pos="1080"/>
          <w:tab w:val="num" w:pos="1440"/>
        </w:tabs>
        <w:spacing w:after="120" w:line="259" w:lineRule="auto"/>
        <w:rPr>
          <w:color w:val="010101"/>
          <w:w w:val="105"/>
          <w:kern w:val="0"/>
          <w:szCs w:val="22"/>
        </w:rPr>
      </w:pPr>
      <w:r w:rsidRPr="001179F2">
        <w:rPr>
          <w:color w:val="1D1D23"/>
          <w:w w:val="105"/>
          <w:kern w:val="0"/>
          <w:szCs w:val="22"/>
        </w:rPr>
        <w:t>Th</w:t>
      </w:r>
      <w:r w:rsidRPr="001179F2" w:rsidR="009F707C">
        <w:rPr>
          <w:color w:val="1D1D23"/>
          <w:w w:val="105"/>
          <w:kern w:val="0"/>
          <w:szCs w:val="22"/>
        </w:rPr>
        <w:t xml:space="preserve">e requested </w:t>
      </w:r>
      <w:r w:rsidRPr="001179F2">
        <w:rPr>
          <w:color w:val="1D1D23"/>
          <w:w w:val="105"/>
          <w:kern w:val="0"/>
          <w:szCs w:val="22"/>
        </w:rPr>
        <w:t>end-to-end WEA test would target a portion of Napa County and deliver the following text message to the mobile devices of the public</w:t>
      </w:r>
      <w:r w:rsidRPr="001179F2" w:rsidR="009F707C">
        <w:rPr>
          <w:color w:val="1D1D23"/>
          <w:w w:val="105"/>
          <w:kern w:val="0"/>
          <w:szCs w:val="22"/>
        </w:rPr>
        <w:t>: “</w:t>
      </w:r>
      <w:r w:rsidRPr="001179F2">
        <w:rPr>
          <w:color w:val="1D1D23"/>
          <w:w w:val="105"/>
          <w:kern w:val="0"/>
          <w:szCs w:val="22"/>
        </w:rPr>
        <w:t xml:space="preserve">TEST </w:t>
      </w:r>
      <w:r w:rsidRPr="001179F2" w:rsidR="009F707C">
        <w:rPr>
          <w:color w:val="1D1D23"/>
          <w:w w:val="105"/>
          <w:kern w:val="0"/>
          <w:szCs w:val="22"/>
        </w:rPr>
        <w:t xml:space="preserve">message Napa County. www.countyofnapa.org/IPAWS for </w:t>
      </w:r>
      <w:r w:rsidRPr="001179F2" w:rsidR="001179F2">
        <w:rPr>
          <w:color w:val="1D1D23"/>
          <w:w w:val="105"/>
          <w:kern w:val="0"/>
          <w:szCs w:val="22"/>
        </w:rPr>
        <w:t>feedback.</w:t>
      </w:r>
      <w:r w:rsidRPr="001179F2" w:rsidR="009F707C">
        <w:rPr>
          <w:color w:val="1D1D23"/>
          <w:w w:val="105"/>
          <w:kern w:val="0"/>
          <w:szCs w:val="22"/>
        </w:rPr>
        <w:t xml:space="preserve"> No other action needed.”</w:t>
      </w:r>
      <w:r>
        <w:rPr>
          <w:rStyle w:val="FootnoteReference"/>
          <w:w w:val="105"/>
          <w:kern w:val="0"/>
          <w:szCs w:val="22"/>
        </w:rPr>
        <w:footnoteReference w:id="14"/>
      </w:r>
      <w:r w:rsidRPr="001179F2" w:rsidR="009F707C">
        <w:rPr>
          <w:color w:val="1D1D23"/>
          <w:w w:val="105"/>
          <w:kern w:val="0"/>
          <w:szCs w:val="22"/>
        </w:rPr>
        <w:t xml:space="preserve">  </w:t>
      </w:r>
    </w:p>
    <w:p w:rsidR="00C33E3D" w:rsidRPr="001179F2" w:rsidP="00842C1D">
      <w:pPr>
        <w:widowControl/>
        <w:numPr>
          <w:ilvl w:val="0"/>
          <w:numId w:val="2"/>
        </w:numPr>
        <w:tabs>
          <w:tab w:val="clear" w:pos="1080"/>
          <w:tab w:val="num" w:pos="1440"/>
        </w:tabs>
        <w:spacing w:after="120" w:line="259" w:lineRule="auto"/>
        <w:rPr>
          <w:w w:val="105"/>
          <w:kern w:val="0"/>
          <w:szCs w:val="22"/>
        </w:rPr>
      </w:pPr>
      <w:r w:rsidRPr="001179F2">
        <w:rPr>
          <w:w w:val="105"/>
          <w:kern w:val="0"/>
          <w:szCs w:val="22"/>
        </w:rPr>
        <w:t xml:space="preserve">The </w:t>
      </w:r>
      <w:bookmarkStart w:id="2" w:name="_Hlk23793625"/>
      <w:r w:rsidRPr="001179F2">
        <w:rPr>
          <w:w w:val="105"/>
          <w:kern w:val="0"/>
          <w:szCs w:val="22"/>
        </w:rPr>
        <w:t xml:space="preserve">Napa OES Letter indicates that </w:t>
      </w:r>
      <w:r w:rsidR="003961C8">
        <w:rPr>
          <w:w w:val="105"/>
          <w:kern w:val="0"/>
          <w:szCs w:val="22"/>
        </w:rPr>
        <w:t xml:space="preserve">it </w:t>
      </w:r>
      <w:r w:rsidRPr="001179F2">
        <w:rPr>
          <w:w w:val="105"/>
          <w:kern w:val="0"/>
          <w:szCs w:val="22"/>
        </w:rPr>
        <w:t xml:space="preserve">has notified the relevant </w:t>
      </w:r>
      <w:bookmarkStart w:id="3" w:name="_Hlk525729257"/>
      <w:r w:rsidRPr="001179F2">
        <w:rPr>
          <w:w w:val="105"/>
          <w:kern w:val="0"/>
          <w:szCs w:val="22"/>
        </w:rPr>
        <w:t>Participating CMS Providers</w:t>
      </w:r>
      <w:bookmarkEnd w:id="2"/>
      <w:r w:rsidRPr="001179F2">
        <w:rPr>
          <w:w w:val="105"/>
          <w:kern w:val="0"/>
          <w:szCs w:val="22"/>
        </w:rPr>
        <w:t xml:space="preserve"> and </w:t>
      </w:r>
      <w:r w:rsidRPr="003961C8">
        <w:rPr>
          <w:color w:val="1D1D23"/>
          <w:w w:val="105"/>
          <w:kern w:val="0"/>
          <w:szCs w:val="22"/>
        </w:rPr>
        <w:t>will</w:t>
      </w:r>
      <w:r w:rsidRPr="001179F2">
        <w:rPr>
          <w:w w:val="105"/>
          <w:kern w:val="0"/>
          <w:szCs w:val="22"/>
        </w:rPr>
        <w:t xml:space="preserve"> inform all emergency response </w:t>
      </w:r>
      <w:r w:rsidRPr="00842C1D">
        <w:rPr>
          <w:color w:val="1D1D23"/>
          <w:w w:val="105"/>
          <w:kern w:val="0"/>
          <w:szCs w:val="22"/>
        </w:rPr>
        <w:t>agencies</w:t>
      </w:r>
      <w:r w:rsidRPr="001179F2">
        <w:rPr>
          <w:w w:val="105"/>
          <w:kern w:val="0"/>
          <w:szCs w:val="22"/>
        </w:rPr>
        <w:t xml:space="preserve"> operating within and adjacent to Napa County, including Law Enforcement, Fire/EMS</w:t>
      </w:r>
      <w:r w:rsidR="002F0D69">
        <w:rPr>
          <w:w w:val="105"/>
          <w:kern w:val="0"/>
          <w:szCs w:val="22"/>
        </w:rPr>
        <w:t>,</w:t>
      </w:r>
      <w:r w:rsidRPr="001179F2">
        <w:rPr>
          <w:w w:val="105"/>
          <w:kern w:val="0"/>
          <w:szCs w:val="22"/>
        </w:rPr>
        <w:t xml:space="preserve"> and 911 Public Safety Answering Points (PSAPS), to ensure that they are aware of the test and can confirm this to the public</w:t>
      </w:r>
      <w:bookmarkEnd w:id="3"/>
      <w:r w:rsidRPr="001179F2">
        <w:rPr>
          <w:w w:val="105"/>
          <w:kern w:val="0"/>
          <w:szCs w:val="22"/>
        </w:rPr>
        <w:t>.</w:t>
      </w:r>
      <w:r>
        <w:rPr>
          <w:rStyle w:val="FootnoteReference"/>
          <w:w w:val="105"/>
          <w:kern w:val="0"/>
          <w:sz w:val="22"/>
          <w:szCs w:val="22"/>
        </w:rPr>
        <w:footnoteReference w:id="15"/>
      </w:r>
      <w:r w:rsidRPr="001179F2">
        <w:rPr>
          <w:w w:val="105"/>
          <w:kern w:val="0"/>
          <w:szCs w:val="22"/>
        </w:rPr>
        <w:t xml:space="preserve">  The Napa OES Letter </w:t>
      </w:r>
      <w:bookmarkStart w:id="4" w:name="_Hlk523327559"/>
      <w:r w:rsidRPr="001179F2">
        <w:rPr>
          <w:w w:val="105"/>
          <w:kern w:val="0"/>
          <w:szCs w:val="22"/>
        </w:rPr>
        <w:t>describes an extensive public outreach plan that will include coordination with the public information officers of the affected local jurisdictions, local school districts and colleges, press releases, public service announcements, public messages, websites and a social media campaign.</w:t>
      </w:r>
      <w:r>
        <w:rPr>
          <w:rStyle w:val="FootnoteReference"/>
          <w:w w:val="105"/>
          <w:kern w:val="0"/>
          <w:sz w:val="22"/>
          <w:szCs w:val="22"/>
        </w:rPr>
        <w:footnoteReference w:id="16"/>
      </w:r>
      <w:r w:rsidRPr="001179F2">
        <w:rPr>
          <w:w w:val="105"/>
          <w:kern w:val="0"/>
          <w:szCs w:val="22"/>
        </w:rPr>
        <w:t xml:space="preserve">  </w:t>
      </w:r>
      <w:bookmarkEnd w:id="4"/>
    </w:p>
    <w:p w:rsidR="00412FC5" w:rsidRPr="001179F2" w:rsidP="00D63946">
      <w:pPr>
        <w:pStyle w:val="Heading1"/>
        <w:widowControl/>
        <w:rPr>
          <w:rFonts w:ascii="Times New Roman" w:hAnsi="Times New Roman"/>
          <w:w w:val="105"/>
          <w:kern w:val="0"/>
          <w:szCs w:val="22"/>
        </w:rPr>
      </w:pPr>
      <w:r w:rsidRPr="001179F2">
        <w:rPr>
          <w:rFonts w:ascii="Times New Roman" w:hAnsi="Times New Roman"/>
          <w:w w:val="105"/>
          <w:kern w:val="0"/>
          <w:szCs w:val="22"/>
        </w:rPr>
        <w:t>Discussion</w:t>
      </w:r>
    </w:p>
    <w:p w:rsidR="00C33E3D" w:rsidRPr="001179F2" w:rsidP="00842C1D">
      <w:pPr>
        <w:widowControl/>
        <w:numPr>
          <w:ilvl w:val="0"/>
          <w:numId w:val="2"/>
        </w:numPr>
        <w:tabs>
          <w:tab w:val="clear" w:pos="1080"/>
          <w:tab w:val="num" w:pos="1440"/>
        </w:tabs>
        <w:spacing w:after="120" w:line="259" w:lineRule="auto"/>
        <w:rPr>
          <w:w w:val="105"/>
          <w:kern w:val="0"/>
          <w:szCs w:val="22"/>
        </w:rPr>
      </w:pPr>
      <w:bookmarkStart w:id="5" w:name="_Hlk508439774"/>
      <w:r w:rsidRPr="001179F2">
        <w:rPr>
          <w:w w:val="105"/>
          <w:kern w:val="0"/>
          <w:szCs w:val="22"/>
        </w:rPr>
        <w:t>A provision of the Commission’s rules “may be waived by the Commission on its own motion or on petition if good cause therefor is shown.”</w:t>
      </w:r>
      <w:r>
        <w:rPr>
          <w:w w:val="105"/>
          <w:kern w:val="0"/>
          <w:szCs w:val="22"/>
          <w:vertAlign w:val="superscript"/>
        </w:rPr>
        <w:footnoteReference w:id="17"/>
      </w:r>
      <w:r w:rsidRPr="001179F2">
        <w:rPr>
          <w:w w:val="105"/>
          <w:kern w:val="0"/>
          <w:szCs w:val="22"/>
        </w:rPr>
        <w:t xml:space="preserve">  The Commission may find good cause to extend a waiver, “if special circumstances warrant a deviation from the general rule and such deviation will serve the public interest.”</w:t>
      </w:r>
      <w:r>
        <w:rPr>
          <w:w w:val="105"/>
          <w:kern w:val="0"/>
          <w:szCs w:val="22"/>
          <w:vertAlign w:val="superscript"/>
        </w:rPr>
        <w:footnoteReference w:id="18"/>
      </w:r>
      <w:r w:rsidRPr="001179F2">
        <w:rPr>
          <w:w w:val="105"/>
          <w:kern w:val="0"/>
          <w:szCs w:val="22"/>
        </w:rPr>
        <w:t xml:space="preserve">  We </w:t>
      </w:r>
      <w:r w:rsidRPr="00842C1D">
        <w:rPr>
          <w:color w:val="1D1D23"/>
          <w:w w:val="105"/>
          <w:kern w:val="0"/>
          <w:szCs w:val="22"/>
        </w:rPr>
        <w:t>conclude</w:t>
      </w:r>
      <w:r w:rsidRPr="001179F2">
        <w:rPr>
          <w:w w:val="105"/>
          <w:kern w:val="0"/>
          <w:szCs w:val="22"/>
        </w:rPr>
        <w:t xml:space="preserve"> that there is good cause to grant the </w:t>
      </w:r>
      <w:r w:rsidRPr="001179F2" w:rsidR="00484977">
        <w:rPr>
          <w:w w:val="105"/>
          <w:kern w:val="0"/>
          <w:szCs w:val="22"/>
        </w:rPr>
        <w:t>Napa OES</w:t>
      </w:r>
      <w:r w:rsidRPr="001179F2">
        <w:rPr>
          <w:w w:val="105"/>
          <w:kern w:val="0"/>
          <w:szCs w:val="22"/>
        </w:rPr>
        <w:t xml:space="preserve"> </w:t>
      </w:r>
      <w:r w:rsidRPr="001179F2" w:rsidR="0094187E">
        <w:rPr>
          <w:w w:val="105"/>
          <w:kern w:val="0"/>
          <w:szCs w:val="22"/>
        </w:rPr>
        <w:t xml:space="preserve">request for </w:t>
      </w:r>
      <w:r w:rsidRPr="001179F2">
        <w:rPr>
          <w:w w:val="105"/>
          <w:kern w:val="0"/>
          <w:szCs w:val="22"/>
        </w:rPr>
        <w:t xml:space="preserve">waiver </w:t>
      </w:r>
      <w:r w:rsidRPr="001179F2" w:rsidR="0094187E">
        <w:rPr>
          <w:w w:val="105"/>
          <w:kern w:val="0"/>
          <w:szCs w:val="22"/>
        </w:rPr>
        <w:t xml:space="preserve">of the WEA rules so that it may conduct its </w:t>
      </w:r>
      <w:r w:rsidRPr="001179F2">
        <w:rPr>
          <w:w w:val="105"/>
          <w:kern w:val="0"/>
          <w:szCs w:val="22"/>
        </w:rPr>
        <w:t>WEA end-to-end test.</w:t>
      </w:r>
    </w:p>
    <w:p w:rsidR="00C33E3D" w:rsidRPr="001179F2" w:rsidP="00842C1D">
      <w:pPr>
        <w:widowControl/>
        <w:numPr>
          <w:ilvl w:val="0"/>
          <w:numId w:val="2"/>
        </w:numPr>
        <w:tabs>
          <w:tab w:val="clear" w:pos="1080"/>
          <w:tab w:val="num" w:pos="1440"/>
        </w:tabs>
        <w:spacing w:after="120" w:line="259" w:lineRule="auto"/>
        <w:rPr>
          <w:w w:val="105"/>
          <w:kern w:val="0"/>
          <w:szCs w:val="22"/>
        </w:rPr>
      </w:pPr>
      <w:r w:rsidRPr="001179F2">
        <w:rPr>
          <w:w w:val="105"/>
          <w:kern w:val="0"/>
          <w:szCs w:val="22"/>
        </w:rPr>
        <w:t>We believe that the proposed test of the WEA</w:t>
      </w:r>
      <w:r w:rsidR="00A5454E">
        <w:rPr>
          <w:w w:val="105"/>
          <w:kern w:val="0"/>
          <w:szCs w:val="22"/>
        </w:rPr>
        <w:t xml:space="preserve"> system</w:t>
      </w:r>
      <w:r w:rsidRPr="001179F2">
        <w:rPr>
          <w:w w:val="105"/>
          <w:kern w:val="0"/>
          <w:szCs w:val="22"/>
        </w:rPr>
        <w:t xml:space="preserve"> will help educate and prepare the public and will help </w:t>
      </w:r>
      <w:r w:rsidRPr="001179F2" w:rsidR="00484977">
        <w:rPr>
          <w:w w:val="105"/>
          <w:kern w:val="0"/>
          <w:szCs w:val="22"/>
        </w:rPr>
        <w:t>Napa County</w:t>
      </w:r>
      <w:r w:rsidRPr="001179F2">
        <w:rPr>
          <w:w w:val="105"/>
          <w:kern w:val="0"/>
          <w:szCs w:val="22"/>
        </w:rPr>
        <w:t xml:space="preserve"> to determine the readiness and effectiveness of </w:t>
      </w:r>
      <w:r w:rsidRPr="001179F2" w:rsidR="00484977">
        <w:rPr>
          <w:w w:val="105"/>
          <w:kern w:val="0"/>
          <w:szCs w:val="22"/>
        </w:rPr>
        <w:t>Napa County’s</w:t>
      </w:r>
      <w:r w:rsidRPr="001179F2">
        <w:rPr>
          <w:w w:val="105"/>
          <w:kern w:val="0"/>
          <w:szCs w:val="22"/>
        </w:rPr>
        <w:t xml:space="preserve"> public warning system, </w:t>
      </w:r>
      <w:r w:rsidRPr="003961C8">
        <w:rPr>
          <w:color w:val="1D1D23"/>
          <w:w w:val="105"/>
          <w:kern w:val="0"/>
          <w:szCs w:val="22"/>
        </w:rPr>
        <w:t>plans</w:t>
      </w:r>
      <w:r w:rsidRPr="001179F2">
        <w:rPr>
          <w:w w:val="105"/>
          <w:kern w:val="0"/>
          <w:szCs w:val="22"/>
        </w:rPr>
        <w:t xml:space="preserve">, and infrastructure.  Given the recent </w:t>
      </w:r>
      <w:r w:rsidRPr="001179F2" w:rsidR="00A21589">
        <w:rPr>
          <w:w w:val="105"/>
          <w:kern w:val="0"/>
          <w:szCs w:val="22"/>
        </w:rPr>
        <w:t xml:space="preserve">California </w:t>
      </w:r>
      <w:r w:rsidRPr="001179F2" w:rsidR="00484977">
        <w:rPr>
          <w:w w:val="105"/>
          <w:kern w:val="0"/>
          <w:szCs w:val="22"/>
        </w:rPr>
        <w:t xml:space="preserve">wildfire </w:t>
      </w:r>
      <w:r w:rsidRPr="001179F2">
        <w:rPr>
          <w:w w:val="105"/>
          <w:kern w:val="0"/>
          <w:szCs w:val="22"/>
        </w:rPr>
        <w:t>d</w:t>
      </w:r>
      <w:r w:rsidRPr="001179F2" w:rsidR="00484977">
        <w:rPr>
          <w:w w:val="105"/>
          <w:kern w:val="0"/>
          <w:szCs w:val="22"/>
        </w:rPr>
        <w:t>evastation</w:t>
      </w:r>
      <w:r w:rsidRPr="001179F2" w:rsidR="00A21589">
        <w:rPr>
          <w:w w:val="105"/>
          <w:kern w:val="0"/>
          <w:szCs w:val="22"/>
        </w:rPr>
        <w:t>s</w:t>
      </w:r>
      <w:r w:rsidRPr="001179F2" w:rsidR="00893636">
        <w:rPr>
          <w:w w:val="105"/>
          <w:kern w:val="0"/>
          <w:szCs w:val="22"/>
        </w:rPr>
        <w:t>,</w:t>
      </w:r>
      <w:r w:rsidRPr="001179F2">
        <w:rPr>
          <w:w w:val="105"/>
          <w:kern w:val="0"/>
          <w:szCs w:val="22"/>
        </w:rPr>
        <w:t xml:space="preserve"> we find waiver relief is warranted.  Accordingly, we conclude that </w:t>
      </w:r>
      <w:r w:rsidRPr="001179F2" w:rsidR="0094187E">
        <w:rPr>
          <w:w w:val="105"/>
          <w:kern w:val="0"/>
          <w:szCs w:val="22"/>
        </w:rPr>
        <w:t xml:space="preserve">a </w:t>
      </w:r>
      <w:r w:rsidRPr="001179F2">
        <w:rPr>
          <w:w w:val="105"/>
          <w:kern w:val="0"/>
          <w:szCs w:val="22"/>
        </w:rPr>
        <w:t>limited waiver</w:t>
      </w:r>
      <w:r w:rsidRPr="001179F2" w:rsidR="00893636">
        <w:rPr>
          <w:w w:val="105"/>
          <w:kern w:val="0"/>
          <w:szCs w:val="22"/>
        </w:rPr>
        <w:t xml:space="preserve"> </w:t>
      </w:r>
      <w:r w:rsidRPr="001179F2">
        <w:rPr>
          <w:w w:val="105"/>
          <w:kern w:val="0"/>
          <w:szCs w:val="22"/>
        </w:rPr>
        <w:t xml:space="preserve">of the Commission’s WEA rules </w:t>
      </w:r>
      <w:r w:rsidRPr="001179F2" w:rsidR="00370AAC">
        <w:rPr>
          <w:w w:val="105"/>
          <w:kern w:val="0"/>
          <w:szCs w:val="22"/>
        </w:rPr>
        <w:t>is</w:t>
      </w:r>
      <w:r w:rsidRPr="001179F2" w:rsidR="00893636">
        <w:rPr>
          <w:w w:val="105"/>
          <w:kern w:val="0"/>
          <w:szCs w:val="22"/>
        </w:rPr>
        <w:t xml:space="preserve"> </w:t>
      </w:r>
      <w:r w:rsidRPr="001179F2">
        <w:rPr>
          <w:w w:val="105"/>
          <w:kern w:val="0"/>
          <w:szCs w:val="22"/>
        </w:rPr>
        <w:t>in the public interest.</w:t>
      </w:r>
      <w:r>
        <w:rPr>
          <w:w w:val="105"/>
          <w:kern w:val="0"/>
          <w:szCs w:val="22"/>
          <w:vertAlign w:val="superscript"/>
        </w:rPr>
        <w:footnoteReference w:id="19"/>
      </w:r>
    </w:p>
    <w:p w:rsidR="00C33E3D" w:rsidRPr="001179F2" w:rsidP="00842C1D">
      <w:pPr>
        <w:widowControl/>
        <w:numPr>
          <w:ilvl w:val="0"/>
          <w:numId w:val="2"/>
        </w:numPr>
        <w:tabs>
          <w:tab w:val="clear" w:pos="1080"/>
          <w:tab w:val="num" w:pos="1440"/>
        </w:tabs>
        <w:spacing w:after="120" w:line="259" w:lineRule="auto"/>
        <w:rPr>
          <w:w w:val="105"/>
          <w:kern w:val="0"/>
          <w:szCs w:val="22"/>
        </w:rPr>
      </w:pPr>
      <w:r w:rsidRPr="001179F2">
        <w:rPr>
          <w:w w:val="105"/>
          <w:kern w:val="0"/>
          <w:szCs w:val="22"/>
        </w:rPr>
        <w:t>We observe, however, that t</w:t>
      </w:r>
      <w:bookmarkStart w:id="6" w:name="_Ref235348554"/>
      <w:bookmarkEnd w:id="5"/>
      <w:r w:rsidRPr="001179F2">
        <w:rPr>
          <w:w w:val="105"/>
          <w:kern w:val="0"/>
          <w:szCs w:val="22"/>
        </w:rPr>
        <w:t>he WEA test would not be in the public interest if it were presented in a manner that could lead the public to conclude that an actual alert is being transmitted, or would otherwise confuse the public.</w:t>
      </w:r>
      <w:r>
        <w:rPr>
          <w:w w:val="105"/>
          <w:kern w:val="0"/>
          <w:szCs w:val="22"/>
          <w:vertAlign w:val="superscript"/>
        </w:rPr>
        <w:footnoteReference w:id="20"/>
      </w:r>
      <w:r w:rsidRPr="001179F2" w:rsidR="00AC522F">
        <w:rPr>
          <w:w w:val="105"/>
          <w:kern w:val="0"/>
          <w:szCs w:val="22"/>
        </w:rPr>
        <w:t xml:space="preserve">  </w:t>
      </w:r>
      <w:r w:rsidRPr="001179F2">
        <w:rPr>
          <w:w w:val="105"/>
          <w:kern w:val="0"/>
          <w:szCs w:val="22"/>
        </w:rPr>
        <w:t xml:space="preserve">We </w:t>
      </w:r>
      <w:r w:rsidRPr="00842C1D">
        <w:rPr>
          <w:color w:val="1D1D23"/>
          <w:w w:val="105"/>
          <w:kern w:val="0"/>
          <w:szCs w:val="22"/>
        </w:rPr>
        <w:t>therefore</w:t>
      </w:r>
      <w:r w:rsidRPr="001179F2">
        <w:rPr>
          <w:w w:val="105"/>
          <w:kern w:val="0"/>
          <w:szCs w:val="22"/>
        </w:rPr>
        <w:t xml:space="preserve"> condition this waiver upon the full implementation of the </w:t>
      </w:r>
      <w:r w:rsidRPr="003961C8">
        <w:rPr>
          <w:color w:val="1D1D23"/>
          <w:w w:val="105"/>
          <w:kern w:val="0"/>
          <w:szCs w:val="22"/>
        </w:rPr>
        <w:t>outreach</w:t>
      </w:r>
      <w:r w:rsidRPr="001179F2">
        <w:rPr>
          <w:w w:val="105"/>
          <w:kern w:val="0"/>
          <w:szCs w:val="22"/>
        </w:rPr>
        <w:t xml:space="preserve"> plan described in the </w:t>
      </w:r>
      <w:r w:rsidRPr="001179F2" w:rsidR="00484977">
        <w:rPr>
          <w:w w:val="105"/>
          <w:kern w:val="0"/>
          <w:szCs w:val="22"/>
        </w:rPr>
        <w:t>Napa OES</w:t>
      </w:r>
      <w:r w:rsidRPr="001179F2">
        <w:rPr>
          <w:w w:val="105"/>
          <w:kern w:val="0"/>
          <w:szCs w:val="22"/>
        </w:rPr>
        <w:t xml:space="preserve"> Letter, including outreach to the public, press, and relevant government agencies, making clear that members of the public could receive multiple test messages.</w:t>
      </w:r>
    </w:p>
    <w:p w:rsidR="00C33E3D" w:rsidRPr="001179F2" w:rsidP="00842C1D">
      <w:pPr>
        <w:widowControl/>
        <w:numPr>
          <w:ilvl w:val="0"/>
          <w:numId w:val="2"/>
        </w:numPr>
        <w:tabs>
          <w:tab w:val="clear" w:pos="1080"/>
          <w:tab w:val="num" w:pos="1440"/>
        </w:tabs>
        <w:spacing w:after="120" w:line="259" w:lineRule="auto"/>
        <w:rPr>
          <w:w w:val="105"/>
          <w:kern w:val="0"/>
          <w:szCs w:val="22"/>
        </w:rPr>
      </w:pPr>
      <w:r w:rsidRPr="001179F2">
        <w:rPr>
          <w:w w:val="105"/>
          <w:kern w:val="0"/>
          <w:szCs w:val="22"/>
        </w:rPr>
        <w:t>We further condition th</w:t>
      </w:r>
      <w:r w:rsidRPr="001179F2" w:rsidR="00942F9A">
        <w:rPr>
          <w:w w:val="105"/>
          <w:kern w:val="0"/>
          <w:szCs w:val="22"/>
        </w:rPr>
        <w:t>e</w:t>
      </w:r>
      <w:r w:rsidRPr="001179F2">
        <w:rPr>
          <w:w w:val="105"/>
          <w:kern w:val="0"/>
          <w:szCs w:val="22"/>
        </w:rPr>
        <w:t xml:space="preserve"> </w:t>
      </w:r>
      <w:r w:rsidRPr="001179F2" w:rsidR="00370AAC">
        <w:rPr>
          <w:w w:val="105"/>
          <w:kern w:val="0"/>
          <w:szCs w:val="22"/>
        </w:rPr>
        <w:t xml:space="preserve">WEA </w:t>
      </w:r>
      <w:r w:rsidRPr="001179F2">
        <w:rPr>
          <w:w w:val="105"/>
          <w:kern w:val="0"/>
          <w:szCs w:val="22"/>
        </w:rPr>
        <w:t>waiver to require that the test may only be conducted on the date</w:t>
      </w:r>
      <w:r w:rsidR="00A5454E">
        <w:rPr>
          <w:w w:val="105"/>
          <w:kern w:val="0"/>
          <w:szCs w:val="22"/>
        </w:rPr>
        <w:t>(s)</w:t>
      </w:r>
      <w:r w:rsidRPr="001179F2">
        <w:rPr>
          <w:w w:val="105"/>
          <w:kern w:val="0"/>
          <w:szCs w:val="22"/>
        </w:rPr>
        <w:t xml:space="preserve"> </w:t>
      </w:r>
      <w:r w:rsidRPr="00A5454E">
        <w:rPr>
          <w:w w:val="105"/>
          <w:kern w:val="0"/>
          <w:szCs w:val="22"/>
        </w:rPr>
        <w:t>and time</w:t>
      </w:r>
      <w:r w:rsidRPr="001179F2">
        <w:rPr>
          <w:w w:val="105"/>
          <w:kern w:val="0"/>
          <w:szCs w:val="22"/>
        </w:rPr>
        <w:t xml:space="preserve"> referenced in the </w:t>
      </w:r>
      <w:r w:rsidRPr="001179F2" w:rsidR="00484977">
        <w:rPr>
          <w:w w:val="105"/>
          <w:kern w:val="0"/>
          <w:szCs w:val="22"/>
        </w:rPr>
        <w:t>Napa OES Letter</w:t>
      </w:r>
      <w:r w:rsidRPr="001179F2">
        <w:rPr>
          <w:w w:val="105"/>
          <w:kern w:val="0"/>
          <w:szCs w:val="22"/>
        </w:rPr>
        <w:t xml:space="preserve"> and may only be conducted for the purposes described therein.  Specifically, the waiver is based on representations that:</w:t>
      </w:r>
    </w:p>
    <w:p w:rsidR="00C33E3D" w:rsidRPr="001179F2" w:rsidP="00D63946">
      <w:pPr>
        <w:widowControl/>
        <w:numPr>
          <w:ilvl w:val="1"/>
          <w:numId w:val="9"/>
        </w:numPr>
        <w:tabs>
          <w:tab w:val="left" w:pos="1800"/>
        </w:tabs>
        <w:ind w:right="620" w:firstLine="0"/>
        <w:rPr>
          <w:snapToGrid/>
          <w:w w:val="105"/>
          <w:kern w:val="0"/>
          <w:szCs w:val="22"/>
        </w:rPr>
      </w:pPr>
      <w:r w:rsidRPr="001179F2">
        <w:rPr>
          <w:snapToGrid/>
          <w:w w:val="105"/>
          <w:kern w:val="0"/>
          <w:szCs w:val="22"/>
        </w:rPr>
        <w:t xml:space="preserve">this test is necessary to assess and validate the readiness and effectiveness of the </w:t>
      </w:r>
      <w:r w:rsidR="00A5454E">
        <w:rPr>
          <w:snapToGrid/>
          <w:w w:val="105"/>
          <w:kern w:val="0"/>
          <w:szCs w:val="22"/>
        </w:rPr>
        <w:t xml:space="preserve">Wireless Emergency Alert </w:t>
      </w:r>
      <w:r w:rsidRPr="001179F2">
        <w:rPr>
          <w:snapToGrid/>
          <w:w w:val="105"/>
          <w:kern w:val="0"/>
          <w:szCs w:val="22"/>
        </w:rPr>
        <w:t>system</w:t>
      </w:r>
      <w:r w:rsidR="00A5454E">
        <w:rPr>
          <w:snapToGrid/>
          <w:w w:val="105"/>
          <w:kern w:val="0"/>
          <w:szCs w:val="22"/>
        </w:rPr>
        <w:t xml:space="preserve"> </w:t>
      </w:r>
      <w:r w:rsidRPr="001179F2">
        <w:rPr>
          <w:snapToGrid/>
          <w:w w:val="105"/>
          <w:kern w:val="0"/>
          <w:szCs w:val="22"/>
        </w:rPr>
        <w:t>plans and infrastructure</w:t>
      </w:r>
      <w:r w:rsidRPr="001179F2" w:rsidR="0073396A">
        <w:rPr>
          <w:snapToGrid/>
          <w:w w:val="105"/>
          <w:kern w:val="0"/>
          <w:szCs w:val="22"/>
        </w:rPr>
        <w:t>, and to educate the public</w:t>
      </w:r>
      <w:r w:rsidRPr="001179F2">
        <w:rPr>
          <w:snapToGrid/>
          <w:w w:val="105"/>
          <w:kern w:val="0"/>
          <w:szCs w:val="22"/>
        </w:rPr>
        <w:t>;</w:t>
      </w:r>
    </w:p>
    <w:p w:rsidR="00C33E3D" w:rsidRPr="001179F2" w:rsidP="00D63946">
      <w:pPr>
        <w:widowControl/>
        <w:spacing w:before="2"/>
        <w:rPr>
          <w:w w:val="105"/>
          <w:kern w:val="0"/>
          <w:szCs w:val="22"/>
        </w:rPr>
      </w:pPr>
    </w:p>
    <w:p w:rsidR="00C33E3D" w:rsidRPr="001179F2" w:rsidP="00D63946">
      <w:pPr>
        <w:widowControl/>
        <w:numPr>
          <w:ilvl w:val="1"/>
          <w:numId w:val="9"/>
        </w:numPr>
        <w:tabs>
          <w:tab w:val="left" w:pos="1800"/>
        </w:tabs>
        <w:ind w:right="620" w:firstLine="0"/>
        <w:rPr>
          <w:snapToGrid/>
          <w:w w:val="105"/>
          <w:kern w:val="0"/>
          <w:szCs w:val="22"/>
        </w:rPr>
      </w:pPr>
      <w:r w:rsidRPr="001179F2">
        <w:rPr>
          <w:snapToGrid/>
          <w:w w:val="105"/>
          <w:kern w:val="0"/>
          <w:szCs w:val="22"/>
        </w:rPr>
        <w:t>Napa OES</w:t>
      </w:r>
      <w:r w:rsidRPr="001179F2" w:rsidR="00632D33">
        <w:rPr>
          <w:snapToGrid/>
          <w:w w:val="105"/>
          <w:kern w:val="0"/>
          <w:szCs w:val="22"/>
        </w:rPr>
        <w:t xml:space="preserve"> will coordinate information about the test with relevant Participating CMS Providers, including first responder organizations such as police and fire agencies and 911 PSAPs, to ensure that they are aware of the test and can confirm to the public that the WEA message</w:t>
      </w:r>
      <w:r w:rsidR="00A5454E">
        <w:rPr>
          <w:snapToGrid/>
          <w:w w:val="105"/>
          <w:kern w:val="0"/>
          <w:szCs w:val="22"/>
        </w:rPr>
        <w:t xml:space="preserve"> is a test</w:t>
      </w:r>
      <w:r w:rsidRPr="001179F2" w:rsidR="00632D33">
        <w:rPr>
          <w:snapToGrid/>
          <w:w w:val="105"/>
          <w:kern w:val="0"/>
          <w:szCs w:val="22"/>
        </w:rPr>
        <w:t>; and</w:t>
      </w:r>
    </w:p>
    <w:p w:rsidR="00C33E3D" w:rsidRPr="001179F2" w:rsidP="00D63946">
      <w:pPr>
        <w:widowControl/>
        <w:spacing w:before="2"/>
        <w:rPr>
          <w:w w:val="105"/>
          <w:kern w:val="0"/>
          <w:szCs w:val="22"/>
        </w:rPr>
      </w:pPr>
    </w:p>
    <w:p w:rsidR="00C33E3D" w:rsidRPr="001179F2" w:rsidP="00D63946">
      <w:pPr>
        <w:widowControl/>
        <w:numPr>
          <w:ilvl w:val="1"/>
          <w:numId w:val="9"/>
        </w:numPr>
        <w:tabs>
          <w:tab w:val="left" w:pos="1800"/>
        </w:tabs>
        <w:ind w:left="1170" w:right="693" w:firstLine="30"/>
        <w:rPr>
          <w:snapToGrid/>
          <w:w w:val="105"/>
          <w:kern w:val="0"/>
          <w:szCs w:val="22"/>
        </w:rPr>
      </w:pPr>
      <w:r w:rsidRPr="001179F2">
        <w:rPr>
          <w:snapToGrid/>
          <w:w w:val="105"/>
          <w:kern w:val="0"/>
          <w:szCs w:val="22"/>
        </w:rPr>
        <w:t>pre-test publicity efforts will include a comprehensive media campaign, and communication with appropriate public information officers to ensure widespread distribution of information to local broadcasters, newspapers, and cable providers.</w:t>
      </w:r>
    </w:p>
    <w:p w:rsidR="00C33E3D" w:rsidRPr="001179F2" w:rsidP="00D63946">
      <w:pPr>
        <w:widowControl/>
        <w:tabs>
          <w:tab w:val="left" w:pos="1800"/>
        </w:tabs>
        <w:ind w:right="693"/>
        <w:rPr>
          <w:snapToGrid/>
          <w:w w:val="105"/>
          <w:kern w:val="0"/>
          <w:szCs w:val="22"/>
        </w:rPr>
      </w:pPr>
    </w:p>
    <w:p w:rsidR="00C33E3D" w:rsidRPr="001179F2" w:rsidP="00842C1D">
      <w:pPr>
        <w:widowControl/>
        <w:numPr>
          <w:ilvl w:val="0"/>
          <w:numId w:val="2"/>
        </w:numPr>
        <w:tabs>
          <w:tab w:val="clear" w:pos="1080"/>
          <w:tab w:val="num" w:pos="1440"/>
        </w:tabs>
        <w:spacing w:after="120" w:line="259" w:lineRule="auto"/>
        <w:rPr>
          <w:w w:val="105"/>
          <w:kern w:val="0"/>
          <w:szCs w:val="22"/>
        </w:rPr>
      </w:pPr>
      <w:r w:rsidRPr="001179F2">
        <w:rPr>
          <w:w w:val="105"/>
          <w:kern w:val="0"/>
          <w:szCs w:val="22"/>
        </w:rPr>
        <w:t xml:space="preserve">We also require that </w:t>
      </w:r>
      <w:bookmarkStart w:id="7" w:name="_Hlk523327683"/>
      <w:r w:rsidRPr="001179F2">
        <w:rPr>
          <w:w w:val="105"/>
          <w:kern w:val="0"/>
          <w:szCs w:val="22"/>
        </w:rPr>
        <w:t xml:space="preserve">the test and any post-test analysis and reports </w:t>
      </w:r>
      <w:bookmarkEnd w:id="7"/>
      <w:r w:rsidRPr="001179F2">
        <w:rPr>
          <w:w w:val="105"/>
          <w:kern w:val="0"/>
          <w:szCs w:val="22"/>
        </w:rPr>
        <w:t xml:space="preserve">that </w:t>
      </w:r>
      <w:r w:rsidRPr="001179F2" w:rsidR="00B32717">
        <w:rPr>
          <w:w w:val="105"/>
          <w:kern w:val="0"/>
          <w:szCs w:val="22"/>
        </w:rPr>
        <w:t>Napa OES</w:t>
      </w:r>
      <w:r w:rsidRPr="001179F2">
        <w:rPr>
          <w:w w:val="105"/>
          <w:kern w:val="0"/>
          <w:szCs w:val="22"/>
        </w:rPr>
        <w:t xml:space="preserve"> may conduct or cause to be produced, are done in a manner consistent with customers’ expectations of privacy, confidentiality of Participating CMS Providers’ network information, and the overall security of the WEA system and infrastructure.</w:t>
      </w:r>
      <w:r>
        <w:rPr>
          <w:w w:val="105"/>
          <w:kern w:val="0"/>
          <w:szCs w:val="22"/>
          <w:vertAlign w:val="superscript"/>
        </w:rPr>
        <w:footnoteReference w:id="21"/>
      </w:r>
      <w:r w:rsidRPr="001179F2" w:rsidR="00AC522F">
        <w:rPr>
          <w:w w:val="105"/>
          <w:kern w:val="0"/>
          <w:szCs w:val="22"/>
        </w:rPr>
        <w:t xml:space="preserve">  </w:t>
      </w:r>
      <w:r w:rsidRPr="001179F2">
        <w:rPr>
          <w:w w:val="105"/>
          <w:kern w:val="0"/>
          <w:szCs w:val="22"/>
        </w:rPr>
        <w:t xml:space="preserve">We encourage </w:t>
      </w:r>
      <w:r w:rsidRPr="001179F2" w:rsidR="00B32717">
        <w:rPr>
          <w:w w:val="105"/>
          <w:kern w:val="0"/>
          <w:szCs w:val="22"/>
        </w:rPr>
        <w:t>Napa OES</w:t>
      </w:r>
      <w:r w:rsidRPr="001179F2">
        <w:rPr>
          <w:w w:val="105"/>
          <w:kern w:val="0"/>
          <w:szCs w:val="22"/>
        </w:rPr>
        <w:t xml:space="preserve"> to report its test results in electronic format to the </w:t>
      </w:r>
      <w:r w:rsidRPr="00842C1D" w:rsidR="00B32717">
        <w:rPr>
          <w:color w:val="1D1D23"/>
          <w:w w:val="105"/>
          <w:kern w:val="0"/>
          <w:szCs w:val="22"/>
        </w:rPr>
        <w:t>Commission’s</w:t>
      </w:r>
      <w:r w:rsidRPr="001179F2" w:rsidR="00B32717">
        <w:rPr>
          <w:w w:val="105"/>
          <w:kern w:val="0"/>
          <w:szCs w:val="22"/>
        </w:rPr>
        <w:t xml:space="preserve"> </w:t>
      </w:r>
      <w:r w:rsidRPr="001179F2">
        <w:rPr>
          <w:w w:val="105"/>
          <w:kern w:val="0"/>
          <w:szCs w:val="22"/>
        </w:rPr>
        <w:t>Public Safety and Homeland Security Bureau.</w:t>
      </w:r>
      <w:r w:rsidRPr="001179F2" w:rsidR="00AC522F">
        <w:rPr>
          <w:w w:val="105"/>
          <w:kern w:val="0"/>
          <w:szCs w:val="22"/>
        </w:rPr>
        <w:t xml:space="preserve">  </w:t>
      </w:r>
      <w:r w:rsidRPr="001179F2">
        <w:rPr>
          <w:w w:val="105"/>
          <w:kern w:val="0"/>
          <w:szCs w:val="22"/>
        </w:rPr>
        <w:t>Finally, we encourage members of the public who wish to report their results to do so by filing</w:t>
      </w:r>
      <w:r w:rsidRPr="001179F2" w:rsidR="00AC522F">
        <w:rPr>
          <w:w w:val="105"/>
          <w:kern w:val="0"/>
          <w:szCs w:val="22"/>
        </w:rPr>
        <w:t xml:space="preserve"> </w:t>
      </w:r>
      <w:r w:rsidRPr="001179F2">
        <w:rPr>
          <w:w w:val="105"/>
          <w:kern w:val="0"/>
          <w:szCs w:val="22"/>
        </w:rPr>
        <w:t xml:space="preserve">them with the FCC’s Public Safety Support Center at </w:t>
      </w:r>
      <w:hyperlink r:id="rId5" w:history="1">
        <w:r w:rsidRPr="001179F2">
          <w:rPr>
            <w:color w:val="000000" w:themeColor="text1"/>
            <w:w w:val="105"/>
            <w:kern w:val="0"/>
            <w:szCs w:val="22"/>
            <w:u w:color="0000FF"/>
          </w:rPr>
          <w:t>https://www.fcc.gov/general/public-safety-</w:t>
        </w:r>
      </w:hyperlink>
      <w:hyperlink r:id="rId5" w:history="1">
        <w:r w:rsidRPr="001179F2">
          <w:rPr>
            <w:color w:val="000000" w:themeColor="text1"/>
            <w:w w:val="105"/>
            <w:kern w:val="0"/>
            <w:szCs w:val="22"/>
            <w:u w:color="0000FF"/>
          </w:rPr>
          <w:t>support-center</w:t>
        </w:r>
      </w:hyperlink>
      <w:r w:rsidRPr="001179F2" w:rsidR="00FD5A14">
        <w:rPr>
          <w:color w:val="000000" w:themeColor="text1"/>
          <w:w w:val="105"/>
          <w:kern w:val="0"/>
          <w:szCs w:val="22"/>
          <w:u w:color="0000FF"/>
        </w:rPr>
        <w:t>.</w:t>
      </w:r>
    </w:p>
    <w:bookmarkEnd w:id="6"/>
    <w:p w:rsidR="00C33E3D" w:rsidRPr="001179F2" w:rsidP="00D63946">
      <w:pPr>
        <w:pStyle w:val="Heading1"/>
        <w:widowControl/>
        <w:rPr>
          <w:rFonts w:ascii="Times New Roman" w:hAnsi="Times New Roman"/>
          <w:w w:val="105"/>
          <w:kern w:val="0"/>
          <w:szCs w:val="22"/>
        </w:rPr>
      </w:pPr>
      <w:r w:rsidRPr="001179F2">
        <w:rPr>
          <w:rFonts w:ascii="Times New Roman" w:hAnsi="Times New Roman"/>
          <w:w w:val="105"/>
          <w:kern w:val="0"/>
          <w:szCs w:val="22"/>
        </w:rPr>
        <w:t>ordering clause</w:t>
      </w:r>
    </w:p>
    <w:p w:rsidR="00C33E3D" w:rsidRPr="001179F2" w:rsidP="00842C1D">
      <w:pPr>
        <w:widowControl/>
        <w:numPr>
          <w:ilvl w:val="0"/>
          <w:numId w:val="2"/>
        </w:numPr>
        <w:tabs>
          <w:tab w:val="clear" w:pos="1080"/>
          <w:tab w:val="num" w:pos="1440"/>
        </w:tabs>
        <w:spacing w:after="120" w:line="259" w:lineRule="auto"/>
        <w:rPr>
          <w:w w:val="105"/>
          <w:kern w:val="0"/>
          <w:szCs w:val="22"/>
        </w:rPr>
      </w:pPr>
      <w:r w:rsidRPr="001179F2">
        <w:rPr>
          <w:snapToGrid/>
          <w:w w:val="105"/>
          <w:kern w:val="0"/>
          <w:szCs w:val="22"/>
        </w:rPr>
        <w:t xml:space="preserve">Accordingly, </w:t>
      </w:r>
      <w:r w:rsidRPr="00842C1D">
        <w:rPr>
          <w:b/>
          <w:snapToGrid/>
          <w:w w:val="105"/>
          <w:kern w:val="0"/>
          <w:szCs w:val="22"/>
        </w:rPr>
        <w:t>IT IS ORDERED</w:t>
      </w:r>
      <w:r w:rsidRPr="001179F2">
        <w:rPr>
          <w:snapToGrid/>
          <w:w w:val="105"/>
          <w:kern w:val="0"/>
          <w:szCs w:val="22"/>
        </w:rPr>
        <w:t xml:space="preserve"> that, pursuant to section 4(i) of the Communications Act of 1934, as amended, 47 U.S.C. § 154(i), and section 1.3 of the Commission’s rules, 47 CFR § 1.3, that sections 10.</w:t>
      </w:r>
      <w:r w:rsidRPr="003961C8">
        <w:rPr>
          <w:color w:val="1D1D23"/>
          <w:w w:val="105"/>
          <w:kern w:val="0"/>
          <w:szCs w:val="22"/>
        </w:rPr>
        <w:t>40</w:t>
      </w:r>
      <w:r w:rsidR="003961C8">
        <w:rPr>
          <w:snapToGrid/>
          <w:w w:val="105"/>
          <w:kern w:val="0"/>
          <w:szCs w:val="22"/>
        </w:rPr>
        <w:t>`</w:t>
      </w:r>
      <w:r w:rsidRPr="003961C8">
        <w:rPr>
          <w:color w:val="1D1D23"/>
          <w:w w:val="105"/>
          <w:kern w:val="0"/>
          <w:szCs w:val="22"/>
        </w:rPr>
        <w:t>0</w:t>
      </w:r>
      <w:r w:rsidRPr="001179F2">
        <w:rPr>
          <w:snapToGrid/>
          <w:w w:val="105"/>
          <w:kern w:val="0"/>
          <w:szCs w:val="22"/>
        </w:rPr>
        <w:t xml:space="preserve">, 10.520(d), </w:t>
      </w:r>
      <w:r w:rsidR="00FD4EAC">
        <w:rPr>
          <w:snapToGrid/>
          <w:w w:val="105"/>
          <w:kern w:val="0"/>
          <w:szCs w:val="22"/>
        </w:rPr>
        <w:t xml:space="preserve">and </w:t>
      </w:r>
      <w:r w:rsidRPr="001179F2">
        <w:rPr>
          <w:snapToGrid/>
          <w:w w:val="105"/>
          <w:kern w:val="0"/>
          <w:szCs w:val="22"/>
        </w:rPr>
        <w:t xml:space="preserve">10.530(b) of the Commission’s rules, 47 CFR §§ 10.400, 0.520(d), </w:t>
      </w:r>
      <w:r w:rsidR="00FD4EAC">
        <w:rPr>
          <w:snapToGrid/>
          <w:w w:val="105"/>
          <w:kern w:val="0"/>
          <w:szCs w:val="22"/>
        </w:rPr>
        <w:t xml:space="preserve">and </w:t>
      </w:r>
      <w:r w:rsidRPr="001179F2">
        <w:rPr>
          <w:snapToGrid/>
          <w:w w:val="105"/>
          <w:kern w:val="0"/>
          <w:szCs w:val="22"/>
        </w:rPr>
        <w:t xml:space="preserve">10.530(b) </w:t>
      </w:r>
      <w:r w:rsidRPr="00842C1D">
        <w:rPr>
          <w:b/>
          <w:snapToGrid/>
          <w:w w:val="105"/>
          <w:kern w:val="0"/>
          <w:szCs w:val="22"/>
        </w:rPr>
        <w:t>ARE WAIVED</w:t>
      </w:r>
      <w:r w:rsidRPr="001179F2">
        <w:rPr>
          <w:snapToGrid/>
          <w:w w:val="105"/>
          <w:kern w:val="0"/>
          <w:szCs w:val="22"/>
        </w:rPr>
        <w:t xml:space="preserve"> to allow </w:t>
      </w:r>
      <w:r w:rsidRPr="001179F2" w:rsidR="00EC1A2E">
        <w:rPr>
          <w:snapToGrid/>
          <w:w w:val="105"/>
          <w:kern w:val="0"/>
          <w:szCs w:val="22"/>
        </w:rPr>
        <w:t>a one</w:t>
      </w:r>
      <w:r w:rsidRPr="001179F2" w:rsidR="00893636">
        <w:rPr>
          <w:snapToGrid/>
          <w:w w:val="105"/>
          <w:kern w:val="0"/>
          <w:szCs w:val="22"/>
        </w:rPr>
        <w:t>-</w:t>
      </w:r>
      <w:r w:rsidRPr="001179F2" w:rsidR="00EC1A2E">
        <w:rPr>
          <w:snapToGrid/>
          <w:w w:val="105"/>
          <w:kern w:val="0"/>
          <w:szCs w:val="22"/>
        </w:rPr>
        <w:t xml:space="preserve">time test of the Wireless Emergency Alert </w:t>
      </w:r>
      <w:r w:rsidRPr="001179F2">
        <w:rPr>
          <w:w w:val="105"/>
          <w:kern w:val="0"/>
          <w:szCs w:val="22"/>
        </w:rPr>
        <w:t>system</w:t>
      </w:r>
      <w:r w:rsidRPr="001179F2" w:rsidR="00EC1A2E">
        <w:rPr>
          <w:w w:val="105"/>
          <w:kern w:val="0"/>
          <w:szCs w:val="22"/>
        </w:rPr>
        <w:t xml:space="preserve"> </w:t>
      </w:r>
      <w:r w:rsidRPr="001179F2">
        <w:rPr>
          <w:w w:val="105"/>
          <w:kern w:val="0"/>
          <w:szCs w:val="22"/>
        </w:rPr>
        <w:t xml:space="preserve">within </w:t>
      </w:r>
      <w:r w:rsidRPr="001179F2" w:rsidR="00B32717">
        <w:rPr>
          <w:w w:val="105"/>
          <w:kern w:val="0"/>
          <w:szCs w:val="22"/>
        </w:rPr>
        <w:t>Napa County</w:t>
      </w:r>
      <w:r w:rsidRPr="001179F2" w:rsidR="003A0CD0">
        <w:rPr>
          <w:w w:val="105"/>
          <w:kern w:val="0"/>
          <w:szCs w:val="22"/>
        </w:rPr>
        <w:t>,</w:t>
      </w:r>
      <w:r w:rsidRPr="001179F2">
        <w:rPr>
          <w:w w:val="105"/>
          <w:kern w:val="0"/>
          <w:szCs w:val="22"/>
        </w:rPr>
        <w:t xml:space="preserve"> on the date</w:t>
      </w:r>
      <w:r w:rsidR="00A5454E">
        <w:rPr>
          <w:w w:val="105"/>
          <w:kern w:val="0"/>
          <w:szCs w:val="22"/>
        </w:rPr>
        <w:t>(s)</w:t>
      </w:r>
      <w:r w:rsidRPr="001179F2">
        <w:rPr>
          <w:w w:val="105"/>
          <w:kern w:val="0"/>
          <w:szCs w:val="22"/>
        </w:rPr>
        <w:t xml:space="preserve"> and at the time above stated.</w:t>
      </w:r>
    </w:p>
    <w:p w:rsidR="00C33E3D" w:rsidRPr="001179F2" w:rsidP="00D63946">
      <w:pPr>
        <w:widowControl/>
        <w:autoSpaceDE w:val="0"/>
        <w:autoSpaceDN w:val="0"/>
        <w:adjustRightInd w:val="0"/>
        <w:rPr>
          <w:w w:val="105"/>
          <w:kern w:val="0"/>
          <w:szCs w:val="22"/>
        </w:rPr>
      </w:pPr>
    </w:p>
    <w:p w:rsidR="00C33E3D" w:rsidRPr="001179F2" w:rsidP="00D63946">
      <w:pPr>
        <w:widowControl/>
        <w:spacing w:before="154"/>
        <w:ind w:left="3577" w:firstLine="720"/>
        <w:rPr>
          <w:snapToGrid/>
          <w:w w:val="105"/>
          <w:kern w:val="0"/>
          <w:szCs w:val="22"/>
        </w:rPr>
      </w:pPr>
      <w:r w:rsidRPr="001179F2">
        <w:rPr>
          <w:snapToGrid/>
          <w:w w:val="105"/>
          <w:kern w:val="0"/>
          <w:szCs w:val="22"/>
        </w:rPr>
        <w:t>FEDERAL COMMUNICATIONS COMMISSION</w:t>
      </w:r>
    </w:p>
    <w:p w:rsidR="00C33E3D" w:rsidRPr="001179F2" w:rsidP="00D63946">
      <w:pPr>
        <w:widowControl/>
        <w:rPr>
          <w:w w:val="105"/>
          <w:kern w:val="0"/>
          <w:szCs w:val="22"/>
        </w:rPr>
      </w:pPr>
    </w:p>
    <w:p w:rsidR="00C33E3D" w:rsidRPr="001179F2" w:rsidP="00D63946">
      <w:pPr>
        <w:widowControl/>
        <w:rPr>
          <w:w w:val="105"/>
          <w:kern w:val="0"/>
          <w:szCs w:val="22"/>
        </w:rPr>
      </w:pPr>
    </w:p>
    <w:p w:rsidR="00C33E3D" w:rsidRPr="001179F2" w:rsidP="00D63946">
      <w:pPr>
        <w:widowControl/>
        <w:rPr>
          <w:w w:val="105"/>
          <w:kern w:val="0"/>
          <w:szCs w:val="22"/>
        </w:rPr>
      </w:pPr>
    </w:p>
    <w:p w:rsidR="00C33E3D" w:rsidRPr="001179F2" w:rsidP="00D63946">
      <w:pPr>
        <w:widowControl/>
        <w:spacing w:before="2"/>
        <w:rPr>
          <w:w w:val="105"/>
          <w:kern w:val="0"/>
          <w:szCs w:val="22"/>
        </w:rPr>
      </w:pPr>
    </w:p>
    <w:p w:rsidR="00AB7E8A" w:rsidRPr="001179F2" w:rsidP="00A5454E">
      <w:pPr>
        <w:widowControl/>
        <w:ind w:left="4291"/>
        <w:rPr>
          <w:snapToGrid/>
          <w:w w:val="105"/>
          <w:kern w:val="0"/>
          <w:szCs w:val="22"/>
        </w:rPr>
      </w:pPr>
      <w:bookmarkStart w:id="8" w:name="sp_999_4"/>
      <w:bookmarkStart w:id="9" w:name="SDU_4"/>
      <w:bookmarkStart w:id="10" w:name="_Hlk8895269"/>
      <w:bookmarkEnd w:id="8"/>
      <w:bookmarkEnd w:id="9"/>
      <w:r w:rsidRPr="001179F2">
        <w:rPr>
          <w:snapToGrid/>
          <w:w w:val="105"/>
          <w:kern w:val="0"/>
          <w:szCs w:val="22"/>
        </w:rPr>
        <w:t>Nico</w:t>
      </w:r>
      <w:r w:rsidR="00A5454E">
        <w:rPr>
          <w:snapToGrid/>
          <w:w w:val="105"/>
          <w:kern w:val="0"/>
          <w:szCs w:val="22"/>
        </w:rPr>
        <w:t xml:space="preserve">le McGinnis </w:t>
      </w:r>
    </w:p>
    <w:p w:rsidR="00AB7E8A" w:rsidRPr="001179F2" w:rsidP="00A5454E">
      <w:pPr>
        <w:widowControl/>
        <w:ind w:left="3571" w:right="271" w:firstLine="720"/>
        <w:rPr>
          <w:snapToGrid/>
          <w:w w:val="105"/>
          <w:kern w:val="0"/>
          <w:szCs w:val="22"/>
        </w:rPr>
      </w:pPr>
      <w:r w:rsidRPr="001179F2">
        <w:rPr>
          <w:snapToGrid/>
          <w:w w:val="105"/>
          <w:kern w:val="0"/>
          <w:szCs w:val="22"/>
        </w:rPr>
        <w:t>Deputy Chief</w:t>
      </w:r>
    </w:p>
    <w:p w:rsidR="00AB7E8A" w:rsidRPr="001179F2" w:rsidP="00AB7E8A">
      <w:pPr>
        <w:widowControl/>
        <w:ind w:left="4680" w:right="271" w:hanging="360"/>
        <w:rPr>
          <w:snapToGrid/>
          <w:w w:val="105"/>
          <w:kern w:val="0"/>
          <w:szCs w:val="22"/>
        </w:rPr>
      </w:pPr>
      <w:r w:rsidRPr="001179F2">
        <w:rPr>
          <w:snapToGrid/>
          <w:w w:val="105"/>
          <w:kern w:val="0"/>
          <w:szCs w:val="22"/>
        </w:rPr>
        <w:t>Public Safety and Homeland Security Bureau</w:t>
      </w:r>
    </w:p>
    <w:p w:rsidR="00AB7E8A" w:rsidRPr="001179F2" w:rsidP="00AB7E8A">
      <w:pPr>
        <w:widowControl/>
        <w:ind w:left="4320"/>
        <w:rPr>
          <w:w w:val="105"/>
          <w:kern w:val="0"/>
          <w:szCs w:val="22"/>
        </w:rPr>
      </w:pPr>
      <w:r w:rsidRPr="001179F2">
        <w:rPr>
          <w:w w:val="105"/>
          <w:kern w:val="0"/>
          <w:szCs w:val="22"/>
        </w:rPr>
        <w:t>Federal Communications Commission</w:t>
      </w:r>
    </w:p>
    <w:bookmarkEnd w:id="10"/>
    <w:p w:rsidR="00C33E3D" w:rsidRPr="001179F2" w:rsidP="00AB7E8A">
      <w:pPr>
        <w:widowControl/>
        <w:ind w:left="4297" w:right="3533"/>
        <w:jc w:val="center"/>
        <w:rPr>
          <w:w w:val="105"/>
          <w:kern w:val="0"/>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50" w:rsidP="0055614C">
    <w:pPr>
      <w:pStyle w:val="Footer"/>
      <w:framePr w:wrap="around" w:vAnchor="text" w:hAnchor="margin" w:xAlign="center" w:y="1"/>
    </w:pPr>
    <w:r>
      <w:fldChar w:fldCharType="begin"/>
    </w:r>
    <w:r>
      <w:instrText xml:space="preserve">PAGE  </w:instrText>
    </w:r>
    <w:r>
      <w:fldChar w:fldCharType="separate"/>
    </w:r>
    <w:r>
      <w:fldChar w:fldCharType="end"/>
    </w:r>
  </w:p>
  <w:p w:rsidR="00CE6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50">
    <w:pPr>
      <w:pStyle w:val="Footer"/>
      <w:jc w:val="center"/>
    </w:pPr>
    <w:r>
      <w:fldChar w:fldCharType="begin"/>
    </w:r>
    <w:r>
      <w:instrText xml:space="preserve"> PAGE   \* MERGEFORMAT </w:instrText>
    </w:r>
    <w:r>
      <w:fldChar w:fldCharType="separate"/>
    </w:r>
    <w:r>
      <w:rPr>
        <w:noProof/>
      </w:rPr>
      <w:t>2</w:t>
    </w:r>
    <w:r>
      <w:rPr>
        <w:noProof/>
      </w:rPr>
      <w:fldChar w:fldCharType="end"/>
    </w:r>
  </w:p>
  <w:p w:rsidR="00CE6E50">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50">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4CDE">
      <w:r>
        <w:separator/>
      </w:r>
    </w:p>
  </w:footnote>
  <w:footnote w:type="continuationSeparator" w:id="1">
    <w:p w:rsidR="00AC4CDE" w:rsidP="00C721AC">
      <w:pPr>
        <w:spacing w:before="120"/>
        <w:rPr>
          <w:sz w:val="20"/>
        </w:rPr>
      </w:pPr>
      <w:r>
        <w:rPr>
          <w:sz w:val="20"/>
        </w:rPr>
        <w:t xml:space="preserve">(Continued from previous page)  </w:t>
      </w:r>
      <w:r>
        <w:rPr>
          <w:sz w:val="20"/>
        </w:rPr>
        <w:separator/>
      </w:r>
    </w:p>
  </w:footnote>
  <w:footnote w:type="continuationNotice" w:id="2">
    <w:p w:rsidR="00AC4CDE" w:rsidP="00C721AC">
      <w:pPr>
        <w:jc w:val="right"/>
        <w:rPr>
          <w:sz w:val="20"/>
        </w:rPr>
      </w:pPr>
    </w:p>
  </w:footnote>
  <w:footnote w:id="3">
    <w:p w:rsidR="00CE6E50" w:rsidRPr="00CA2DED" w:rsidP="008D2ECE">
      <w:pPr>
        <w:pStyle w:val="FootnoteText"/>
      </w:pPr>
      <w:r w:rsidRPr="00CA2DED">
        <w:rPr>
          <w:rStyle w:val="FootnoteReference"/>
        </w:rPr>
        <w:footnoteRef/>
      </w:r>
      <w:r w:rsidRPr="00CA2DED">
        <w:t xml:space="preserve"> Participating CMS Providers are commercial mobile service providers that have elected voluntarily to transmit WEA alert messages.  47 CFR § 10.10(d), </w:t>
      </w:r>
      <w:hyperlink r:id="rId1" w:anchor="co_pp_ae0d0000c5150" w:history="1">
        <w:r w:rsidRPr="00CA2DED">
          <w:t>(f)</w:t>
        </w:r>
      </w:hyperlink>
      <w:r w:rsidRPr="00CA2DED">
        <w:t>.</w:t>
      </w:r>
    </w:p>
  </w:footnote>
  <w:footnote w:id="4">
    <w:p w:rsidR="00677D67" w:rsidRPr="00CA2DED" w:rsidP="00677D67">
      <w:pPr>
        <w:pStyle w:val="FootnoteText"/>
      </w:pPr>
      <w:r w:rsidRPr="00CA2DED">
        <w:rPr>
          <w:rStyle w:val="FootnoteReference"/>
        </w:rPr>
        <w:footnoteRef/>
      </w:r>
      <w:r w:rsidRPr="00CA2DED">
        <w:t xml:space="preserve"> </w:t>
      </w:r>
      <w:r w:rsidRPr="00CA2DED">
        <w:rPr>
          <w:i/>
        </w:rPr>
        <w:t xml:space="preserve">See </w:t>
      </w:r>
      <w:r w:rsidRPr="00CA2DED">
        <w:t>Letter from Kerry John Whitney, Napa County Risk &amp; Emergency Services Manager,</w:t>
      </w:r>
      <w:r w:rsidRPr="00CA2DED">
        <w:rPr>
          <w:snapToGrid w:val="0"/>
        </w:rPr>
        <w:t xml:space="preserve"> to Marlene Dortch, Secretary, Federal Communications Commission (filed November </w:t>
      </w:r>
      <w:r w:rsidRPr="0087461A" w:rsidR="007B3F0E">
        <w:rPr>
          <w:snapToGrid w:val="0"/>
        </w:rPr>
        <w:t>6</w:t>
      </w:r>
      <w:r w:rsidRPr="0087461A">
        <w:rPr>
          <w:snapToGrid w:val="0"/>
        </w:rPr>
        <w:t>,</w:t>
      </w:r>
      <w:r w:rsidRPr="00CA2DED">
        <w:rPr>
          <w:snapToGrid w:val="0"/>
        </w:rPr>
        <w:t xml:space="preserve"> 2019) (on file in PS Docket No. 15-91) (Napa OES Letter)</w:t>
      </w:r>
      <w:r w:rsidRPr="00CA2DED">
        <w:t>.</w:t>
      </w:r>
      <w:r w:rsidRPr="00CA2DED" w:rsidR="00E935A7">
        <w:t xml:space="preserve">  </w:t>
      </w:r>
    </w:p>
  </w:footnote>
  <w:footnote w:id="5">
    <w:p w:rsidR="00CE6E50" w:rsidRPr="00CA2DED" w:rsidP="00C33E3D">
      <w:pPr>
        <w:pStyle w:val="FootnoteText"/>
      </w:pPr>
      <w:r w:rsidRPr="00CA2DED">
        <w:rPr>
          <w:rStyle w:val="FootnoteReference"/>
        </w:rPr>
        <w:footnoteRef/>
      </w:r>
      <w:r w:rsidRPr="00CA2DED">
        <w:t xml:space="preserve"> </w:t>
      </w:r>
      <w:r w:rsidRPr="00CA2DED">
        <w:rPr>
          <w:i/>
        </w:rPr>
        <w:t>Commercial Mobile Alert System</w:t>
      </w:r>
      <w:r w:rsidRPr="00CA2DED">
        <w:t>, PS Docket No. 07-287, Third Report and Order, 23 FCC Rcd 12561, 12575, para. 32 (2008) (stating the requirements for wireless providers volunteering to participate in WEA).</w:t>
      </w:r>
    </w:p>
  </w:footnote>
  <w:footnote w:id="6">
    <w:p w:rsidR="00CE6E50" w:rsidRPr="00CA2DED" w:rsidP="00C33E3D">
      <w:pPr>
        <w:pStyle w:val="FootnoteText"/>
      </w:pPr>
      <w:r w:rsidRPr="00CA2DED">
        <w:rPr>
          <w:rStyle w:val="FootnoteReference"/>
        </w:rPr>
        <w:footnoteRef/>
      </w:r>
      <w:r w:rsidRPr="00CA2DED">
        <w:t xml:space="preserve"> 47 CFR</w:t>
      </w:r>
      <w:r w:rsidRPr="00CA2DED">
        <w:rPr>
          <w:i/>
        </w:rPr>
        <w:t xml:space="preserve"> </w:t>
      </w:r>
      <w:r w:rsidRPr="00CA2DED">
        <w:t xml:space="preserve">§ 10.350.  Specifically, the Commission’s rules require Participating CMS Providers to participate in monthly tests initiated by FEMA and in periodic tests of WEA’s C-Interface.  </w:t>
      </w:r>
      <w:r w:rsidRPr="00CA2DED">
        <w:rPr>
          <w:i/>
        </w:rPr>
        <w:t>Id.</w:t>
      </w:r>
    </w:p>
  </w:footnote>
  <w:footnote w:id="7">
    <w:p w:rsidR="00AB027A" w:rsidP="00AB027A">
      <w:pPr>
        <w:pStyle w:val="FootnoteText"/>
      </w:pPr>
      <w:r>
        <w:rPr>
          <w:rStyle w:val="FootnoteReference"/>
        </w:rPr>
        <w:footnoteRef/>
      </w:r>
      <w:r>
        <w:t xml:space="preserve"> </w:t>
      </w:r>
      <w:r w:rsidRPr="00AB027A">
        <w:t>47 CFR § 10.520(d). The Attention Signal is a loud, attention-grabbing, two-tone audio signal that uses frequencies and sounds identical to the attention signal used by the E</w:t>
      </w:r>
      <w:r>
        <w:t>mergency Alerting System (E</w:t>
      </w:r>
      <w:r w:rsidRPr="00AB027A">
        <w:t>AS</w:t>
      </w:r>
      <w:r>
        <w:t>)</w:t>
      </w:r>
      <w:r w:rsidRPr="00AB027A">
        <w:t xml:space="preserve">. </w:t>
      </w:r>
      <w:r w:rsidRPr="00AB027A">
        <w:rPr>
          <w:i/>
        </w:rPr>
        <w:t>Compare</w:t>
      </w:r>
      <w:r w:rsidRPr="00AB027A">
        <w:t xml:space="preserve"> 47 CFR § 10.520 with 47 CFR § 11.31(a)(2). </w:t>
      </w:r>
    </w:p>
  </w:footnote>
  <w:footnote w:id="8">
    <w:p w:rsidR="00CE6E50" w:rsidRPr="00CA2DED" w:rsidP="003A0CD0">
      <w:pPr>
        <w:pStyle w:val="FootnoteText"/>
      </w:pPr>
      <w:r w:rsidRPr="00CA2DED">
        <w:rPr>
          <w:rStyle w:val="FootnoteReference"/>
        </w:rPr>
        <w:footnoteRef/>
      </w:r>
      <w:r w:rsidRPr="00CA2DED">
        <w:t xml:space="preserve"> </w:t>
      </w:r>
      <w:r w:rsidRPr="00CA2DED" w:rsidR="00370AAC">
        <w:rPr>
          <w:i/>
        </w:rPr>
        <w:t>See supra</w:t>
      </w:r>
      <w:r w:rsidRPr="00CA2DED" w:rsidR="00370AAC">
        <w:t xml:space="preserve"> note </w:t>
      </w:r>
      <w:r w:rsidRPr="00CA2DED" w:rsidR="00370AAC">
        <w:fldChar w:fldCharType="begin"/>
      </w:r>
      <w:r w:rsidRPr="00CA2DED" w:rsidR="00370AAC">
        <w:instrText xml:space="preserve"> NOTEREF _Ref22313333 \h </w:instrText>
      </w:r>
      <w:r w:rsidRPr="00CA2DED" w:rsidR="00CA2DED">
        <w:instrText xml:space="preserve"> \* MERGEFORMAT </w:instrText>
      </w:r>
      <w:r w:rsidRPr="00CA2DED" w:rsidR="00370AAC">
        <w:fldChar w:fldCharType="separate"/>
      </w:r>
      <w:r w:rsidRPr="00CA2DED" w:rsidR="00370AAC">
        <w:t>3</w:t>
      </w:r>
      <w:r w:rsidRPr="00CA2DED" w:rsidR="00370AAC">
        <w:fldChar w:fldCharType="end"/>
      </w:r>
      <w:r w:rsidRPr="00CA2DED" w:rsidR="00370AAC">
        <w:t>.</w:t>
      </w:r>
    </w:p>
  </w:footnote>
  <w:footnote w:id="9">
    <w:p w:rsidR="00CE6E50" w:rsidRPr="00CA2DED" w:rsidP="00C33E3D">
      <w:pPr>
        <w:pStyle w:val="FootnoteText"/>
      </w:pPr>
      <w:r w:rsidRPr="00CA2DED">
        <w:rPr>
          <w:rStyle w:val="FootnoteReference"/>
        </w:rPr>
        <w:footnoteRef/>
      </w:r>
      <w:r w:rsidRPr="00CA2DED">
        <w:t xml:space="preserve"> </w:t>
      </w:r>
      <w:r w:rsidRPr="001A58D9">
        <w:rPr>
          <w:i/>
        </w:rPr>
        <w:t>See</w:t>
      </w:r>
      <w:r w:rsidRPr="00CA2DED">
        <w:t xml:space="preserve"> Public Safety &amp; Homeland Security Bureau Announces Delay in Availability of Certain Improvements to</w:t>
      </w:r>
      <w:r w:rsidR="001A58D9">
        <w:t xml:space="preserve"> </w:t>
      </w:r>
      <w:r w:rsidRPr="00CA2DED">
        <w:rPr>
          <w:i/>
          <w:iCs/>
        </w:rPr>
        <w:t xml:space="preserve">Wireless Emergency Alerts, </w:t>
      </w:r>
      <w:r w:rsidRPr="00CA2DED">
        <w:t xml:space="preserve">Public Notice, DA 19-534 (PSHSB June 7, 2019); </w:t>
      </w:r>
      <w:r w:rsidRPr="00CA2DED">
        <w:rPr>
          <w:i/>
          <w:iCs/>
        </w:rPr>
        <w:t>Advisory Regarding May 1 Deadline</w:t>
      </w:r>
      <w:r w:rsidR="001A58D9">
        <w:rPr>
          <w:i/>
          <w:iCs/>
        </w:rPr>
        <w:t xml:space="preserve"> </w:t>
      </w:r>
      <w:r w:rsidRPr="00CA2DED">
        <w:rPr>
          <w:i/>
          <w:iCs/>
        </w:rPr>
        <w:t>for Improvements to Wireless Emergency Alerts and Guidance for State/Local Alert Originators</w:t>
      </w:r>
      <w:r w:rsidRPr="00CA2DED">
        <w:t>, Public Notice, DA</w:t>
      </w:r>
      <w:r w:rsidR="00A446F5">
        <w:t xml:space="preserve"> </w:t>
      </w:r>
      <w:r w:rsidRPr="00CA2DED">
        <w:t>19-358, at 2 (PSHSB Apr. 30, 2019).</w:t>
      </w:r>
    </w:p>
  </w:footnote>
  <w:footnote w:id="10">
    <w:p w:rsidR="00677D67" w:rsidRPr="00CA2DED" w:rsidP="00677D67">
      <w:pPr>
        <w:pStyle w:val="FootnoteText"/>
      </w:pPr>
      <w:r w:rsidRPr="00CA2DED">
        <w:rPr>
          <w:rStyle w:val="FootnoteReference"/>
        </w:rPr>
        <w:footnoteRef/>
      </w:r>
      <w:r w:rsidRPr="00CA2DED">
        <w:t xml:space="preserve"> Napa OES Letter at 1.</w:t>
      </w:r>
    </w:p>
  </w:footnote>
  <w:footnote w:id="11">
    <w:p w:rsidR="00B75880" w:rsidRPr="00CA2DED">
      <w:pPr>
        <w:pStyle w:val="FootnoteText"/>
      </w:pPr>
      <w:r w:rsidRPr="00CA2DED">
        <w:rPr>
          <w:rStyle w:val="FootnoteReference"/>
        </w:rPr>
        <w:footnoteRef/>
      </w:r>
      <w:r w:rsidRPr="00CA2DED">
        <w:t xml:space="preserve"> </w:t>
      </w:r>
      <w:r w:rsidRPr="00CA2DED">
        <w:rPr>
          <w:i/>
        </w:rPr>
        <w:t>Id.</w:t>
      </w:r>
    </w:p>
  </w:footnote>
  <w:footnote w:id="12">
    <w:p w:rsidR="006B2ADD" w:rsidRPr="00CA2DED">
      <w:pPr>
        <w:pStyle w:val="FootnoteText"/>
      </w:pPr>
      <w:r w:rsidRPr="00CA2DED">
        <w:rPr>
          <w:rStyle w:val="FootnoteReference"/>
        </w:rPr>
        <w:footnoteRef/>
      </w:r>
      <w:r w:rsidRPr="00CA2DED">
        <w:t xml:space="preserve"> </w:t>
      </w:r>
      <w:r w:rsidRPr="00CA2DED">
        <w:rPr>
          <w:i/>
        </w:rPr>
        <w:t>Id.</w:t>
      </w:r>
    </w:p>
  </w:footnote>
  <w:footnote w:id="13">
    <w:p w:rsidR="00144E99" w:rsidRPr="00CA2DED">
      <w:pPr>
        <w:pStyle w:val="FootnoteText"/>
      </w:pPr>
      <w:r w:rsidRPr="00CA2DED">
        <w:rPr>
          <w:rStyle w:val="FootnoteReference"/>
        </w:rPr>
        <w:footnoteRef/>
      </w:r>
      <w:r w:rsidRPr="00CA2DED">
        <w:t xml:space="preserve"> </w:t>
      </w:r>
      <w:r w:rsidRPr="00CA2DED">
        <w:rPr>
          <w:i/>
        </w:rPr>
        <w:t>Id.</w:t>
      </w:r>
    </w:p>
  </w:footnote>
  <w:footnote w:id="14">
    <w:p w:rsidR="00441EA6">
      <w:pPr>
        <w:pStyle w:val="FootnoteText"/>
      </w:pPr>
      <w:r>
        <w:rPr>
          <w:rStyle w:val="FootnoteReference"/>
        </w:rPr>
        <w:footnoteRef/>
      </w:r>
      <w:r>
        <w:t xml:space="preserve"> </w:t>
      </w:r>
      <w:r w:rsidRPr="00441EA6">
        <w:rPr>
          <w:i/>
        </w:rPr>
        <w:t>Id.</w:t>
      </w:r>
      <w:r>
        <w:t xml:space="preserve"> </w:t>
      </w:r>
    </w:p>
  </w:footnote>
  <w:footnote w:id="15">
    <w:p w:rsidR="007D3D55" w:rsidRPr="001179F2" w:rsidP="007D3D55">
      <w:pPr>
        <w:pStyle w:val="FootnoteText"/>
      </w:pPr>
      <w:r w:rsidRPr="00B0643B">
        <w:rPr>
          <w:rStyle w:val="FootnoteReference"/>
        </w:rPr>
        <w:footnoteRef/>
      </w:r>
      <w:r w:rsidRPr="00B0643B">
        <w:t xml:space="preserve"> </w:t>
      </w:r>
      <w:r w:rsidRPr="00B0643B">
        <w:rPr>
          <w:i/>
        </w:rPr>
        <w:t>Id.</w:t>
      </w:r>
      <w:r w:rsidR="001179F2">
        <w:rPr>
          <w:i/>
        </w:rPr>
        <w:t xml:space="preserve"> </w:t>
      </w:r>
      <w:r w:rsidR="001179F2">
        <w:t>at 2.</w:t>
      </w:r>
      <w:r w:rsidR="00AB4FE1">
        <w:t xml:space="preserve">  We note the </w:t>
      </w:r>
      <w:r w:rsidR="00A446F5">
        <w:t xml:space="preserve">following </w:t>
      </w:r>
      <w:r w:rsidR="00AB4FE1">
        <w:t>phrase on page 2 of the Napa OES letter: “confirm to the public the WEA, EAS and NOAA Weather Radio message is a test.”  We believe th</w:t>
      </w:r>
      <w:r w:rsidR="00A5454E">
        <w:t>is</w:t>
      </w:r>
      <w:r w:rsidR="00AB4FE1">
        <w:t xml:space="preserve"> reference to EAS and NOAA Weather Radio is a scrivener’s error.  There was a proposal to test </w:t>
      </w:r>
      <w:r w:rsidRPr="00AB4FE1" w:rsidR="00AB4FE1">
        <w:t>the Emergency Alert System and NOAA Weather Radio</w:t>
      </w:r>
      <w:r w:rsidR="00AB4FE1">
        <w:t xml:space="preserve"> in a previous Napa OES letter</w:t>
      </w:r>
      <w:r w:rsidR="00441EA6">
        <w:t xml:space="preserve"> dated October 26, 2019</w:t>
      </w:r>
      <w:r w:rsidR="00AB4FE1">
        <w:t xml:space="preserve">.  That letter, however, was superseded by the November 6, 2019 letter which clearly </w:t>
      </w:r>
      <w:r w:rsidR="00A5454E">
        <w:t xml:space="preserve">indicates that Napa OES intends only a WEA test. </w:t>
      </w:r>
    </w:p>
  </w:footnote>
  <w:footnote w:id="16">
    <w:p w:rsidR="007D3D55" w:rsidRPr="00B0643B" w:rsidP="007D3D55">
      <w:pPr>
        <w:pStyle w:val="FootnoteText"/>
      </w:pPr>
      <w:r w:rsidRPr="00B0643B">
        <w:rPr>
          <w:rStyle w:val="FootnoteReference"/>
        </w:rPr>
        <w:footnoteRef/>
      </w:r>
      <w:r w:rsidRPr="00B0643B">
        <w:t xml:space="preserve"> </w:t>
      </w:r>
      <w:r w:rsidRPr="00B0643B">
        <w:rPr>
          <w:i/>
        </w:rPr>
        <w:t>Id</w:t>
      </w:r>
      <w:r w:rsidR="001179F2">
        <w:rPr>
          <w:i/>
        </w:rPr>
        <w:t>.</w:t>
      </w:r>
    </w:p>
  </w:footnote>
  <w:footnote w:id="17">
    <w:p w:rsidR="00CE6E50" w:rsidRPr="00CA2DED" w:rsidP="00C33E3D">
      <w:pPr>
        <w:pStyle w:val="FootnoteText"/>
      </w:pPr>
      <w:r w:rsidRPr="00CA2DED">
        <w:rPr>
          <w:rStyle w:val="FootnoteReference"/>
        </w:rPr>
        <w:footnoteRef/>
      </w:r>
      <w:r w:rsidRPr="00CA2DED">
        <w:t xml:space="preserve"> 47 CFR</w:t>
      </w:r>
      <w:r w:rsidRPr="00CA2DED">
        <w:rPr>
          <w:spacing w:val="-1"/>
        </w:rPr>
        <w:t xml:space="preserve"> </w:t>
      </w:r>
      <w:r w:rsidRPr="00CA2DED">
        <w:t>§ 1.3.</w:t>
      </w:r>
    </w:p>
  </w:footnote>
  <w:footnote w:id="18">
    <w:p w:rsidR="00CE6E50" w:rsidRPr="00CA2DED" w:rsidP="00C33E3D">
      <w:pPr>
        <w:pStyle w:val="FootnoteText"/>
      </w:pPr>
      <w:r w:rsidRPr="00CA2DED">
        <w:rPr>
          <w:rStyle w:val="FootnoteReference"/>
        </w:rPr>
        <w:footnoteRef/>
      </w:r>
      <w:r w:rsidRPr="00CA2DED">
        <w:t xml:space="preserve"> </w:t>
      </w:r>
      <w:r w:rsidRPr="00CA2DED">
        <w:rPr>
          <w:i/>
        </w:rPr>
        <w:t>See</w:t>
      </w:r>
      <w:r w:rsidRPr="00CA2DED">
        <w:rPr>
          <w:i/>
          <w:spacing w:val="-3"/>
        </w:rPr>
        <w:t xml:space="preserve"> </w:t>
      </w:r>
      <w:r w:rsidRPr="00CA2DED">
        <w:rPr>
          <w:i/>
        </w:rPr>
        <w:t>Northeast</w:t>
      </w:r>
      <w:r w:rsidRPr="00CA2DED">
        <w:rPr>
          <w:i/>
          <w:spacing w:val="-4"/>
        </w:rPr>
        <w:t xml:space="preserve"> </w:t>
      </w:r>
      <w:r w:rsidRPr="00CA2DED">
        <w:rPr>
          <w:i/>
        </w:rPr>
        <w:t>Cellular</w:t>
      </w:r>
      <w:r w:rsidRPr="00CA2DED">
        <w:rPr>
          <w:i/>
          <w:spacing w:val="-2"/>
        </w:rPr>
        <w:t xml:space="preserve"> </w:t>
      </w:r>
      <w:r w:rsidRPr="00CA2DED">
        <w:rPr>
          <w:i/>
          <w:spacing w:val="-1"/>
        </w:rPr>
        <w:t>Telephone</w:t>
      </w:r>
      <w:r w:rsidRPr="00CA2DED">
        <w:rPr>
          <w:i/>
          <w:spacing w:val="-3"/>
        </w:rPr>
        <w:t xml:space="preserve"> </w:t>
      </w:r>
      <w:r w:rsidRPr="00CA2DED">
        <w:rPr>
          <w:i/>
        </w:rPr>
        <w:t>Co.</w:t>
      </w:r>
      <w:r w:rsidRPr="00CA2DED">
        <w:rPr>
          <w:i/>
          <w:spacing w:val="-3"/>
        </w:rPr>
        <w:t xml:space="preserve"> </w:t>
      </w:r>
      <w:r w:rsidRPr="00CA2DED">
        <w:rPr>
          <w:i/>
        </w:rPr>
        <w:t>v.</w:t>
      </w:r>
      <w:r w:rsidRPr="00CA2DED">
        <w:rPr>
          <w:i/>
          <w:spacing w:val="-4"/>
        </w:rPr>
        <w:t xml:space="preserve"> </w:t>
      </w:r>
      <w:r w:rsidRPr="00CA2DED">
        <w:rPr>
          <w:i/>
          <w:spacing w:val="-1"/>
        </w:rPr>
        <w:t>FCC</w:t>
      </w:r>
      <w:r w:rsidRPr="00CA2DED">
        <w:rPr>
          <w:spacing w:val="-1"/>
        </w:rPr>
        <w:t>,</w:t>
      </w:r>
      <w:r w:rsidRPr="00CA2DED">
        <w:rPr>
          <w:spacing w:val="-3"/>
        </w:rPr>
        <w:t xml:space="preserve"> </w:t>
      </w:r>
      <w:r w:rsidRPr="00CA2DED">
        <w:t>897</w:t>
      </w:r>
      <w:r w:rsidRPr="00CA2DED">
        <w:rPr>
          <w:spacing w:val="-3"/>
        </w:rPr>
        <w:t xml:space="preserve"> </w:t>
      </w:r>
      <w:r w:rsidRPr="00CA2DED">
        <w:rPr>
          <w:spacing w:val="-1"/>
        </w:rPr>
        <w:t>F.2d</w:t>
      </w:r>
      <w:r w:rsidRPr="00CA2DED">
        <w:rPr>
          <w:spacing w:val="-3"/>
        </w:rPr>
        <w:t xml:space="preserve"> </w:t>
      </w:r>
      <w:r w:rsidRPr="00CA2DED">
        <w:t>1164,</w:t>
      </w:r>
      <w:r w:rsidRPr="00CA2DED">
        <w:rPr>
          <w:spacing w:val="-2"/>
        </w:rPr>
        <w:t xml:space="preserve"> </w:t>
      </w:r>
      <w:r w:rsidRPr="00CA2DED">
        <w:t>1166</w:t>
      </w:r>
      <w:r w:rsidRPr="00CA2DED">
        <w:rPr>
          <w:spacing w:val="-3"/>
        </w:rPr>
        <w:t xml:space="preserve"> </w:t>
      </w:r>
      <w:r w:rsidRPr="00CA2DED">
        <w:t>(D.C.</w:t>
      </w:r>
      <w:r w:rsidRPr="00CA2DED">
        <w:rPr>
          <w:spacing w:val="-4"/>
        </w:rPr>
        <w:t xml:space="preserve"> </w:t>
      </w:r>
      <w:r w:rsidRPr="00CA2DED">
        <w:t>Cir.</w:t>
      </w:r>
      <w:r w:rsidRPr="00CA2DED">
        <w:rPr>
          <w:spacing w:val="-3"/>
        </w:rPr>
        <w:t xml:space="preserve"> </w:t>
      </w:r>
      <w:r w:rsidRPr="00CA2DED">
        <w:t>1990)</w:t>
      </w:r>
      <w:r w:rsidRPr="00CA2DED">
        <w:rPr>
          <w:spacing w:val="-3"/>
        </w:rPr>
        <w:t xml:space="preserve"> </w:t>
      </w:r>
      <w:r w:rsidRPr="00CA2DED">
        <w:t>(</w:t>
      </w:r>
      <w:r w:rsidRPr="00CA2DED">
        <w:rPr>
          <w:i/>
        </w:rPr>
        <w:t>citing</w:t>
      </w:r>
      <w:r w:rsidRPr="00CA2DED">
        <w:rPr>
          <w:i/>
          <w:spacing w:val="-4"/>
        </w:rPr>
        <w:t xml:space="preserve"> </w:t>
      </w:r>
      <w:r w:rsidRPr="00CA2DED">
        <w:rPr>
          <w:i/>
          <w:spacing w:val="-1"/>
        </w:rPr>
        <w:t>WAIT</w:t>
      </w:r>
      <w:r w:rsidRPr="00CA2DED">
        <w:rPr>
          <w:i/>
          <w:spacing w:val="-3"/>
        </w:rPr>
        <w:t xml:space="preserve"> </w:t>
      </w:r>
      <w:r w:rsidRPr="00CA2DED">
        <w:rPr>
          <w:i/>
          <w:spacing w:val="-1"/>
        </w:rPr>
        <w:t>Radio</w:t>
      </w:r>
      <w:r w:rsidRPr="00CA2DED">
        <w:rPr>
          <w:i/>
          <w:spacing w:val="-2"/>
        </w:rPr>
        <w:t xml:space="preserve"> </w:t>
      </w:r>
      <w:r w:rsidRPr="00CA2DED">
        <w:rPr>
          <w:i/>
        </w:rPr>
        <w:t>v.</w:t>
      </w:r>
      <w:r w:rsidRPr="00CA2DED">
        <w:rPr>
          <w:i/>
          <w:spacing w:val="-4"/>
        </w:rPr>
        <w:t xml:space="preserve"> </w:t>
      </w:r>
      <w:r w:rsidRPr="00CA2DED">
        <w:rPr>
          <w:i/>
          <w:spacing w:val="-1"/>
        </w:rPr>
        <w:t>FCC</w:t>
      </w:r>
      <w:r w:rsidRPr="00CA2DED">
        <w:rPr>
          <w:spacing w:val="-1"/>
        </w:rPr>
        <w:t>,</w:t>
      </w:r>
      <w:r w:rsidRPr="00CA2DED">
        <w:rPr>
          <w:spacing w:val="31"/>
        </w:rPr>
        <w:t xml:space="preserve"> </w:t>
      </w:r>
      <w:r w:rsidRPr="00CA2DED">
        <w:t>418</w:t>
      </w:r>
      <w:r w:rsidRPr="00CA2DED">
        <w:rPr>
          <w:spacing w:val="-1"/>
        </w:rPr>
        <w:t xml:space="preserve"> F.2d </w:t>
      </w:r>
      <w:r w:rsidRPr="00CA2DED">
        <w:t>1153,</w:t>
      </w:r>
      <w:r w:rsidRPr="00CA2DED">
        <w:rPr>
          <w:spacing w:val="-1"/>
        </w:rPr>
        <w:t xml:space="preserve"> </w:t>
      </w:r>
      <w:r w:rsidRPr="00CA2DED">
        <w:t>1159</w:t>
      </w:r>
      <w:r w:rsidRPr="00CA2DED">
        <w:rPr>
          <w:spacing w:val="-1"/>
        </w:rPr>
        <w:t xml:space="preserve"> </w:t>
      </w:r>
      <w:r w:rsidRPr="00CA2DED">
        <w:t>(D.C.</w:t>
      </w:r>
      <w:r w:rsidRPr="00CA2DED">
        <w:rPr>
          <w:spacing w:val="-2"/>
        </w:rPr>
        <w:t xml:space="preserve"> </w:t>
      </w:r>
      <w:r w:rsidRPr="00CA2DED">
        <w:t>Cir.</w:t>
      </w:r>
      <w:r w:rsidRPr="00CA2DED">
        <w:rPr>
          <w:spacing w:val="-1"/>
        </w:rPr>
        <w:t xml:space="preserve"> </w:t>
      </w:r>
      <w:r w:rsidRPr="00CA2DED">
        <w:t>1969),</w:t>
      </w:r>
      <w:r w:rsidRPr="00CA2DED">
        <w:rPr>
          <w:spacing w:val="-1"/>
        </w:rPr>
        <w:t xml:space="preserve"> </w:t>
      </w:r>
      <w:r w:rsidRPr="00CA2DED">
        <w:rPr>
          <w:i/>
        </w:rPr>
        <w:t>aff’d</w:t>
      </w:r>
      <w:r w:rsidRPr="00CA2DED">
        <w:t>,</w:t>
      </w:r>
      <w:r w:rsidRPr="00CA2DED">
        <w:rPr>
          <w:spacing w:val="-1"/>
        </w:rPr>
        <w:t xml:space="preserve"> </w:t>
      </w:r>
      <w:r w:rsidRPr="00CA2DED">
        <w:t>459</w:t>
      </w:r>
      <w:r w:rsidRPr="00CA2DED">
        <w:rPr>
          <w:spacing w:val="-1"/>
        </w:rPr>
        <w:t xml:space="preserve"> F.2d </w:t>
      </w:r>
      <w:r w:rsidRPr="00CA2DED">
        <w:t>1203</w:t>
      </w:r>
      <w:r w:rsidRPr="00CA2DED">
        <w:rPr>
          <w:spacing w:val="-1"/>
        </w:rPr>
        <w:t xml:space="preserve"> </w:t>
      </w:r>
      <w:r w:rsidRPr="00CA2DED">
        <w:t>(1973),</w:t>
      </w:r>
      <w:r w:rsidRPr="00CA2DED">
        <w:rPr>
          <w:spacing w:val="-1"/>
        </w:rPr>
        <w:t xml:space="preserve"> </w:t>
      </w:r>
      <w:r w:rsidRPr="00CA2DED">
        <w:rPr>
          <w:i/>
        </w:rPr>
        <w:t>cert.</w:t>
      </w:r>
      <w:r w:rsidRPr="00CA2DED">
        <w:rPr>
          <w:i/>
          <w:spacing w:val="-2"/>
        </w:rPr>
        <w:t xml:space="preserve"> </w:t>
      </w:r>
      <w:r w:rsidRPr="00CA2DED">
        <w:rPr>
          <w:i/>
          <w:spacing w:val="-1"/>
        </w:rPr>
        <w:t>denied</w:t>
      </w:r>
      <w:r w:rsidRPr="00CA2DED">
        <w:rPr>
          <w:spacing w:val="-1"/>
        </w:rPr>
        <w:t>,</w:t>
      </w:r>
      <w:r w:rsidRPr="00CA2DED">
        <w:t xml:space="preserve"> 409</w:t>
      </w:r>
      <w:r w:rsidRPr="00CA2DED">
        <w:rPr>
          <w:spacing w:val="-1"/>
        </w:rPr>
        <w:t xml:space="preserve"> U.S. </w:t>
      </w:r>
      <w:r w:rsidRPr="00CA2DED">
        <w:t>1027</w:t>
      </w:r>
      <w:r w:rsidRPr="00CA2DED">
        <w:rPr>
          <w:spacing w:val="-1"/>
        </w:rPr>
        <w:t xml:space="preserve"> </w:t>
      </w:r>
      <w:r w:rsidRPr="00CA2DED">
        <w:t>(1972)).</w:t>
      </w:r>
    </w:p>
  </w:footnote>
  <w:footnote w:id="19">
    <w:p w:rsidR="00CE6E50" w:rsidRPr="00CA2DED" w:rsidP="00C33E3D">
      <w:pPr>
        <w:pStyle w:val="FootnoteText"/>
        <w:spacing w:after="80"/>
      </w:pPr>
      <w:r w:rsidRPr="00CA2DED">
        <w:rPr>
          <w:rStyle w:val="FootnoteReference"/>
        </w:rPr>
        <w:footnoteRef/>
      </w:r>
      <w:r w:rsidRPr="00CA2DED">
        <w:t xml:space="preserve"> Th</w:t>
      </w:r>
      <w:r w:rsidR="003961C8">
        <w:t xml:space="preserve">is waiver </w:t>
      </w:r>
      <w:r w:rsidRPr="00CA2DED">
        <w:t>do</w:t>
      </w:r>
      <w:r w:rsidR="003961C8">
        <w:t>es</w:t>
      </w:r>
      <w:r w:rsidRPr="00CA2DED">
        <w:t xml:space="preserve"> not extend to any other circumstances</w:t>
      </w:r>
      <w:r w:rsidR="003961C8">
        <w:t>, dates or times</w:t>
      </w:r>
      <w:r w:rsidRPr="00CA2DED">
        <w:t xml:space="preserve"> involving the transmission of the WEA Attention Signal</w:t>
      </w:r>
      <w:r w:rsidR="003961C8">
        <w:t>.</w:t>
      </w:r>
    </w:p>
  </w:footnote>
  <w:footnote w:id="20">
    <w:p w:rsidR="00CE6E50" w:rsidRPr="00CA2DED" w:rsidP="00C33E3D">
      <w:pPr>
        <w:pStyle w:val="FootnoteText"/>
      </w:pPr>
      <w:r w:rsidRPr="00CA2DED">
        <w:rPr>
          <w:rStyle w:val="FootnoteReference"/>
        </w:rPr>
        <w:footnoteRef/>
      </w:r>
      <w:r w:rsidRPr="00CA2DED">
        <w:t xml:space="preserve"> </w:t>
      </w:r>
      <w:r w:rsidRPr="00CA2DED">
        <w:rPr>
          <w:spacing w:val="-1"/>
        </w:rPr>
        <w:t>For</w:t>
      </w:r>
      <w:r w:rsidRPr="00CA2DED">
        <w:rPr>
          <w:spacing w:val="-4"/>
        </w:rPr>
        <w:t xml:space="preserve"> </w:t>
      </w:r>
      <w:r w:rsidRPr="00CA2DED">
        <w:rPr>
          <w:spacing w:val="-1"/>
        </w:rPr>
        <w:t>example,</w:t>
      </w:r>
      <w:r w:rsidRPr="00CA2DED">
        <w:rPr>
          <w:spacing w:val="-4"/>
        </w:rPr>
        <w:t xml:space="preserve"> </w:t>
      </w:r>
      <w:r w:rsidRPr="00CA2DED">
        <w:rPr>
          <w:spacing w:val="-1"/>
        </w:rPr>
        <w:t>transmitting</w:t>
      </w:r>
      <w:r w:rsidRPr="00CA2DED">
        <w:rPr>
          <w:spacing w:val="-5"/>
        </w:rPr>
        <w:t xml:space="preserve"> </w:t>
      </w:r>
      <w:r w:rsidRPr="00CA2DED">
        <w:t>a</w:t>
      </w:r>
      <w:r w:rsidRPr="00CA2DED">
        <w:rPr>
          <w:spacing w:val="-4"/>
        </w:rPr>
        <w:t xml:space="preserve"> </w:t>
      </w:r>
      <w:r w:rsidRPr="00CA2DED">
        <w:t>WEA</w:t>
      </w:r>
      <w:r w:rsidRPr="00CA2DED">
        <w:rPr>
          <w:spacing w:val="-5"/>
        </w:rPr>
        <w:t xml:space="preserve"> </w:t>
      </w:r>
      <w:r w:rsidRPr="00CA2DED">
        <w:t>test</w:t>
      </w:r>
      <w:r w:rsidRPr="00CA2DED">
        <w:rPr>
          <w:spacing w:val="-5"/>
        </w:rPr>
        <w:t xml:space="preserve"> </w:t>
      </w:r>
      <w:r w:rsidRPr="00CA2DED">
        <w:rPr>
          <w:spacing w:val="-1"/>
        </w:rPr>
        <w:t>message</w:t>
      </w:r>
      <w:r w:rsidRPr="00CA2DED">
        <w:rPr>
          <w:spacing w:val="-4"/>
        </w:rPr>
        <w:t xml:space="preserve"> </w:t>
      </w:r>
      <w:r w:rsidRPr="00CA2DED">
        <w:rPr>
          <w:spacing w:val="-1"/>
        </w:rPr>
        <w:t>without</w:t>
      </w:r>
      <w:r w:rsidRPr="00CA2DED">
        <w:rPr>
          <w:spacing w:val="-4"/>
        </w:rPr>
        <w:t xml:space="preserve"> </w:t>
      </w:r>
      <w:r w:rsidRPr="00CA2DED">
        <w:t>first</w:t>
      </w:r>
      <w:r w:rsidRPr="00CA2DED">
        <w:rPr>
          <w:spacing w:val="-4"/>
        </w:rPr>
        <w:t xml:space="preserve"> </w:t>
      </w:r>
      <w:r w:rsidRPr="00CA2DED">
        <w:t>informing</w:t>
      </w:r>
      <w:r w:rsidRPr="00CA2DED">
        <w:rPr>
          <w:spacing w:val="-5"/>
        </w:rPr>
        <w:t xml:space="preserve"> </w:t>
      </w:r>
      <w:r w:rsidRPr="00CA2DED">
        <w:rPr>
          <w:spacing w:val="-1"/>
        </w:rPr>
        <w:t>emergency</w:t>
      </w:r>
      <w:r w:rsidRPr="00CA2DED">
        <w:rPr>
          <w:spacing w:val="-5"/>
        </w:rPr>
        <w:t xml:space="preserve"> </w:t>
      </w:r>
      <w:r w:rsidRPr="00CA2DED">
        <w:t>responders,</w:t>
      </w:r>
      <w:r w:rsidRPr="00CA2DED">
        <w:rPr>
          <w:spacing w:val="-4"/>
        </w:rPr>
        <w:t xml:space="preserve"> such as</w:t>
      </w:r>
      <w:r w:rsidRPr="00CA2DED">
        <w:rPr>
          <w:spacing w:val="-5"/>
        </w:rPr>
        <w:t xml:space="preserve"> </w:t>
      </w:r>
      <w:r w:rsidRPr="00CA2DED">
        <w:t>9-1-1</w:t>
      </w:r>
      <w:r w:rsidRPr="00CA2DED">
        <w:rPr>
          <w:spacing w:val="-4"/>
        </w:rPr>
        <w:t xml:space="preserve"> </w:t>
      </w:r>
      <w:r w:rsidRPr="00CA2DED">
        <w:rPr>
          <w:spacing w:val="-1"/>
        </w:rPr>
        <w:t>call</w:t>
      </w:r>
      <w:r w:rsidRPr="00CA2DED">
        <w:rPr>
          <w:spacing w:val="75"/>
          <w:w w:val="99"/>
        </w:rPr>
        <w:t xml:space="preserve"> </w:t>
      </w:r>
      <w:r w:rsidRPr="00CA2DED">
        <w:rPr>
          <w:spacing w:val="-1"/>
        </w:rPr>
        <w:t>centers,</w:t>
      </w:r>
      <w:r w:rsidRPr="00CA2DED">
        <w:rPr>
          <w:spacing w:val="-5"/>
        </w:rPr>
        <w:t xml:space="preserve"> </w:t>
      </w:r>
      <w:r w:rsidRPr="00CA2DED">
        <w:rPr>
          <w:spacing w:val="-1"/>
        </w:rPr>
        <w:t>and</w:t>
      </w:r>
      <w:r w:rsidRPr="00CA2DED">
        <w:rPr>
          <w:spacing w:val="-4"/>
        </w:rPr>
        <w:t xml:space="preserve"> </w:t>
      </w:r>
      <w:r w:rsidRPr="00CA2DED">
        <w:t>the</w:t>
      </w:r>
      <w:r w:rsidRPr="00CA2DED">
        <w:rPr>
          <w:spacing w:val="-5"/>
        </w:rPr>
        <w:t xml:space="preserve"> </w:t>
      </w:r>
      <w:r w:rsidRPr="00CA2DED">
        <w:t>public</w:t>
      </w:r>
      <w:r w:rsidRPr="00CA2DED">
        <w:rPr>
          <w:spacing w:val="-4"/>
        </w:rPr>
        <w:t xml:space="preserve"> </w:t>
      </w:r>
      <w:r w:rsidRPr="00CA2DED">
        <w:rPr>
          <w:spacing w:val="-1"/>
        </w:rPr>
        <w:t>about</w:t>
      </w:r>
      <w:r w:rsidRPr="00CA2DED">
        <w:rPr>
          <w:spacing w:val="-4"/>
        </w:rPr>
        <w:t xml:space="preserve"> </w:t>
      </w:r>
      <w:r w:rsidRPr="00CA2DED">
        <w:t>the</w:t>
      </w:r>
      <w:r w:rsidRPr="00CA2DED">
        <w:rPr>
          <w:spacing w:val="-5"/>
        </w:rPr>
        <w:t xml:space="preserve"> </w:t>
      </w:r>
      <w:r w:rsidRPr="00CA2DED">
        <w:t>test,</w:t>
      </w:r>
      <w:r w:rsidRPr="00CA2DED">
        <w:rPr>
          <w:spacing w:val="-5"/>
        </w:rPr>
        <w:t xml:space="preserve"> </w:t>
      </w:r>
      <w:r w:rsidRPr="00CA2DED">
        <w:rPr>
          <w:spacing w:val="-1"/>
        </w:rPr>
        <w:t>could</w:t>
      </w:r>
      <w:r w:rsidRPr="00CA2DED">
        <w:rPr>
          <w:spacing w:val="-4"/>
        </w:rPr>
        <w:t xml:space="preserve"> </w:t>
      </w:r>
      <w:r w:rsidRPr="00CA2DED">
        <w:t>predictably</w:t>
      </w:r>
      <w:r w:rsidRPr="00CA2DED">
        <w:rPr>
          <w:spacing w:val="-4"/>
        </w:rPr>
        <w:t xml:space="preserve"> </w:t>
      </w:r>
      <w:r w:rsidRPr="00CA2DED">
        <w:t>result</w:t>
      </w:r>
      <w:r w:rsidRPr="00CA2DED">
        <w:rPr>
          <w:spacing w:val="-4"/>
        </w:rPr>
        <w:t xml:space="preserve"> </w:t>
      </w:r>
      <w:r w:rsidRPr="00CA2DED">
        <w:t>in</w:t>
      </w:r>
      <w:r w:rsidRPr="00CA2DED">
        <w:rPr>
          <w:spacing w:val="-5"/>
        </w:rPr>
        <w:t xml:space="preserve"> </w:t>
      </w:r>
      <w:r w:rsidRPr="00CA2DED">
        <w:t>confusion</w:t>
      </w:r>
      <w:r w:rsidRPr="00CA2DED">
        <w:rPr>
          <w:spacing w:val="-5"/>
        </w:rPr>
        <w:t xml:space="preserve"> </w:t>
      </w:r>
      <w:r w:rsidRPr="00CA2DED">
        <w:t>or</w:t>
      </w:r>
      <w:r w:rsidRPr="00CA2DED">
        <w:rPr>
          <w:spacing w:val="-4"/>
        </w:rPr>
        <w:t xml:space="preserve"> </w:t>
      </w:r>
      <w:r w:rsidRPr="00CA2DED">
        <w:rPr>
          <w:spacing w:val="-1"/>
        </w:rPr>
        <w:t>panic.</w:t>
      </w:r>
    </w:p>
  </w:footnote>
  <w:footnote w:id="21">
    <w:p w:rsidR="00CE6E50" w:rsidRPr="00CA2DED" w:rsidP="00C33E3D">
      <w:pPr>
        <w:pStyle w:val="FootnoteText"/>
      </w:pPr>
      <w:r w:rsidRPr="00CA2DED">
        <w:rPr>
          <w:rStyle w:val="FootnoteReference"/>
        </w:rPr>
        <w:footnoteRef/>
      </w:r>
      <w:r w:rsidRPr="00CA2DED">
        <w:t xml:space="preserve"> </w:t>
      </w:r>
      <w:r w:rsidRPr="00CA2DED">
        <w:rPr>
          <w:i/>
        </w:rPr>
        <w:t xml:space="preserve">See </w:t>
      </w:r>
      <w:r w:rsidRPr="00CA2DED">
        <w:t>47</w:t>
      </w:r>
      <w:r w:rsidRPr="00CA2DED">
        <w:rPr>
          <w:spacing w:val="-1"/>
        </w:rPr>
        <w:t xml:space="preserve"> U.S.C.</w:t>
      </w:r>
      <w:r w:rsidRPr="00CA2DED">
        <w:t xml:space="preserve"> §</w:t>
      </w:r>
      <w:r w:rsidRPr="00CA2DED">
        <w:rPr>
          <w:spacing w:val="-1"/>
        </w:rPr>
        <w:t xml:space="preserve"> </w:t>
      </w:r>
      <w:r w:rsidRPr="00CA2DED">
        <w:t>222.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50" w:rsidP="00842C1D">
    <w:pPr>
      <w:pStyle w:val="Header"/>
    </w:pPr>
    <w:r>
      <w:tab/>
      <w:t>Federal Communications Commission</w:t>
    </w:r>
    <w:r w:rsidRPr="00842C1D" w:rsidR="00842C1D">
      <w:rPr>
        <w:spacing w:val="-2"/>
      </w:rPr>
      <w:t xml:space="preserve"> </w:t>
    </w:r>
    <w:r w:rsidR="00842C1D">
      <w:rPr>
        <w:spacing w:val="-2"/>
      </w:rPr>
      <w:t xml:space="preserve">                             DA 19-</w:t>
    </w:r>
    <w:r w:rsidR="00971A8D">
      <w:rPr>
        <w:spacing w:val="-2"/>
      </w:rPr>
      <w:t>1193</w:t>
    </w:r>
  </w:p>
  <w:p w:rsidR="00CE6E5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E6E50">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6E50" w:rsidP="00842C1D">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971A8D">
      <w:rPr>
        <w:spacing w:val="-2"/>
      </w:rPr>
      <w:t>1193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6"/>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CE"/>
    <w:rsid w:val="00033A0F"/>
    <w:rsid w:val="00034502"/>
    <w:rsid w:val="00036039"/>
    <w:rsid w:val="00037F90"/>
    <w:rsid w:val="000875BF"/>
    <w:rsid w:val="00096D8C"/>
    <w:rsid w:val="000A601E"/>
    <w:rsid w:val="000A7797"/>
    <w:rsid w:val="000C0B65"/>
    <w:rsid w:val="000E05FE"/>
    <w:rsid w:val="000E185B"/>
    <w:rsid w:val="000E3D42"/>
    <w:rsid w:val="001179F2"/>
    <w:rsid w:val="00122BD5"/>
    <w:rsid w:val="00133F79"/>
    <w:rsid w:val="00144E99"/>
    <w:rsid w:val="001709CE"/>
    <w:rsid w:val="00194A66"/>
    <w:rsid w:val="001A58D9"/>
    <w:rsid w:val="001D6BCF"/>
    <w:rsid w:val="001E01CA"/>
    <w:rsid w:val="00275CF5"/>
    <w:rsid w:val="0028301F"/>
    <w:rsid w:val="00285017"/>
    <w:rsid w:val="002A2D2E"/>
    <w:rsid w:val="002C00E8"/>
    <w:rsid w:val="002F0D69"/>
    <w:rsid w:val="002F322B"/>
    <w:rsid w:val="00343749"/>
    <w:rsid w:val="00346BBA"/>
    <w:rsid w:val="003660ED"/>
    <w:rsid w:val="00370AAC"/>
    <w:rsid w:val="0037501F"/>
    <w:rsid w:val="00395C96"/>
    <w:rsid w:val="003961C8"/>
    <w:rsid w:val="003A0CD0"/>
    <w:rsid w:val="003B0550"/>
    <w:rsid w:val="003B694F"/>
    <w:rsid w:val="003F171C"/>
    <w:rsid w:val="00400548"/>
    <w:rsid w:val="00412FC5"/>
    <w:rsid w:val="00422276"/>
    <w:rsid w:val="004242F1"/>
    <w:rsid w:val="00441EA6"/>
    <w:rsid w:val="00445A00"/>
    <w:rsid w:val="00451B0F"/>
    <w:rsid w:val="00484977"/>
    <w:rsid w:val="004A6085"/>
    <w:rsid w:val="004B3833"/>
    <w:rsid w:val="004B48C0"/>
    <w:rsid w:val="004C2EE3"/>
    <w:rsid w:val="004E4A22"/>
    <w:rsid w:val="0050570B"/>
    <w:rsid w:val="00511670"/>
    <w:rsid w:val="00511968"/>
    <w:rsid w:val="0055614C"/>
    <w:rsid w:val="005563B1"/>
    <w:rsid w:val="00556D60"/>
    <w:rsid w:val="00566D06"/>
    <w:rsid w:val="00585E15"/>
    <w:rsid w:val="005E1380"/>
    <w:rsid w:val="005E14C2"/>
    <w:rsid w:val="005E1A83"/>
    <w:rsid w:val="00607BA5"/>
    <w:rsid w:val="0061180A"/>
    <w:rsid w:val="00626EB6"/>
    <w:rsid w:val="00632D33"/>
    <w:rsid w:val="00655D03"/>
    <w:rsid w:val="00677D67"/>
    <w:rsid w:val="00683388"/>
    <w:rsid w:val="00683F84"/>
    <w:rsid w:val="006A6A81"/>
    <w:rsid w:val="006A7F29"/>
    <w:rsid w:val="006B2ADD"/>
    <w:rsid w:val="006D4EFD"/>
    <w:rsid w:val="006F5673"/>
    <w:rsid w:val="006F7393"/>
    <w:rsid w:val="0070224F"/>
    <w:rsid w:val="007115F7"/>
    <w:rsid w:val="0073396A"/>
    <w:rsid w:val="0076155B"/>
    <w:rsid w:val="00785689"/>
    <w:rsid w:val="0079754B"/>
    <w:rsid w:val="007A1E6D"/>
    <w:rsid w:val="007A4643"/>
    <w:rsid w:val="007B0EB2"/>
    <w:rsid w:val="007B3F0E"/>
    <w:rsid w:val="007D3D55"/>
    <w:rsid w:val="007D7A8D"/>
    <w:rsid w:val="007E1904"/>
    <w:rsid w:val="007F6BAF"/>
    <w:rsid w:val="008040E9"/>
    <w:rsid w:val="00810B6F"/>
    <w:rsid w:val="00822CE0"/>
    <w:rsid w:val="00841AB1"/>
    <w:rsid w:val="00842C1D"/>
    <w:rsid w:val="0087461A"/>
    <w:rsid w:val="00893636"/>
    <w:rsid w:val="008A6930"/>
    <w:rsid w:val="008C68F1"/>
    <w:rsid w:val="008D2ECE"/>
    <w:rsid w:val="00921803"/>
    <w:rsid w:val="00926503"/>
    <w:rsid w:val="0094187E"/>
    <w:rsid w:val="00942F9A"/>
    <w:rsid w:val="00971A8D"/>
    <w:rsid w:val="009726D8"/>
    <w:rsid w:val="00975EDD"/>
    <w:rsid w:val="0098718C"/>
    <w:rsid w:val="009D7308"/>
    <w:rsid w:val="009F707C"/>
    <w:rsid w:val="009F76DB"/>
    <w:rsid w:val="00A116F2"/>
    <w:rsid w:val="00A21589"/>
    <w:rsid w:val="00A32C3B"/>
    <w:rsid w:val="00A446F5"/>
    <w:rsid w:val="00A45F4F"/>
    <w:rsid w:val="00A5454E"/>
    <w:rsid w:val="00A600A9"/>
    <w:rsid w:val="00AA55B7"/>
    <w:rsid w:val="00AA5B9E"/>
    <w:rsid w:val="00AB027A"/>
    <w:rsid w:val="00AB2407"/>
    <w:rsid w:val="00AB26EB"/>
    <w:rsid w:val="00AB4FE1"/>
    <w:rsid w:val="00AB53DF"/>
    <w:rsid w:val="00AB7E8A"/>
    <w:rsid w:val="00AC4CDE"/>
    <w:rsid w:val="00AC522F"/>
    <w:rsid w:val="00B0643B"/>
    <w:rsid w:val="00B07E5C"/>
    <w:rsid w:val="00B32717"/>
    <w:rsid w:val="00B40639"/>
    <w:rsid w:val="00B73A9C"/>
    <w:rsid w:val="00B75880"/>
    <w:rsid w:val="00B811F7"/>
    <w:rsid w:val="00BA5DC6"/>
    <w:rsid w:val="00BA6196"/>
    <w:rsid w:val="00BB08D7"/>
    <w:rsid w:val="00BC6D8C"/>
    <w:rsid w:val="00C277CE"/>
    <w:rsid w:val="00C33E3D"/>
    <w:rsid w:val="00C34006"/>
    <w:rsid w:val="00C365E2"/>
    <w:rsid w:val="00C36B4C"/>
    <w:rsid w:val="00C426B1"/>
    <w:rsid w:val="00C42E03"/>
    <w:rsid w:val="00C66160"/>
    <w:rsid w:val="00C721AC"/>
    <w:rsid w:val="00C90D6A"/>
    <w:rsid w:val="00CA247E"/>
    <w:rsid w:val="00CA2DED"/>
    <w:rsid w:val="00CA6D21"/>
    <w:rsid w:val="00CC72B6"/>
    <w:rsid w:val="00CE6E50"/>
    <w:rsid w:val="00CF6FA6"/>
    <w:rsid w:val="00D0218D"/>
    <w:rsid w:val="00D12333"/>
    <w:rsid w:val="00D25FB5"/>
    <w:rsid w:val="00D44223"/>
    <w:rsid w:val="00D63946"/>
    <w:rsid w:val="00DA2529"/>
    <w:rsid w:val="00DB130A"/>
    <w:rsid w:val="00DB2EBB"/>
    <w:rsid w:val="00DC10A1"/>
    <w:rsid w:val="00DC655F"/>
    <w:rsid w:val="00DD0B59"/>
    <w:rsid w:val="00DD7EBD"/>
    <w:rsid w:val="00DF62B6"/>
    <w:rsid w:val="00E07225"/>
    <w:rsid w:val="00E352CB"/>
    <w:rsid w:val="00E5409F"/>
    <w:rsid w:val="00E81B21"/>
    <w:rsid w:val="00E85981"/>
    <w:rsid w:val="00E935A7"/>
    <w:rsid w:val="00EC1A2E"/>
    <w:rsid w:val="00EC3783"/>
    <w:rsid w:val="00ED302C"/>
    <w:rsid w:val="00EE6488"/>
    <w:rsid w:val="00F021FA"/>
    <w:rsid w:val="00F62E97"/>
    <w:rsid w:val="00F64209"/>
    <w:rsid w:val="00F93BF5"/>
    <w:rsid w:val="00FB4D6E"/>
    <w:rsid w:val="00FC119D"/>
    <w:rsid w:val="00FD4EAC"/>
    <w:rsid w:val="00FD5A14"/>
    <w:rsid w:val="00FE05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5A8F8C0-F63D-467E-B1EF-0E824AA9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42C1D"/>
    <w:pP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1,Footnote Text Char1 Char Char Char1,Footnote Text Char1 Char Char2,Footnote Text Char1 Char1 Char Char Char Char Char1,Footnote Text Char2 Char Char,Footnote Text Char2 Char2"/>
    <w:link w:val="FootnoteText"/>
    <w:rsid w:val="00C33E3D"/>
  </w:style>
  <w:style w:type="character" w:customStyle="1" w:styleId="ParaNumChar">
    <w:name w:val="ParaNum Char"/>
    <w:link w:val="ParaNum"/>
    <w:locked/>
    <w:rsid w:val="00C33E3D"/>
    <w:rPr>
      <w:snapToGrid w:val="0"/>
      <w:kern w:val="28"/>
      <w:sz w:val="22"/>
    </w:rPr>
  </w:style>
  <w:style w:type="character" w:customStyle="1" w:styleId="UnresolvedMention1">
    <w:name w:val="Unresolved Mention1"/>
    <w:basedOn w:val="DefaultParagraphFont"/>
    <w:uiPriority w:val="99"/>
    <w:semiHidden/>
    <w:unhideWhenUsed/>
    <w:rsid w:val="00556D60"/>
    <w:rPr>
      <w:color w:val="605E5C"/>
      <w:shd w:val="clear" w:color="auto" w:fill="E1DFDD"/>
    </w:rPr>
  </w:style>
  <w:style w:type="paragraph" w:styleId="BalloonText">
    <w:name w:val="Balloon Text"/>
    <w:basedOn w:val="Normal"/>
    <w:link w:val="BalloonTextChar"/>
    <w:rsid w:val="00556D60"/>
    <w:rPr>
      <w:rFonts w:ascii="Segoe UI" w:hAnsi="Segoe UI" w:cs="Segoe UI"/>
      <w:sz w:val="18"/>
      <w:szCs w:val="18"/>
    </w:rPr>
  </w:style>
  <w:style w:type="character" w:customStyle="1" w:styleId="BalloonTextChar">
    <w:name w:val="Balloon Text Char"/>
    <w:basedOn w:val="DefaultParagraphFont"/>
    <w:link w:val="BalloonText"/>
    <w:rsid w:val="00556D60"/>
    <w:rPr>
      <w:rFonts w:ascii="Segoe UI" w:hAnsi="Segoe UI" w:cs="Segoe UI"/>
      <w:snapToGrid w:val="0"/>
      <w:kern w:val="28"/>
      <w:sz w:val="18"/>
      <w:szCs w:val="18"/>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rsid w:val="00677D67"/>
  </w:style>
  <w:style w:type="paragraph" w:styleId="BodyText">
    <w:name w:val="Body Text"/>
    <w:basedOn w:val="Normal"/>
    <w:link w:val="BodyTextChar"/>
    <w:uiPriority w:val="1"/>
    <w:qFormat/>
    <w:rsid w:val="0037501F"/>
    <w:pPr>
      <w:autoSpaceDE w:val="0"/>
      <w:autoSpaceDN w:val="0"/>
      <w:adjustRightInd w:val="0"/>
      <w:ind w:left="132" w:hanging="5"/>
    </w:pPr>
    <w:rPr>
      <w:rFonts w:eastAsiaTheme="minorEastAsia"/>
      <w:snapToGrid/>
      <w:kern w:val="0"/>
      <w:szCs w:val="22"/>
    </w:rPr>
  </w:style>
  <w:style w:type="character" w:customStyle="1" w:styleId="BodyTextChar">
    <w:name w:val="Body Text Char"/>
    <w:basedOn w:val="DefaultParagraphFont"/>
    <w:link w:val="BodyText"/>
    <w:uiPriority w:val="1"/>
    <w:rsid w:val="0037501F"/>
    <w:rPr>
      <w:rFonts w:eastAsiaTheme="minorEastAsia"/>
      <w:sz w:val="22"/>
      <w:szCs w:val="22"/>
    </w:rPr>
  </w:style>
  <w:style w:type="character" w:customStyle="1" w:styleId="UnresolvedMention">
    <w:name w:val="Unresolved Mention"/>
    <w:basedOn w:val="DefaultParagraphFont"/>
    <w:rsid w:val="00B40639"/>
    <w:rPr>
      <w:color w:val="605E5C"/>
      <w:shd w:val="clear" w:color="auto" w:fill="E1DFDD"/>
    </w:rPr>
  </w:style>
  <w:style w:type="character" w:styleId="CommentReference">
    <w:name w:val="annotation reference"/>
    <w:basedOn w:val="DefaultParagraphFont"/>
    <w:rsid w:val="00585E15"/>
    <w:rPr>
      <w:sz w:val="16"/>
      <w:szCs w:val="16"/>
    </w:rPr>
  </w:style>
  <w:style w:type="paragraph" w:styleId="CommentText">
    <w:name w:val="annotation text"/>
    <w:basedOn w:val="Normal"/>
    <w:link w:val="CommentTextChar"/>
    <w:rsid w:val="00585E15"/>
    <w:rPr>
      <w:sz w:val="20"/>
    </w:rPr>
  </w:style>
  <w:style w:type="character" w:customStyle="1" w:styleId="CommentTextChar">
    <w:name w:val="Comment Text Char"/>
    <w:basedOn w:val="DefaultParagraphFont"/>
    <w:link w:val="CommentText"/>
    <w:rsid w:val="00585E15"/>
    <w:rPr>
      <w:snapToGrid w:val="0"/>
      <w:kern w:val="28"/>
    </w:rPr>
  </w:style>
  <w:style w:type="paragraph" w:styleId="CommentSubject">
    <w:name w:val="annotation subject"/>
    <w:basedOn w:val="CommentText"/>
    <w:next w:val="CommentText"/>
    <w:link w:val="CommentSubjectChar"/>
    <w:rsid w:val="00585E15"/>
    <w:rPr>
      <w:b/>
      <w:bCs/>
    </w:rPr>
  </w:style>
  <w:style w:type="character" w:customStyle="1" w:styleId="CommentSubjectChar">
    <w:name w:val="Comment Subject Char"/>
    <w:basedOn w:val="CommentTextChar"/>
    <w:link w:val="CommentSubject"/>
    <w:rsid w:val="00585E1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public-safety-support-center"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10.10&amp;originatingDoc=Ibfa320bd29dd11e8a2e69b122173a65f&amp;refType=RB&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