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E06C0" w:rsidRPr="00864F9C" w:rsidP="00CE06C0" w14:paraId="51276FFC" w14:textId="77777777">
      <w:pPr>
        <w:jc w:val="right"/>
        <w:rPr>
          <w:b/>
          <w:szCs w:val="22"/>
        </w:rPr>
      </w:pPr>
    </w:p>
    <w:p w:rsidR="00CE06C0" w:rsidRPr="00864F9C" w:rsidP="00CE06C0" w14:paraId="70FFF4BB" w14:textId="51300783">
      <w:pPr>
        <w:jc w:val="right"/>
        <w:rPr>
          <w:b/>
          <w:szCs w:val="22"/>
        </w:rPr>
      </w:pPr>
      <w:r w:rsidRPr="00864F9C">
        <w:rPr>
          <w:b/>
          <w:szCs w:val="22"/>
        </w:rPr>
        <w:t>DA 1</w:t>
      </w:r>
      <w:r w:rsidRPr="00864F9C" w:rsidR="00266963">
        <w:rPr>
          <w:b/>
          <w:szCs w:val="22"/>
        </w:rPr>
        <w:t>9</w:t>
      </w:r>
      <w:r w:rsidRPr="00864F9C">
        <w:rPr>
          <w:b/>
          <w:szCs w:val="22"/>
        </w:rPr>
        <w:t>-</w:t>
      </w:r>
      <w:r w:rsidR="00407756">
        <w:rPr>
          <w:b/>
          <w:szCs w:val="22"/>
        </w:rPr>
        <w:t>1198</w:t>
      </w:r>
      <w:bookmarkStart w:id="0" w:name="_GoBack"/>
      <w:bookmarkEnd w:id="0"/>
    </w:p>
    <w:p w:rsidR="00CE06C0" w:rsidRPr="00864F9C" w:rsidP="00CE06C0" w14:paraId="265C9023" w14:textId="336E8E42">
      <w:pPr>
        <w:jc w:val="right"/>
        <w:rPr>
          <w:b/>
          <w:szCs w:val="22"/>
        </w:rPr>
      </w:pPr>
      <w:r w:rsidRPr="00864F9C">
        <w:rPr>
          <w:b/>
          <w:szCs w:val="22"/>
        </w:rPr>
        <w:t xml:space="preserve">Released:  </w:t>
      </w:r>
      <w:r w:rsidR="00407756">
        <w:rPr>
          <w:b/>
          <w:szCs w:val="22"/>
        </w:rPr>
        <w:t>November 21</w:t>
      </w:r>
      <w:r w:rsidRPr="00864F9C" w:rsidR="00F8401C">
        <w:rPr>
          <w:b/>
          <w:szCs w:val="22"/>
        </w:rPr>
        <w:t>, 2019</w:t>
      </w:r>
    </w:p>
    <w:p w:rsidR="00CE06C0" w:rsidRPr="00864F9C" w:rsidP="00CE06C0" w14:paraId="48125F43" w14:textId="77777777">
      <w:pPr>
        <w:jc w:val="right"/>
        <w:rPr>
          <w:szCs w:val="22"/>
        </w:rPr>
      </w:pPr>
    </w:p>
    <w:p w:rsidR="00CE06C0" w:rsidRPr="00864F9C" w:rsidP="00CE06C0" w14:paraId="03DD714C" w14:textId="77777777">
      <w:pPr>
        <w:jc w:val="right"/>
        <w:rPr>
          <w:szCs w:val="22"/>
        </w:rPr>
      </w:pPr>
    </w:p>
    <w:p w:rsidR="00593D65" w:rsidRPr="00864F9C" w:rsidP="00593D65" w14:paraId="61502FEC" w14:textId="77777777">
      <w:pPr>
        <w:jc w:val="center"/>
        <w:rPr>
          <w:b/>
          <w:szCs w:val="22"/>
        </w:rPr>
      </w:pPr>
      <w:r w:rsidRPr="00864F9C">
        <w:rPr>
          <w:b/>
          <w:szCs w:val="22"/>
        </w:rPr>
        <w:t>OFFICE OF ENGINEERING AND TECHNOLOGY SEEKS COMMENT ON LEICA GEOSYSTEMS AG’S REQUEST FOR WAIVER OF SECTION 15.255 OF THE RULES TO OPERATE RADAR</w:t>
      </w:r>
      <w:r w:rsidR="001F2A96">
        <w:rPr>
          <w:b/>
          <w:szCs w:val="22"/>
        </w:rPr>
        <w:t>S</w:t>
      </w:r>
      <w:r w:rsidRPr="00864F9C">
        <w:rPr>
          <w:b/>
          <w:szCs w:val="22"/>
        </w:rPr>
        <w:t xml:space="preserve"> ON A COMMERCIAL UNMANNED AERIAL VEHICLE (UAV)</w:t>
      </w:r>
    </w:p>
    <w:p w:rsidR="00CE06C0" w:rsidRPr="00864F9C" w:rsidP="00CE06C0" w14:paraId="5C4B5D3B" w14:textId="77777777">
      <w:pPr>
        <w:jc w:val="center"/>
        <w:rPr>
          <w:b/>
          <w:szCs w:val="22"/>
        </w:rPr>
      </w:pPr>
    </w:p>
    <w:p w:rsidR="00CE06C0" w:rsidRPr="00864F9C" w:rsidP="00CE06C0" w14:paraId="52447ADF" w14:textId="33543EFD">
      <w:pPr>
        <w:jc w:val="center"/>
        <w:rPr>
          <w:b/>
          <w:szCs w:val="22"/>
        </w:rPr>
      </w:pPr>
      <w:r w:rsidRPr="00864F9C">
        <w:rPr>
          <w:b/>
          <w:szCs w:val="22"/>
        </w:rPr>
        <w:t>ET Docket No. 1</w:t>
      </w:r>
      <w:r w:rsidRPr="00864F9C" w:rsidR="00266963">
        <w:rPr>
          <w:b/>
          <w:szCs w:val="22"/>
        </w:rPr>
        <w:t>9</w:t>
      </w:r>
      <w:r w:rsidRPr="00864F9C">
        <w:rPr>
          <w:b/>
          <w:szCs w:val="22"/>
        </w:rPr>
        <w:t>-</w:t>
      </w:r>
      <w:r w:rsidR="00407756">
        <w:rPr>
          <w:b/>
          <w:szCs w:val="22"/>
        </w:rPr>
        <w:t>350</w:t>
      </w:r>
    </w:p>
    <w:p w:rsidR="00CE06C0" w:rsidRPr="00864F9C" w:rsidP="00CE06C0" w14:paraId="282AA012" w14:textId="77777777">
      <w:pPr>
        <w:jc w:val="center"/>
        <w:rPr>
          <w:b/>
          <w:szCs w:val="22"/>
        </w:rPr>
      </w:pPr>
    </w:p>
    <w:p w:rsidR="005957E9" w:rsidRPr="00864F9C" w:rsidP="005957E9" w14:paraId="064B8AF7" w14:textId="77777777">
      <w:pPr>
        <w:rPr>
          <w:b/>
          <w:szCs w:val="22"/>
        </w:rPr>
      </w:pPr>
      <w:r w:rsidRPr="00864F9C">
        <w:rPr>
          <w:b/>
          <w:szCs w:val="22"/>
        </w:rPr>
        <w:t>Comment Date</w:t>
      </w:r>
      <w:r w:rsidRPr="00864F9C" w:rsidR="00B7366C">
        <w:rPr>
          <w:b/>
          <w:szCs w:val="22"/>
        </w:rPr>
        <w:t>: [</w:t>
      </w:r>
      <w:r w:rsidRPr="00864F9C">
        <w:rPr>
          <w:b/>
          <w:szCs w:val="22"/>
        </w:rPr>
        <w:t>30 days after release]</w:t>
      </w:r>
    </w:p>
    <w:p w:rsidR="00CE06C0" w:rsidRPr="00864F9C" w:rsidP="005957E9" w14:paraId="1B1ED098" w14:textId="77777777">
      <w:pPr>
        <w:rPr>
          <w:b/>
          <w:szCs w:val="22"/>
        </w:rPr>
      </w:pPr>
      <w:r w:rsidRPr="00864F9C">
        <w:rPr>
          <w:b/>
          <w:szCs w:val="22"/>
        </w:rPr>
        <w:t>Reply Comment Date</w:t>
      </w:r>
      <w:r w:rsidRPr="00864F9C" w:rsidR="00B7366C">
        <w:rPr>
          <w:b/>
          <w:szCs w:val="22"/>
        </w:rPr>
        <w:t>: [</w:t>
      </w:r>
      <w:r w:rsidRPr="00864F9C">
        <w:rPr>
          <w:b/>
          <w:szCs w:val="22"/>
        </w:rPr>
        <w:t>15 days after comment date]</w:t>
      </w:r>
    </w:p>
    <w:p w:rsidR="00CE06C0" w:rsidRPr="00864F9C" w:rsidP="00CE06C0" w14:paraId="083506CD" w14:textId="77777777">
      <w:pPr>
        <w:rPr>
          <w:b/>
          <w:szCs w:val="22"/>
        </w:rPr>
      </w:pPr>
    </w:p>
    <w:p w:rsidR="005957E9" w:rsidRPr="00864F9C" w:rsidP="005957E9" w14:paraId="7552A70F" w14:textId="1AA411A4">
      <w:pPr>
        <w:autoSpaceDE w:val="0"/>
        <w:autoSpaceDN w:val="0"/>
        <w:adjustRightInd w:val="0"/>
        <w:ind w:firstLine="720"/>
        <w:rPr>
          <w:szCs w:val="22"/>
        </w:rPr>
      </w:pPr>
      <w:r w:rsidRPr="00864F9C">
        <w:rPr>
          <w:szCs w:val="22"/>
        </w:rPr>
        <w:t>On Sep</w:t>
      </w:r>
      <w:r w:rsidR="00E166C5">
        <w:rPr>
          <w:szCs w:val="22"/>
        </w:rPr>
        <w:t>tember</w:t>
      </w:r>
      <w:r w:rsidRPr="00864F9C">
        <w:rPr>
          <w:szCs w:val="22"/>
        </w:rPr>
        <w:t xml:space="preserve"> 5, 2019, Leica Geosystems AG (Leica) filed a request for waiver of Section 15.255 of the Commission’s rules</w:t>
      </w:r>
      <w:r>
        <w:rPr>
          <w:rStyle w:val="FootnoteReference"/>
          <w:sz w:val="22"/>
          <w:szCs w:val="22"/>
        </w:rPr>
        <w:footnoteReference w:id="2"/>
      </w:r>
      <w:r w:rsidRPr="00864F9C">
        <w:rPr>
          <w:szCs w:val="22"/>
        </w:rPr>
        <w:t xml:space="preserve"> to allow the operation of</w:t>
      </w:r>
      <w:r w:rsidRPr="00864F9C" w:rsidR="002679D9">
        <w:rPr>
          <w:szCs w:val="22"/>
        </w:rPr>
        <w:t xml:space="preserve"> </w:t>
      </w:r>
      <w:r w:rsidR="0068269B">
        <w:rPr>
          <w:szCs w:val="22"/>
        </w:rPr>
        <w:t>its “Ictos”</w:t>
      </w:r>
      <w:r w:rsidRPr="00864F9C" w:rsidR="002679D9">
        <w:rPr>
          <w:szCs w:val="22"/>
        </w:rPr>
        <w:t xml:space="preserve"> radar system</w:t>
      </w:r>
      <w:r w:rsidRPr="00864F9C">
        <w:rPr>
          <w:szCs w:val="22"/>
        </w:rPr>
        <w:t xml:space="preserve"> </w:t>
      </w:r>
      <w:r w:rsidR="00C42516">
        <w:rPr>
          <w:szCs w:val="22"/>
        </w:rPr>
        <w:t>installed</w:t>
      </w:r>
      <w:r w:rsidRPr="00864F9C">
        <w:rPr>
          <w:szCs w:val="22"/>
        </w:rPr>
        <w:t xml:space="preserve"> on commercial unmanned vehicle</w:t>
      </w:r>
      <w:r w:rsidR="0068269B">
        <w:rPr>
          <w:szCs w:val="22"/>
        </w:rPr>
        <w:t>s</w:t>
      </w:r>
      <w:r w:rsidRPr="00864F9C">
        <w:rPr>
          <w:szCs w:val="22"/>
        </w:rPr>
        <w:t xml:space="preserve"> (UAV), i.e., flying drone</w:t>
      </w:r>
      <w:r w:rsidR="0068269B">
        <w:rPr>
          <w:szCs w:val="22"/>
        </w:rPr>
        <w:t>s</w:t>
      </w:r>
      <w:r w:rsidRPr="00864F9C">
        <w:rPr>
          <w:szCs w:val="22"/>
        </w:rPr>
        <w:t>.</w:t>
      </w:r>
      <w:r>
        <w:rPr>
          <w:rStyle w:val="FootnoteReference"/>
          <w:sz w:val="22"/>
          <w:szCs w:val="22"/>
        </w:rPr>
        <w:footnoteReference w:id="3"/>
      </w:r>
      <w:r w:rsidRPr="00864F9C">
        <w:rPr>
          <w:szCs w:val="22"/>
        </w:rPr>
        <w:t xml:space="preserve">  </w:t>
      </w:r>
      <w:r w:rsidRPr="00864F9C" w:rsidR="00E65020">
        <w:rPr>
          <w:szCs w:val="22"/>
        </w:rPr>
        <w:t xml:space="preserve">The Ictos </w:t>
      </w:r>
      <w:r w:rsidRPr="00864F9C" w:rsidR="00F71071">
        <w:rPr>
          <w:szCs w:val="22"/>
        </w:rPr>
        <w:t xml:space="preserve">system </w:t>
      </w:r>
      <w:r w:rsidRPr="00864F9C" w:rsidR="002679D9">
        <w:rPr>
          <w:szCs w:val="22"/>
        </w:rPr>
        <w:t xml:space="preserve">is composed of multiple </w:t>
      </w:r>
      <w:r w:rsidRPr="00864F9C" w:rsidR="00E65020">
        <w:rPr>
          <w:szCs w:val="22"/>
        </w:rPr>
        <w:t>radar</w:t>
      </w:r>
      <w:r w:rsidRPr="00864F9C" w:rsidR="002679D9">
        <w:rPr>
          <w:szCs w:val="22"/>
        </w:rPr>
        <w:t xml:space="preserve"> modules </w:t>
      </w:r>
      <w:r w:rsidRPr="00864F9C" w:rsidR="00EE7F04">
        <w:rPr>
          <w:szCs w:val="22"/>
        </w:rPr>
        <w:t>operat</w:t>
      </w:r>
      <w:r w:rsidRPr="00864F9C" w:rsidR="002679D9">
        <w:rPr>
          <w:szCs w:val="22"/>
        </w:rPr>
        <w:t>ing</w:t>
      </w:r>
      <w:r w:rsidRPr="00864F9C" w:rsidR="00EE7F04">
        <w:rPr>
          <w:szCs w:val="22"/>
        </w:rPr>
        <w:t xml:space="preserve"> in the 60</w:t>
      </w:r>
      <w:r w:rsidRPr="00864F9C" w:rsidR="00EE7F04">
        <w:rPr>
          <w:szCs w:val="22"/>
        </w:rPr>
        <w:noBreakHyphen/>
        <w:t xml:space="preserve">64 GHz </w:t>
      </w:r>
      <w:r w:rsidRPr="00864F9C" w:rsidR="002679D9">
        <w:rPr>
          <w:szCs w:val="22"/>
        </w:rPr>
        <w:t xml:space="preserve">frequency </w:t>
      </w:r>
      <w:r w:rsidRPr="00864F9C" w:rsidR="00EE7F04">
        <w:rPr>
          <w:szCs w:val="22"/>
        </w:rPr>
        <w:t xml:space="preserve">band </w:t>
      </w:r>
      <w:r w:rsidR="00B82B7D">
        <w:rPr>
          <w:szCs w:val="22"/>
        </w:rPr>
        <w:t xml:space="preserve">that will be used for hazard detection </w:t>
      </w:r>
      <w:r w:rsidRPr="00864F9C" w:rsidR="00800DF3">
        <w:rPr>
          <w:szCs w:val="22"/>
        </w:rPr>
        <w:t>while in flight</w:t>
      </w:r>
      <w:r w:rsidR="001F2A96">
        <w:rPr>
          <w:szCs w:val="22"/>
        </w:rPr>
        <w:t>,</w:t>
      </w:r>
      <w:r w:rsidRPr="00864F9C" w:rsidR="00800DF3">
        <w:rPr>
          <w:szCs w:val="22"/>
        </w:rPr>
        <w:t xml:space="preserve"> </w:t>
      </w:r>
      <w:r w:rsidR="0068269B">
        <w:rPr>
          <w:szCs w:val="22"/>
        </w:rPr>
        <w:t>which</w:t>
      </w:r>
      <w:r w:rsidR="000222B6">
        <w:rPr>
          <w:szCs w:val="22"/>
        </w:rPr>
        <w:t xml:space="preserve"> it claims </w:t>
      </w:r>
      <w:r w:rsidR="0068269B">
        <w:rPr>
          <w:szCs w:val="22"/>
        </w:rPr>
        <w:t xml:space="preserve">will permit </w:t>
      </w:r>
      <w:r w:rsidR="000222B6">
        <w:rPr>
          <w:szCs w:val="22"/>
        </w:rPr>
        <w:t>a UAV to acquire close-up views of structural exteriors that would otherwise be difficult to safe</w:t>
      </w:r>
      <w:r w:rsidR="001B775F">
        <w:rPr>
          <w:szCs w:val="22"/>
        </w:rPr>
        <w:t>l</w:t>
      </w:r>
      <w:r w:rsidR="000222B6">
        <w:rPr>
          <w:szCs w:val="22"/>
        </w:rPr>
        <w:t>y obtain</w:t>
      </w:r>
      <w:r w:rsidRPr="00864F9C" w:rsidR="00EE7F04">
        <w:rPr>
          <w:szCs w:val="22"/>
        </w:rPr>
        <w:t>.</w:t>
      </w:r>
      <w:r>
        <w:rPr>
          <w:rStyle w:val="FootnoteReference"/>
          <w:sz w:val="22"/>
          <w:szCs w:val="22"/>
        </w:rPr>
        <w:footnoteReference w:id="4"/>
      </w:r>
      <w:r w:rsidRPr="00864F9C" w:rsidR="00EE7F04">
        <w:rPr>
          <w:szCs w:val="22"/>
        </w:rPr>
        <w:t xml:space="preserve"> </w:t>
      </w:r>
      <w:r w:rsidRPr="00864F9C" w:rsidR="003662C3">
        <w:rPr>
          <w:szCs w:val="22"/>
        </w:rPr>
        <w:t xml:space="preserve"> </w:t>
      </w:r>
      <w:r w:rsidRPr="00864F9C">
        <w:rPr>
          <w:szCs w:val="22"/>
        </w:rPr>
        <w:t>The Commission’s Office of Engineering and Technology (OET) seeks comment on this request.</w:t>
      </w:r>
      <w:r w:rsidRPr="0068269B" w:rsidR="0068269B">
        <w:rPr>
          <w:rStyle w:val="EndnoteReference"/>
          <w:szCs w:val="22"/>
        </w:rPr>
        <w:t xml:space="preserve"> </w:t>
      </w:r>
    </w:p>
    <w:p w:rsidR="008E7516" w:rsidRPr="00864F9C" w:rsidP="00CE06C0" w14:paraId="7EDFDA50" w14:textId="77777777">
      <w:pPr>
        <w:autoSpaceDE w:val="0"/>
        <w:autoSpaceDN w:val="0"/>
        <w:adjustRightInd w:val="0"/>
        <w:ind w:firstLine="720"/>
        <w:rPr>
          <w:szCs w:val="22"/>
        </w:rPr>
      </w:pPr>
    </w:p>
    <w:p w:rsidR="00FD40A0" w:rsidRPr="00864F9C" w:rsidP="00FD40A0" w14:paraId="6CC7369B" w14:textId="620D1C1D">
      <w:pPr>
        <w:autoSpaceDE w:val="0"/>
        <w:autoSpaceDN w:val="0"/>
        <w:adjustRightInd w:val="0"/>
        <w:ind w:firstLine="720"/>
        <w:rPr>
          <w:szCs w:val="22"/>
        </w:rPr>
      </w:pPr>
      <w:r w:rsidRPr="00864F9C">
        <w:rPr>
          <w:szCs w:val="22"/>
        </w:rPr>
        <w:t xml:space="preserve">Leica states that the collision between a UAV and a structure </w:t>
      </w:r>
      <w:r w:rsidRPr="00864F9C" w:rsidR="00982681">
        <w:rPr>
          <w:szCs w:val="22"/>
        </w:rPr>
        <w:t xml:space="preserve">that </w:t>
      </w:r>
      <w:r w:rsidRPr="00864F9C">
        <w:rPr>
          <w:szCs w:val="22"/>
        </w:rPr>
        <w:t xml:space="preserve">it is scanning risks damage to the UAV and to the structure, </w:t>
      </w:r>
      <w:r w:rsidRPr="00864F9C" w:rsidR="00982681">
        <w:rPr>
          <w:szCs w:val="22"/>
        </w:rPr>
        <w:t>as well as</w:t>
      </w:r>
      <w:r w:rsidRPr="00864F9C">
        <w:rPr>
          <w:szCs w:val="22"/>
        </w:rPr>
        <w:t xml:space="preserve"> injury to persons on the ground; therefore, Leica argues that the prevention of such collision</w:t>
      </w:r>
      <w:r w:rsidR="001B775F">
        <w:rPr>
          <w:szCs w:val="22"/>
        </w:rPr>
        <w:t>s</w:t>
      </w:r>
      <w:r w:rsidRPr="00864F9C">
        <w:rPr>
          <w:szCs w:val="22"/>
        </w:rPr>
        <w:t xml:space="preserve"> and their associated harm</w:t>
      </w:r>
      <w:r w:rsidR="001B775F">
        <w:rPr>
          <w:szCs w:val="22"/>
        </w:rPr>
        <w:t>s</w:t>
      </w:r>
      <w:r w:rsidRPr="00864F9C">
        <w:rPr>
          <w:szCs w:val="22"/>
        </w:rPr>
        <w:t xml:space="preserve"> </w:t>
      </w:r>
      <w:r w:rsidR="007B1533">
        <w:rPr>
          <w:szCs w:val="22"/>
        </w:rPr>
        <w:t xml:space="preserve">to both buildings and people </w:t>
      </w:r>
      <w:r w:rsidRPr="00864F9C">
        <w:rPr>
          <w:szCs w:val="22"/>
        </w:rPr>
        <w:t>by use of the Ictos system is in the public interest.</w:t>
      </w:r>
      <w:r>
        <w:rPr>
          <w:rStyle w:val="FootnoteReference"/>
          <w:sz w:val="22"/>
          <w:szCs w:val="22"/>
        </w:rPr>
        <w:footnoteReference w:id="5"/>
      </w:r>
      <w:r w:rsidRPr="00864F9C">
        <w:rPr>
          <w:szCs w:val="22"/>
        </w:rPr>
        <w:t xml:space="preserve">  </w:t>
      </w:r>
      <w:r w:rsidR="000E3146">
        <w:rPr>
          <w:szCs w:val="22"/>
        </w:rPr>
        <w:t xml:space="preserve">Leica states that </w:t>
      </w:r>
      <w:r w:rsidR="00DD1031">
        <w:rPr>
          <w:szCs w:val="22"/>
        </w:rPr>
        <w:t>use of t</w:t>
      </w:r>
      <w:r w:rsidR="000E3146">
        <w:rPr>
          <w:szCs w:val="22"/>
        </w:rPr>
        <w:t xml:space="preserve">he 60 GHz band </w:t>
      </w:r>
      <w:r w:rsidRPr="00864F9C" w:rsidR="00B82B7D">
        <w:rPr>
          <w:szCs w:val="22"/>
        </w:rPr>
        <w:t>to provide full 360</w:t>
      </w:r>
      <w:r w:rsidR="00B82B7D">
        <w:rPr>
          <w:szCs w:val="22"/>
        </w:rPr>
        <w:t>-</w:t>
      </w:r>
      <w:r w:rsidRPr="00864F9C" w:rsidR="00B82B7D">
        <w:rPr>
          <w:szCs w:val="22"/>
        </w:rPr>
        <w:t xml:space="preserve">degree spherical obstacle detection </w:t>
      </w:r>
      <w:r w:rsidR="00DD1031">
        <w:rPr>
          <w:szCs w:val="22"/>
        </w:rPr>
        <w:t>provides the</w:t>
      </w:r>
      <w:r w:rsidR="000E3146">
        <w:rPr>
          <w:szCs w:val="22"/>
        </w:rPr>
        <w:t xml:space="preserve"> necessary bandwidth </w:t>
      </w:r>
      <w:r w:rsidR="00BC2EC4">
        <w:rPr>
          <w:szCs w:val="22"/>
        </w:rPr>
        <w:t>t</w:t>
      </w:r>
      <w:r w:rsidR="000E3146">
        <w:rPr>
          <w:szCs w:val="22"/>
        </w:rPr>
        <w:t xml:space="preserve">o </w:t>
      </w:r>
      <w:r w:rsidR="00DD1031">
        <w:rPr>
          <w:szCs w:val="22"/>
        </w:rPr>
        <w:t xml:space="preserve">identify </w:t>
      </w:r>
      <w:r w:rsidR="00B82B7D">
        <w:rPr>
          <w:szCs w:val="22"/>
        </w:rPr>
        <w:t>potential hazards to flight safety</w:t>
      </w:r>
      <w:r w:rsidR="00DD1031">
        <w:rPr>
          <w:szCs w:val="22"/>
        </w:rPr>
        <w:t xml:space="preserve">, </w:t>
      </w:r>
      <w:r w:rsidR="000E3146">
        <w:rPr>
          <w:szCs w:val="22"/>
        </w:rPr>
        <w:t xml:space="preserve">such as </w:t>
      </w:r>
      <w:r w:rsidR="00B85CF6">
        <w:rPr>
          <w:szCs w:val="22"/>
        </w:rPr>
        <w:t>cables and ropes</w:t>
      </w:r>
      <w:r w:rsidR="00DD1031">
        <w:rPr>
          <w:szCs w:val="22"/>
        </w:rPr>
        <w:t>, that can be as small as 2.5 millimeters.</w:t>
      </w:r>
      <w:r w:rsidR="00B85CF6">
        <w:rPr>
          <w:szCs w:val="22"/>
        </w:rPr>
        <w:t xml:space="preserve">  </w:t>
      </w:r>
      <w:r w:rsidRPr="00864F9C">
        <w:rPr>
          <w:szCs w:val="22"/>
        </w:rPr>
        <w:t xml:space="preserve">Leica further states that the design of the Ictos radar system along with </w:t>
      </w:r>
      <w:r w:rsidR="007048E4">
        <w:rPr>
          <w:szCs w:val="22"/>
        </w:rPr>
        <w:t xml:space="preserve">their </w:t>
      </w:r>
      <w:r w:rsidRPr="00864F9C">
        <w:rPr>
          <w:szCs w:val="22"/>
        </w:rPr>
        <w:t>proposed waiver conditions would not cause harmful interference to other radio services.</w:t>
      </w:r>
      <w:r>
        <w:rPr>
          <w:rStyle w:val="FootnoteReference"/>
          <w:sz w:val="22"/>
          <w:szCs w:val="22"/>
        </w:rPr>
        <w:footnoteReference w:id="6"/>
      </w:r>
      <w:r w:rsidRPr="00864F9C">
        <w:rPr>
          <w:szCs w:val="22"/>
        </w:rPr>
        <w:t xml:space="preserve"> </w:t>
      </w:r>
    </w:p>
    <w:p w:rsidR="00FD40A0" w:rsidRPr="00864F9C" w:rsidP="00CE06C0" w14:paraId="3186C8C7" w14:textId="77777777">
      <w:pPr>
        <w:autoSpaceDE w:val="0"/>
        <w:autoSpaceDN w:val="0"/>
        <w:adjustRightInd w:val="0"/>
        <w:ind w:firstLine="720"/>
        <w:rPr>
          <w:szCs w:val="22"/>
        </w:rPr>
      </w:pPr>
    </w:p>
    <w:p w:rsidR="001F7CF6" w:rsidRPr="00864F9C" w:rsidP="00DB7FC7" w14:paraId="1AD1467F" w14:textId="0CE28D5C">
      <w:pPr>
        <w:autoSpaceDE w:val="0"/>
        <w:autoSpaceDN w:val="0"/>
        <w:adjustRightInd w:val="0"/>
        <w:ind w:firstLine="720"/>
        <w:rPr>
          <w:szCs w:val="22"/>
        </w:rPr>
      </w:pPr>
      <w:r>
        <w:rPr>
          <w:szCs w:val="22"/>
        </w:rPr>
        <w:t xml:space="preserve">Leica requests </w:t>
      </w:r>
      <w:r w:rsidR="007048E4">
        <w:rPr>
          <w:szCs w:val="22"/>
        </w:rPr>
        <w:t xml:space="preserve">a </w:t>
      </w:r>
      <w:r>
        <w:rPr>
          <w:szCs w:val="22"/>
        </w:rPr>
        <w:t>waiver of the on-board aircraft prohibition on UAVs in Section 15.255(b)(2) of the Commission’s rules.</w:t>
      </w:r>
      <w:r>
        <w:rPr>
          <w:rStyle w:val="FootnoteReference"/>
          <w:sz w:val="22"/>
          <w:szCs w:val="22"/>
        </w:rPr>
        <w:footnoteReference w:id="7"/>
      </w:r>
      <w:r>
        <w:rPr>
          <w:szCs w:val="22"/>
        </w:rPr>
        <w:t xml:space="preserve">  This s</w:t>
      </w:r>
      <w:r w:rsidRPr="00864F9C" w:rsidR="00C42516">
        <w:rPr>
          <w:szCs w:val="22"/>
        </w:rPr>
        <w:t>ection</w:t>
      </w:r>
      <w:r w:rsidRPr="00864F9C" w:rsidR="00967447">
        <w:rPr>
          <w:szCs w:val="22"/>
        </w:rPr>
        <w:t xml:space="preserve"> requires </w:t>
      </w:r>
      <w:r w:rsidRPr="00864F9C" w:rsidR="00813CE4">
        <w:rPr>
          <w:szCs w:val="22"/>
        </w:rPr>
        <w:t>that</w:t>
      </w:r>
      <w:r w:rsidR="001658AA">
        <w:rPr>
          <w:szCs w:val="22"/>
        </w:rPr>
        <w:t>,</w:t>
      </w:r>
      <w:r w:rsidRPr="00864F9C" w:rsidR="00813CE4">
        <w:rPr>
          <w:szCs w:val="22"/>
        </w:rPr>
        <w:t xml:space="preserve"> </w:t>
      </w:r>
      <w:r w:rsidRPr="00864F9C" w:rsidR="001658AA">
        <w:rPr>
          <w:szCs w:val="22"/>
        </w:rPr>
        <w:t xml:space="preserve">when </w:t>
      </w:r>
      <w:r w:rsidR="00615EE6">
        <w:rPr>
          <w:szCs w:val="22"/>
        </w:rPr>
        <w:t>operated</w:t>
      </w:r>
      <w:r w:rsidRPr="00864F9C" w:rsidR="001658AA">
        <w:rPr>
          <w:szCs w:val="22"/>
        </w:rPr>
        <w:t xml:space="preserve"> on-board aircraft</w:t>
      </w:r>
      <w:r w:rsidR="001658AA">
        <w:rPr>
          <w:szCs w:val="22"/>
        </w:rPr>
        <w:t>,</w:t>
      </w:r>
      <w:r w:rsidRPr="00864F9C" w:rsidR="001658AA">
        <w:rPr>
          <w:szCs w:val="22"/>
        </w:rPr>
        <w:t xml:space="preserve"> </w:t>
      </w:r>
      <w:r w:rsidR="00DF2ED9">
        <w:rPr>
          <w:szCs w:val="22"/>
        </w:rPr>
        <w:t xml:space="preserve">airborne operation </w:t>
      </w:r>
      <w:r w:rsidR="00DF2ED9">
        <w:rPr>
          <w:szCs w:val="22"/>
        </w:rPr>
        <w:t xml:space="preserve">for </w:t>
      </w:r>
      <w:r w:rsidRPr="00864F9C" w:rsidR="00C41A66">
        <w:rPr>
          <w:szCs w:val="22"/>
        </w:rPr>
        <w:t>60</w:t>
      </w:r>
      <w:r w:rsidR="00C41A66">
        <w:rPr>
          <w:szCs w:val="22"/>
        </w:rPr>
        <w:t> </w:t>
      </w:r>
      <w:r w:rsidRPr="00864F9C" w:rsidR="00967447">
        <w:rPr>
          <w:szCs w:val="22"/>
        </w:rPr>
        <w:t xml:space="preserve">GHz </w:t>
      </w:r>
      <w:r w:rsidR="008E4AEE">
        <w:rPr>
          <w:szCs w:val="22"/>
        </w:rPr>
        <w:t>transmitters</w:t>
      </w:r>
      <w:r w:rsidRPr="00864F9C" w:rsidR="00967447">
        <w:rPr>
          <w:szCs w:val="22"/>
        </w:rPr>
        <w:t xml:space="preserve"> </w:t>
      </w:r>
      <w:r w:rsidRPr="00864F9C" w:rsidR="00813CE4">
        <w:rPr>
          <w:szCs w:val="22"/>
        </w:rPr>
        <w:t>must</w:t>
      </w:r>
      <w:r w:rsidRPr="00864F9C" w:rsidR="00967447">
        <w:rPr>
          <w:szCs w:val="22"/>
        </w:rPr>
        <w:t xml:space="preserve"> be </w:t>
      </w:r>
      <w:r w:rsidR="008602E4">
        <w:rPr>
          <w:szCs w:val="22"/>
        </w:rPr>
        <w:t>part of a</w:t>
      </w:r>
      <w:r w:rsidR="007369EE">
        <w:rPr>
          <w:szCs w:val="22"/>
        </w:rPr>
        <w:t xml:space="preserve"> closed </w:t>
      </w:r>
      <w:r w:rsidR="000E0D98">
        <w:rPr>
          <w:szCs w:val="22"/>
        </w:rPr>
        <w:t xml:space="preserve">exclusive on-board </w:t>
      </w:r>
      <w:r w:rsidR="008602E4">
        <w:rPr>
          <w:szCs w:val="22"/>
        </w:rPr>
        <w:t xml:space="preserve">communications network </w:t>
      </w:r>
      <w:r w:rsidR="005722AA">
        <w:rPr>
          <w:szCs w:val="22"/>
        </w:rPr>
        <w:t>within an</w:t>
      </w:r>
      <w:r w:rsidR="008602E4">
        <w:rPr>
          <w:szCs w:val="22"/>
        </w:rPr>
        <w:t xml:space="preserve"> </w:t>
      </w:r>
      <w:r w:rsidRPr="00864F9C" w:rsidR="00967447">
        <w:rPr>
          <w:szCs w:val="22"/>
        </w:rPr>
        <w:t xml:space="preserve">aircraft </w:t>
      </w:r>
      <w:r w:rsidR="004C43B5">
        <w:rPr>
          <w:szCs w:val="22"/>
        </w:rPr>
        <w:t xml:space="preserve">that </w:t>
      </w:r>
      <w:r w:rsidR="00E731BA">
        <w:rPr>
          <w:szCs w:val="22"/>
        </w:rPr>
        <w:t>provides</w:t>
      </w:r>
      <w:r w:rsidRPr="00864F9C" w:rsidR="00967447">
        <w:rPr>
          <w:szCs w:val="22"/>
        </w:rPr>
        <w:t xml:space="preserve"> </w:t>
      </w:r>
      <w:r w:rsidR="001F2A96">
        <w:rPr>
          <w:szCs w:val="22"/>
        </w:rPr>
        <w:t>substantial</w:t>
      </w:r>
      <w:r w:rsidRPr="00864F9C" w:rsidR="00967447">
        <w:rPr>
          <w:szCs w:val="22"/>
        </w:rPr>
        <w:t xml:space="preserve"> radio frequency (RF) attenuation</w:t>
      </w:r>
      <w:r w:rsidR="009B0DC1">
        <w:rPr>
          <w:szCs w:val="22"/>
        </w:rPr>
        <w:t>, in order to protect passive services such as EESS and RAS</w:t>
      </w:r>
      <w:r w:rsidR="00615EE6">
        <w:rPr>
          <w:szCs w:val="22"/>
        </w:rPr>
        <w:t xml:space="preserve"> from harmful interference</w:t>
      </w:r>
      <w:r w:rsidR="00F92EB5">
        <w:rPr>
          <w:szCs w:val="22"/>
        </w:rPr>
        <w:t xml:space="preserve">.  </w:t>
      </w:r>
      <w:r w:rsidR="00DF2ED9">
        <w:rPr>
          <w:szCs w:val="22"/>
        </w:rPr>
        <w:t>Further</w:t>
      </w:r>
      <w:r w:rsidR="00F92EB5">
        <w:rPr>
          <w:szCs w:val="22"/>
        </w:rPr>
        <w:t xml:space="preserve">, </w:t>
      </w:r>
      <w:r w:rsidR="004A5769">
        <w:rPr>
          <w:szCs w:val="22"/>
        </w:rPr>
        <w:t>sub-s</w:t>
      </w:r>
      <w:r w:rsidR="00F92EB5">
        <w:rPr>
          <w:szCs w:val="22"/>
        </w:rPr>
        <w:t xml:space="preserve">ection 15.255(b)(2)(ii) </w:t>
      </w:r>
      <w:r w:rsidRPr="00864F9C" w:rsidR="00967447">
        <w:rPr>
          <w:szCs w:val="22"/>
        </w:rPr>
        <w:t xml:space="preserve">prohibits on-board aircraft </w:t>
      </w:r>
      <w:r w:rsidR="00D81E5B">
        <w:rPr>
          <w:szCs w:val="22"/>
        </w:rPr>
        <w:t>operation</w:t>
      </w:r>
      <w:r w:rsidRPr="00864F9C" w:rsidR="00967447">
        <w:rPr>
          <w:szCs w:val="22"/>
        </w:rPr>
        <w:t xml:space="preserve"> </w:t>
      </w:r>
      <w:r w:rsidR="008602E4">
        <w:rPr>
          <w:szCs w:val="22"/>
        </w:rPr>
        <w:t>of 60 GHz transmitters on</w:t>
      </w:r>
      <w:r w:rsidRPr="00864F9C" w:rsidR="00967447">
        <w:rPr>
          <w:szCs w:val="22"/>
        </w:rPr>
        <w:t xml:space="preserve"> </w:t>
      </w:r>
      <w:r w:rsidRPr="00864F9C">
        <w:rPr>
          <w:szCs w:val="22"/>
        </w:rPr>
        <w:t xml:space="preserve">UAVs.  </w:t>
      </w:r>
    </w:p>
    <w:p w:rsidR="001F7CF6" w:rsidRPr="00864F9C" w:rsidP="00DB7FC7" w14:paraId="698A458F" w14:textId="77777777">
      <w:pPr>
        <w:autoSpaceDE w:val="0"/>
        <w:autoSpaceDN w:val="0"/>
        <w:adjustRightInd w:val="0"/>
        <w:ind w:firstLine="720"/>
        <w:rPr>
          <w:szCs w:val="22"/>
        </w:rPr>
      </w:pPr>
    </w:p>
    <w:p w:rsidR="00DD4CBA" w:rsidRPr="00864F9C" w:rsidP="00DB7FC7" w14:paraId="789B6D77" w14:textId="32D98627">
      <w:pPr>
        <w:autoSpaceDE w:val="0"/>
        <w:autoSpaceDN w:val="0"/>
        <w:adjustRightInd w:val="0"/>
        <w:ind w:firstLine="720"/>
        <w:rPr>
          <w:szCs w:val="22"/>
        </w:rPr>
      </w:pPr>
      <w:r>
        <w:rPr>
          <w:szCs w:val="22"/>
        </w:rPr>
        <w:t>Leica</w:t>
      </w:r>
      <w:r w:rsidR="00DF2ED9">
        <w:rPr>
          <w:szCs w:val="22"/>
        </w:rPr>
        <w:t xml:space="preserve"> also</w:t>
      </w:r>
      <w:r>
        <w:rPr>
          <w:szCs w:val="22"/>
        </w:rPr>
        <w:t xml:space="preserve"> argues that </w:t>
      </w:r>
      <w:r w:rsidR="00D62B33">
        <w:rPr>
          <w:szCs w:val="22"/>
        </w:rPr>
        <w:t>the Ictos</w:t>
      </w:r>
      <w:r>
        <w:rPr>
          <w:szCs w:val="22"/>
        </w:rPr>
        <w:t xml:space="preserve"> system is not a field disturbance sensor (FDS) as defined in the rules</w:t>
      </w:r>
      <w:r w:rsidR="00D62B33">
        <w:rPr>
          <w:szCs w:val="22"/>
        </w:rPr>
        <w:t>.</w:t>
      </w:r>
      <w:r>
        <w:rPr>
          <w:rStyle w:val="FootnoteReference"/>
          <w:szCs w:val="22"/>
        </w:rPr>
        <w:footnoteReference w:id="8"/>
      </w:r>
      <w:r w:rsidR="00BB5A86">
        <w:rPr>
          <w:szCs w:val="22"/>
        </w:rPr>
        <w:t xml:space="preserve"> </w:t>
      </w:r>
      <w:r w:rsidR="00D62B33">
        <w:rPr>
          <w:szCs w:val="22"/>
        </w:rPr>
        <w:t xml:space="preserve"> This is relevant because </w:t>
      </w:r>
      <w:r w:rsidRPr="00864F9C" w:rsidR="00D62B33">
        <w:rPr>
          <w:szCs w:val="22"/>
        </w:rPr>
        <w:t xml:space="preserve">Section 15.255(a)(2) </w:t>
      </w:r>
      <w:r w:rsidR="00D62B33">
        <w:rPr>
          <w:szCs w:val="22"/>
        </w:rPr>
        <w:t xml:space="preserve">of the rules </w:t>
      </w:r>
      <w:r w:rsidRPr="00864F9C" w:rsidR="00D62B33">
        <w:rPr>
          <w:szCs w:val="22"/>
        </w:rPr>
        <w:t xml:space="preserve">prohibits mobile FDS operation unless </w:t>
      </w:r>
      <w:r w:rsidR="007C4207">
        <w:rPr>
          <w:szCs w:val="22"/>
        </w:rPr>
        <w:t xml:space="preserve">being </w:t>
      </w:r>
      <w:r w:rsidRPr="00864F9C" w:rsidR="00D62B33">
        <w:rPr>
          <w:szCs w:val="22"/>
        </w:rPr>
        <w:t xml:space="preserve">used </w:t>
      </w:r>
      <w:r w:rsidR="007C4207">
        <w:rPr>
          <w:szCs w:val="22"/>
        </w:rPr>
        <w:t>under a limited exception for short-range</w:t>
      </w:r>
      <w:r w:rsidRPr="00864F9C" w:rsidR="00D62B33">
        <w:rPr>
          <w:szCs w:val="22"/>
        </w:rPr>
        <w:t xml:space="preserve"> interactive motion sensing</w:t>
      </w:r>
      <w:r w:rsidR="00D62B33">
        <w:rPr>
          <w:szCs w:val="22"/>
        </w:rPr>
        <w:t>,</w:t>
      </w:r>
      <w:r>
        <w:rPr>
          <w:rStyle w:val="FootnoteReference"/>
          <w:sz w:val="22"/>
          <w:szCs w:val="22"/>
        </w:rPr>
        <w:footnoteReference w:id="9"/>
      </w:r>
      <w:r w:rsidRPr="00864F9C" w:rsidR="00D62B33">
        <w:rPr>
          <w:szCs w:val="22"/>
        </w:rPr>
        <w:t xml:space="preserve"> </w:t>
      </w:r>
      <w:r w:rsidR="00D62B33">
        <w:rPr>
          <w:szCs w:val="22"/>
        </w:rPr>
        <w:t>and</w:t>
      </w:r>
      <w:r w:rsidRPr="00864F9C" w:rsidR="00D62B33">
        <w:rPr>
          <w:szCs w:val="22"/>
        </w:rPr>
        <w:t xml:space="preserve"> Section 15.255(c)(3) limits power of an FDS to </w:t>
      </w:r>
      <w:r w:rsidRPr="00864F9C" w:rsidR="00D62B33">
        <w:rPr>
          <w:szCs w:val="22"/>
        </w:rPr>
        <w:noBreakHyphen/>
        <w:t>10 dBm peak conducted and +10 dBm peak equivalent is</w:t>
      </w:r>
      <w:r w:rsidR="00D62B33">
        <w:rPr>
          <w:szCs w:val="22"/>
        </w:rPr>
        <w:t>o</w:t>
      </w:r>
      <w:r w:rsidRPr="00864F9C" w:rsidR="00D62B33">
        <w:rPr>
          <w:szCs w:val="22"/>
        </w:rPr>
        <w:t>tropically radiated power (EIRP).</w:t>
      </w:r>
      <w:r>
        <w:rPr>
          <w:rStyle w:val="FootnoteReference"/>
          <w:sz w:val="22"/>
          <w:szCs w:val="22"/>
        </w:rPr>
        <w:footnoteReference w:id="10"/>
      </w:r>
      <w:r w:rsidR="00D62B33">
        <w:rPr>
          <w:szCs w:val="22"/>
        </w:rPr>
        <w:t xml:space="preserve">  Operation of the Ictos system as an FDS</w:t>
      </w:r>
      <w:r w:rsidR="007C4207">
        <w:rPr>
          <w:szCs w:val="22"/>
        </w:rPr>
        <w:t xml:space="preserve"> would appear to be inconsistent with these rules.  Accordingly, Leica seeks a determination that the Ictos system is not an FDS, but if the Commission determines that it is, asks that that we also waive </w:t>
      </w:r>
      <w:r w:rsidRPr="00864F9C" w:rsidR="007C4207">
        <w:rPr>
          <w:szCs w:val="22"/>
        </w:rPr>
        <w:t>Section</w:t>
      </w:r>
      <w:r w:rsidR="007C4207">
        <w:rPr>
          <w:szCs w:val="22"/>
        </w:rPr>
        <w:t>s</w:t>
      </w:r>
      <w:r w:rsidRPr="00864F9C" w:rsidR="007C4207">
        <w:rPr>
          <w:szCs w:val="22"/>
        </w:rPr>
        <w:t xml:space="preserve"> 15.255(a)(2) and (c)(3)</w:t>
      </w:r>
      <w:r w:rsidR="007C4207">
        <w:rPr>
          <w:szCs w:val="22"/>
        </w:rPr>
        <w:t xml:space="preserve"> of the rules.</w:t>
      </w:r>
      <w:r>
        <w:rPr>
          <w:rStyle w:val="FootnoteReference"/>
          <w:szCs w:val="22"/>
        </w:rPr>
        <w:footnoteReference w:id="11"/>
      </w:r>
      <w:r w:rsidR="00D62B33">
        <w:rPr>
          <w:szCs w:val="22"/>
        </w:rPr>
        <w:t xml:space="preserve">  </w:t>
      </w:r>
      <w:r w:rsidRPr="00864F9C" w:rsidR="00D62B33">
        <w:rPr>
          <w:szCs w:val="22"/>
        </w:rPr>
        <w:t xml:space="preserve"> </w:t>
      </w:r>
      <w:r w:rsidR="00D62B33">
        <w:rPr>
          <w:szCs w:val="22"/>
        </w:rPr>
        <w:t xml:space="preserve">  </w:t>
      </w:r>
      <w:r w:rsidR="000116D9">
        <w:rPr>
          <w:szCs w:val="22"/>
        </w:rPr>
        <w:t xml:space="preserve">  </w:t>
      </w:r>
    </w:p>
    <w:p w:rsidR="00DD4CBA" w:rsidRPr="00864F9C" w:rsidP="00CE06C0" w14:paraId="7DC36B5B" w14:textId="77777777">
      <w:pPr>
        <w:autoSpaceDE w:val="0"/>
        <w:autoSpaceDN w:val="0"/>
        <w:adjustRightInd w:val="0"/>
        <w:ind w:firstLine="720"/>
        <w:rPr>
          <w:szCs w:val="22"/>
        </w:rPr>
      </w:pPr>
    </w:p>
    <w:p w:rsidR="00CE06C0" w:rsidRPr="00864F9C" w:rsidP="00CE06C0" w14:paraId="4CFA8F73" w14:textId="77777777">
      <w:pPr>
        <w:autoSpaceDE w:val="0"/>
        <w:autoSpaceDN w:val="0"/>
        <w:adjustRightInd w:val="0"/>
        <w:ind w:firstLine="720"/>
        <w:rPr>
          <w:spacing w:val="-3"/>
          <w:szCs w:val="22"/>
        </w:rPr>
      </w:pPr>
      <w:r w:rsidRPr="00864F9C">
        <w:rPr>
          <w:szCs w:val="22"/>
        </w:rPr>
        <w:t xml:space="preserve">OET seeks comment on the waiver request.  OET has concluded that, in order to develop a complete record on the issues presented by this request, this </w:t>
      </w:r>
      <w:r w:rsidRPr="00864F9C">
        <w:rPr>
          <w:spacing w:val="-3"/>
          <w:szCs w:val="22"/>
        </w:rPr>
        <w:t xml:space="preserve">proceeding will be treated, for </w:t>
      </w:r>
      <w:r w:rsidRPr="00864F9C">
        <w:rPr>
          <w:i/>
          <w:iCs/>
          <w:spacing w:val="-3"/>
          <w:szCs w:val="22"/>
        </w:rPr>
        <w:t>ex parte</w:t>
      </w:r>
      <w:r w:rsidRPr="00864F9C">
        <w:rPr>
          <w:spacing w:val="-3"/>
          <w:szCs w:val="22"/>
        </w:rPr>
        <w:t xml:space="preserve"> purposes, as "permit-but-disclose" in accordance with Section 1.1200(a) of the Commission's rules, subject to the requirements under Section 1.1206(b).</w:t>
      </w:r>
    </w:p>
    <w:p w:rsidR="00CE06C0" w:rsidRPr="00864F9C" w:rsidP="00CE06C0" w14:paraId="435DFF53" w14:textId="77777777">
      <w:pPr>
        <w:tabs>
          <w:tab w:val="left" w:pos="-720"/>
        </w:tabs>
        <w:suppressAutoHyphens/>
        <w:spacing w:line="227" w:lineRule="atLeast"/>
        <w:jc w:val="both"/>
        <w:rPr>
          <w:spacing w:val="-3"/>
          <w:szCs w:val="22"/>
        </w:rPr>
      </w:pPr>
    </w:p>
    <w:p w:rsidR="003D7368" w:rsidRPr="00864F9C" w:rsidP="000C66B2" w14:paraId="0818F71C" w14:textId="77777777">
      <w:pPr>
        <w:ind w:firstLine="720"/>
        <w:rPr>
          <w:szCs w:val="22"/>
        </w:rPr>
      </w:pPr>
      <w:r w:rsidRPr="00864F9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864F9C">
        <w:rPr>
          <w:i/>
          <w:szCs w:val="22"/>
        </w:rPr>
        <w:t>See Electronic Filing of Documents in Rulemaking Proceedings</w:t>
      </w:r>
      <w:r w:rsidRPr="00864F9C">
        <w:rPr>
          <w:szCs w:val="22"/>
        </w:rPr>
        <w:t>, 63 FR 24121 (1998).</w:t>
      </w:r>
    </w:p>
    <w:p w:rsidR="003D7368" w:rsidRPr="00864F9C" w:rsidP="003D7368" w14:paraId="40CCAC7D" w14:textId="77777777">
      <w:pPr>
        <w:rPr>
          <w:szCs w:val="22"/>
        </w:rPr>
      </w:pPr>
    </w:p>
    <w:p w:rsidR="003D7368" w:rsidRPr="00864F9C" w:rsidP="003D7368" w14:paraId="0701FD8C" w14:textId="77777777">
      <w:pPr>
        <w:numPr>
          <w:ilvl w:val="0"/>
          <w:numId w:val="10"/>
        </w:numPr>
        <w:rPr>
          <w:szCs w:val="22"/>
        </w:rPr>
      </w:pPr>
      <w:r w:rsidRPr="00864F9C">
        <w:rPr>
          <w:szCs w:val="22"/>
        </w:rPr>
        <w:t xml:space="preserve">Electronic Filers:  Comments may be filed electronically using the Internet by accessing the ECFS:  </w:t>
      </w:r>
      <w:hyperlink r:id="rId5" w:history="1">
        <w:r w:rsidRPr="00864F9C">
          <w:rPr>
            <w:color w:val="0000FF"/>
            <w:szCs w:val="22"/>
            <w:u w:val="single"/>
          </w:rPr>
          <w:t>http://apps.fcc.gov/ecfs/</w:t>
        </w:r>
      </w:hyperlink>
      <w:r w:rsidRPr="00864F9C">
        <w:rPr>
          <w:szCs w:val="22"/>
        </w:rPr>
        <w:t xml:space="preserve">.  </w:t>
      </w:r>
    </w:p>
    <w:p w:rsidR="003D7368" w:rsidRPr="00864F9C" w:rsidP="003D7368" w14:paraId="726897EF" w14:textId="77777777">
      <w:pPr>
        <w:rPr>
          <w:szCs w:val="22"/>
        </w:rPr>
      </w:pPr>
    </w:p>
    <w:p w:rsidR="003D7368" w:rsidRPr="00864F9C" w:rsidP="003D7368" w14:paraId="31998EE1" w14:textId="77777777">
      <w:pPr>
        <w:numPr>
          <w:ilvl w:val="0"/>
          <w:numId w:val="8"/>
        </w:numPr>
        <w:rPr>
          <w:szCs w:val="22"/>
        </w:rPr>
      </w:pPr>
      <w:r w:rsidRPr="00864F9C">
        <w:rPr>
          <w:szCs w:val="22"/>
        </w:rPr>
        <w:t xml:space="preserve">Paper Filers:  Parties who choose to file by paper must file an original </w:t>
      </w:r>
      <w:r w:rsidRPr="00864F9C" w:rsidR="00B7366C">
        <w:rPr>
          <w:szCs w:val="22"/>
        </w:rPr>
        <w:t>and one</w:t>
      </w:r>
      <w:r w:rsidRPr="00864F9C">
        <w:rPr>
          <w:szCs w:val="22"/>
        </w:rPr>
        <w:t xml:space="preserve"> copy of each filing.  If more than one docket or rulemaking number appears in the caption of this proceeding, filers must submit two additional copies for each additional docket or rulemaking number.</w:t>
      </w:r>
    </w:p>
    <w:p w:rsidR="003D7368" w:rsidRPr="00864F9C" w:rsidP="003D7368" w14:paraId="6B0B2CAC" w14:textId="77777777">
      <w:pPr>
        <w:rPr>
          <w:szCs w:val="22"/>
        </w:rPr>
      </w:pPr>
    </w:p>
    <w:p w:rsidR="003D7368" w:rsidRPr="00864F9C" w:rsidP="003D7368" w14:paraId="26BDA1A5" w14:textId="77777777">
      <w:pPr>
        <w:ind w:left="720"/>
        <w:rPr>
          <w:szCs w:val="22"/>
        </w:rPr>
      </w:pPr>
      <w:r w:rsidRPr="00864F9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3D7368" w:rsidRPr="00864F9C" w:rsidP="003D7368" w14:paraId="53EF04CA" w14:textId="77777777">
      <w:pPr>
        <w:rPr>
          <w:szCs w:val="22"/>
        </w:rPr>
      </w:pPr>
    </w:p>
    <w:p w:rsidR="003D7368" w:rsidRPr="00864F9C" w:rsidP="003D7368" w14:paraId="1397AF06" w14:textId="77777777">
      <w:pPr>
        <w:numPr>
          <w:ilvl w:val="0"/>
          <w:numId w:val="9"/>
        </w:numPr>
        <w:rPr>
          <w:szCs w:val="22"/>
        </w:rPr>
      </w:pPr>
      <w:r w:rsidRPr="00864F9C">
        <w:rPr>
          <w:szCs w:val="22"/>
        </w:rPr>
        <w:t>All hand-delivered or messenger-delivered paper filings for the Commission’s Secretary must be delivered to FCC Headquarters at 445 12</w:t>
      </w:r>
      <w:r w:rsidRPr="00864F9C">
        <w:rPr>
          <w:szCs w:val="22"/>
          <w:vertAlign w:val="superscript"/>
        </w:rPr>
        <w:t>th</w:t>
      </w:r>
      <w:r w:rsidRPr="00864F9C">
        <w:rPr>
          <w:szCs w:val="22"/>
        </w:rPr>
        <w:t xml:space="preserve"> St., SW, Room TW-A325, Washington, DC 20554.  The filing hours are 8:00 a.m. to 7:00 p.m.   All hand deliveries must be held together with rubber bands or fasteners.  Any envelopes and boxes must be disposed of </w:t>
      </w:r>
      <w:r w:rsidRPr="00864F9C">
        <w:rPr>
          <w:szCs w:val="22"/>
          <w:u w:val="single"/>
        </w:rPr>
        <w:t>before</w:t>
      </w:r>
      <w:r w:rsidRPr="00864F9C">
        <w:rPr>
          <w:szCs w:val="22"/>
        </w:rPr>
        <w:t xml:space="preserve"> entering the building.  </w:t>
      </w:r>
    </w:p>
    <w:p w:rsidR="003D7368" w:rsidRPr="00864F9C" w:rsidP="003D7368" w14:paraId="3D223366" w14:textId="77777777">
      <w:pPr>
        <w:ind w:left="1080"/>
        <w:rPr>
          <w:szCs w:val="22"/>
        </w:rPr>
      </w:pPr>
    </w:p>
    <w:p w:rsidR="003D7368" w:rsidRPr="00864F9C" w:rsidP="003D7368" w14:paraId="641AAF10" w14:textId="77777777">
      <w:pPr>
        <w:numPr>
          <w:ilvl w:val="0"/>
          <w:numId w:val="9"/>
        </w:numPr>
        <w:rPr>
          <w:szCs w:val="22"/>
        </w:rPr>
      </w:pPr>
      <w:r w:rsidRPr="00864F9C">
        <w:rPr>
          <w:szCs w:val="22"/>
        </w:rPr>
        <w:t>Commercial overnight mail (other than U.S. Postal Service Express Mail and Priority Mail) must be sent to 9050 Junction Drive, Annapolis Junction, MD 20701.</w:t>
      </w:r>
    </w:p>
    <w:p w:rsidR="003D7368" w:rsidRPr="00864F9C" w:rsidP="003D7368" w14:paraId="6EBADEF0" w14:textId="77777777">
      <w:pPr>
        <w:rPr>
          <w:szCs w:val="22"/>
        </w:rPr>
      </w:pPr>
    </w:p>
    <w:p w:rsidR="003D7368" w:rsidRPr="00864F9C" w:rsidP="003D7368" w14:paraId="12078D22" w14:textId="77777777">
      <w:pPr>
        <w:numPr>
          <w:ilvl w:val="0"/>
          <w:numId w:val="9"/>
        </w:numPr>
        <w:rPr>
          <w:szCs w:val="22"/>
        </w:rPr>
      </w:pPr>
      <w:r w:rsidRPr="00864F9C">
        <w:rPr>
          <w:szCs w:val="22"/>
        </w:rPr>
        <w:t>U.S. Postal Service first-class, Express, and Priority mail must be addressed to 445 12</w:t>
      </w:r>
      <w:r w:rsidRPr="00864F9C">
        <w:rPr>
          <w:szCs w:val="22"/>
          <w:vertAlign w:val="superscript"/>
        </w:rPr>
        <w:t>th</w:t>
      </w:r>
      <w:r w:rsidRPr="00864F9C">
        <w:rPr>
          <w:szCs w:val="22"/>
        </w:rPr>
        <w:t xml:space="preserve"> Street, SW, Washington DC  20554.</w:t>
      </w:r>
    </w:p>
    <w:p w:rsidR="003D7368" w:rsidRPr="00864F9C" w:rsidP="003D7368" w14:paraId="46BE1337" w14:textId="77777777">
      <w:pPr>
        <w:rPr>
          <w:szCs w:val="22"/>
        </w:rPr>
      </w:pPr>
    </w:p>
    <w:p w:rsidR="00CE06C0" w:rsidRPr="00864F9C" w:rsidP="003D7368" w14:paraId="04F3F1DC" w14:textId="77777777">
      <w:pPr>
        <w:ind w:firstLine="720"/>
        <w:rPr>
          <w:szCs w:val="22"/>
        </w:rPr>
      </w:pPr>
      <w:r w:rsidRPr="00864F9C">
        <w:rPr>
          <w:szCs w:val="22"/>
        </w:rPr>
        <w:t xml:space="preserve">People with Disabilities:  To request materials in accessible formats for people with disabilities (braille, large print, electronic files, audio format), send an e-mail to </w:t>
      </w:r>
      <w:hyperlink r:id="rId6" w:history="1">
        <w:r w:rsidRPr="00864F9C">
          <w:rPr>
            <w:color w:val="0000FF"/>
            <w:szCs w:val="22"/>
            <w:u w:val="single"/>
          </w:rPr>
          <w:t>fcc504@fcc.gov</w:t>
        </w:r>
      </w:hyperlink>
      <w:r w:rsidRPr="00864F9C">
        <w:rPr>
          <w:szCs w:val="22"/>
        </w:rPr>
        <w:t xml:space="preserve"> or call the Consumer &amp; Governmental Affairs Bureau at 202-418-0530 (voice), 202-418-0432 (tty).</w:t>
      </w:r>
    </w:p>
    <w:p w:rsidR="00CE06C0" w:rsidRPr="00864F9C" w:rsidP="00CE06C0" w14:paraId="1D924656" w14:textId="77777777">
      <w:pPr>
        <w:rPr>
          <w:szCs w:val="22"/>
        </w:rPr>
      </w:pPr>
    </w:p>
    <w:p w:rsidR="00CE06C0" w:rsidRPr="00864F9C" w:rsidP="00CE06C0" w14:paraId="0FA11AAD" w14:textId="77777777">
      <w:pPr>
        <w:ind w:firstLine="720"/>
        <w:rPr>
          <w:szCs w:val="22"/>
        </w:rPr>
      </w:pPr>
      <w:r w:rsidRPr="00864F9C">
        <w:rPr>
          <w:szCs w:val="22"/>
        </w:rPr>
        <w:t xml:space="preserve">Parties should also send a copy of their filings to </w:t>
      </w:r>
      <w:r w:rsidRPr="00864F9C" w:rsidR="003D7368">
        <w:rPr>
          <w:szCs w:val="22"/>
        </w:rPr>
        <w:t>Anh T. Wride</w:t>
      </w:r>
      <w:r w:rsidRPr="00864F9C">
        <w:rPr>
          <w:szCs w:val="22"/>
        </w:rPr>
        <w:t>, Office of Engineering and Technology, Federal Communications Commission, Room 7-A</w:t>
      </w:r>
      <w:r w:rsidRPr="00864F9C" w:rsidR="003D7368">
        <w:rPr>
          <w:szCs w:val="22"/>
        </w:rPr>
        <w:t>363</w:t>
      </w:r>
      <w:r w:rsidRPr="00864F9C">
        <w:rPr>
          <w:szCs w:val="22"/>
        </w:rPr>
        <w:t xml:space="preserve">, 445 12th Street, S.W., Washington, D.C. 20554, or by e-mail to </w:t>
      </w:r>
      <w:r w:rsidRPr="00864F9C" w:rsidR="003D7368">
        <w:rPr>
          <w:szCs w:val="22"/>
        </w:rPr>
        <w:t>anh.wride</w:t>
      </w:r>
      <w:r w:rsidRPr="00864F9C">
        <w:rPr>
          <w:szCs w:val="22"/>
        </w:rPr>
        <w:t>@fcc.gov.</w:t>
      </w:r>
    </w:p>
    <w:p w:rsidR="00CE06C0" w:rsidRPr="00864F9C" w:rsidP="00CE06C0" w14:paraId="328912A0" w14:textId="77777777">
      <w:pPr>
        <w:ind w:firstLine="720"/>
        <w:rPr>
          <w:szCs w:val="22"/>
        </w:rPr>
      </w:pPr>
    </w:p>
    <w:p w:rsidR="00CE06C0" w:rsidRPr="00864F9C" w:rsidP="00CE06C0" w14:paraId="4F9C4B4E" w14:textId="77777777">
      <w:pPr>
        <w:ind w:firstLine="720"/>
        <w:rPr>
          <w:szCs w:val="22"/>
        </w:rPr>
      </w:pPr>
      <w:r w:rsidRPr="00864F9C">
        <w:rPr>
          <w:szCs w:val="22"/>
        </w:rPr>
        <w:t>Documents are available for public inspection and copying during business hours at the FCC Reference Information Center, Portals II, 445 12th Street, S.W., Room CY</w:t>
      </w:r>
      <w:r w:rsidRPr="00864F9C">
        <w:rPr>
          <w:szCs w:val="22"/>
        </w:rPr>
        <w:noBreakHyphen/>
        <w:t>A257, Washington, D.C. 20554.</w:t>
      </w:r>
    </w:p>
    <w:p w:rsidR="00CE06C0" w:rsidRPr="00864F9C" w:rsidP="00CE06C0" w14:paraId="3A01DE9B" w14:textId="77777777">
      <w:pPr>
        <w:rPr>
          <w:szCs w:val="22"/>
        </w:rPr>
      </w:pPr>
    </w:p>
    <w:p w:rsidR="00CE06C0" w:rsidRPr="00864F9C" w:rsidP="00CE06C0" w14:paraId="74C5B008" w14:textId="77777777">
      <w:pPr>
        <w:rPr>
          <w:spacing w:val="-3"/>
          <w:szCs w:val="22"/>
        </w:rPr>
      </w:pPr>
      <w:r w:rsidRPr="00864F9C">
        <w:rPr>
          <w:spacing w:val="-3"/>
          <w:szCs w:val="22"/>
        </w:rPr>
        <w:t>By the Chief, Office of Engineering and Technology</w:t>
      </w:r>
    </w:p>
    <w:p w:rsidR="00CE06C0" w:rsidRPr="00864F9C" w:rsidP="00CE06C0" w14:paraId="5EFF06EF" w14:textId="77777777">
      <w:pPr>
        <w:rPr>
          <w:spacing w:val="-3"/>
          <w:szCs w:val="22"/>
        </w:rPr>
      </w:pPr>
    </w:p>
    <w:p w:rsidR="00CE06C0" w:rsidRPr="00864F9C" w:rsidP="00CE06C0" w14:paraId="78B9EB8B" w14:textId="77777777">
      <w:pPr>
        <w:jc w:val="center"/>
        <w:rPr>
          <w:spacing w:val="-3"/>
          <w:szCs w:val="22"/>
        </w:rPr>
      </w:pPr>
      <w:r w:rsidRPr="00864F9C">
        <w:rPr>
          <w:spacing w:val="-3"/>
          <w:szCs w:val="22"/>
        </w:rPr>
        <w:t>-FCC-</w:t>
      </w:r>
    </w:p>
    <w:p w:rsidR="006A1F49" w:rsidRPr="00864F9C" w:rsidP="00CE06C0" w14:paraId="0F8E22D8" w14:textId="77777777">
      <w:pPr>
        <w:rPr>
          <w:szCs w:val="22"/>
        </w:rPr>
      </w:pPr>
    </w:p>
    <w:sectPr w:rsidSect="00DF0810">
      <w:footerReference w:type="even" r:id="rId7"/>
      <w:footerReference w:type="default" r:id="rId8"/>
      <w:headerReference w:type="first" r:id="rId9"/>
      <w:footerReference w:type="first" r:id="rId10"/>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9AFB2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EA1326C" w14:textId="77777777">
    <w:pPr>
      <w:pStyle w:val="Footer"/>
    </w:pPr>
  </w:p>
  <w:p w:rsidR="003660ED" w14:paraId="691848B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F343832" w14:textId="77777777">
    <w:pPr>
      <w:pStyle w:val="Footer"/>
      <w:framePr w:wrap="around" w:vAnchor="text" w:hAnchor="margin" w:xAlign="center" w:y="1"/>
    </w:pPr>
    <w:r>
      <w:fldChar w:fldCharType="begin"/>
    </w:r>
    <w:r>
      <w:instrText xml:space="preserve">PAGE  </w:instrText>
    </w:r>
    <w:r>
      <w:fldChar w:fldCharType="separate"/>
    </w:r>
    <w:r>
      <w:t>3</w:t>
    </w:r>
    <w:r>
      <w:fldChar w:fldCharType="end"/>
    </w:r>
  </w:p>
  <w:p w:rsidR="003660ED" w:rsidP="000E05FE" w14:paraId="015C9D93"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68EAA037"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383B" w14:paraId="69D04125" w14:textId="77777777">
      <w:r>
        <w:separator/>
      </w:r>
    </w:p>
  </w:footnote>
  <w:footnote w:type="continuationSeparator" w:id="1">
    <w:p w:rsidR="004A383B" w14:paraId="035AA6C2" w14:textId="77777777">
      <w:r>
        <w:continuationSeparator/>
      </w:r>
    </w:p>
  </w:footnote>
  <w:footnote w:id="2">
    <w:p w:rsidR="0068269B" w:rsidP="0068269B" w14:paraId="01386C92" w14:textId="77777777">
      <w:pPr>
        <w:pStyle w:val="FootnoteText"/>
      </w:pPr>
      <w:r>
        <w:rPr>
          <w:rStyle w:val="FootnoteReference"/>
        </w:rPr>
        <w:footnoteRef/>
      </w:r>
      <w:r>
        <w:t xml:space="preserve"> 47 C.F.R. § 15.255.</w:t>
      </w:r>
    </w:p>
  </w:footnote>
  <w:footnote w:id="3">
    <w:p w:rsidR="00090FF7" w14:paraId="20C5EBE5" w14:textId="77777777">
      <w:pPr>
        <w:pStyle w:val="FootnoteText"/>
      </w:pPr>
      <w:r>
        <w:rPr>
          <w:rStyle w:val="FootnoteReference"/>
        </w:rPr>
        <w:footnoteRef/>
      </w:r>
      <w:r>
        <w:t xml:space="preserve"> Waiver Request of Leica Geosystems AG (</w:t>
      </w:r>
      <w:r w:rsidRPr="00090FF7">
        <w:rPr>
          <w:i/>
        </w:rPr>
        <w:t>Request</w:t>
      </w:r>
      <w:r>
        <w:t>), filed Sep. 5, 2019.</w:t>
      </w:r>
    </w:p>
  </w:footnote>
  <w:footnote w:id="4">
    <w:p w:rsidR="004B537C" w14:paraId="63F764F0" w14:textId="35C5DD19">
      <w:pPr>
        <w:pStyle w:val="FootnoteText"/>
      </w:pPr>
      <w:r>
        <w:rPr>
          <w:rStyle w:val="FootnoteReference"/>
        </w:rPr>
        <w:footnoteRef/>
      </w:r>
      <w:r>
        <w:t xml:space="preserve"> </w:t>
      </w:r>
      <w:r w:rsidR="00DD1031">
        <w:rPr>
          <w:i/>
        </w:rPr>
        <w:t>Id.</w:t>
      </w:r>
      <w:r w:rsidR="00DD1031">
        <w:t xml:space="preserve"> </w:t>
      </w:r>
      <w:r>
        <w:t xml:space="preserve">at </w:t>
      </w:r>
      <w:r w:rsidR="00D11302">
        <w:t>2-</w:t>
      </w:r>
      <w:r w:rsidR="000222B6">
        <w:t>3 (explaining how Ictos-equipped UAVs could be used to</w:t>
      </w:r>
      <w:r w:rsidRPr="00864F9C" w:rsidR="000222B6">
        <w:rPr>
          <w:szCs w:val="22"/>
        </w:rPr>
        <w:t xml:space="preserve"> visual</w:t>
      </w:r>
      <w:r w:rsidR="000222B6">
        <w:rPr>
          <w:szCs w:val="22"/>
        </w:rPr>
        <w:t>ly</w:t>
      </w:r>
      <w:r w:rsidRPr="00864F9C" w:rsidR="000222B6">
        <w:rPr>
          <w:szCs w:val="22"/>
        </w:rPr>
        <w:t xml:space="preserve"> capture of the outside of structures such as bridges</w:t>
      </w:r>
      <w:r w:rsidR="000222B6">
        <w:rPr>
          <w:szCs w:val="22"/>
        </w:rPr>
        <w:t xml:space="preserve"> and </w:t>
      </w:r>
      <w:r w:rsidRPr="00864F9C" w:rsidR="000222B6">
        <w:rPr>
          <w:szCs w:val="22"/>
        </w:rPr>
        <w:t>buildings</w:t>
      </w:r>
      <w:r w:rsidR="000222B6">
        <w:rPr>
          <w:szCs w:val="22"/>
        </w:rPr>
        <w:t xml:space="preserve"> to provide safety inspections, assess structural integrity after accidents or natural disasters, take measurements for planned construction or installations, or perform similar tasks)</w:t>
      </w:r>
      <w:r w:rsidR="00FE56A1">
        <w:t>.</w:t>
      </w:r>
    </w:p>
  </w:footnote>
  <w:footnote w:id="5">
    <w:p w:rsidR="00C37A4B" w14:paraId="7DE91546" w14:textId="2927F817">
      <w:pPr>
        <w:pStyle w:val="FootnoteText"/>
      </w:pPr>
      <w:r>
        <w:rPr>
          <w:rStyle w:val="FootnoteReference"/>
        </w:rPr>
        <w:footnoteRef/>
      </w:r>
      <w:r>
        <w:t xml:space="preserve"> </w:t>
      </w:r>
      <w:r w:rsidR="00DD1031">
        <w:rPr>
          <w:i/>
        </w:rPr>
        <w:t>Id.</w:t>
      </w:r>
      <w:r w:rsidR="00DD1031">
        <w:t xml:space="preserve"> </w:t>
      </w:r>
      <w:r>
        <w:t xml:space="preserve">at </w:t>
      </w:r>
      <w:r w:rsidR="00DD1031">
        <w:t>13</w:t>
      </w:r>
      <w:r>
        <w:t>.</w:t>
      </w:r>
    </w:p>
  </w:footnote>
  <w:footnote w:id="6">
    <w:p w:rsidR="00DD1031" w:rsidP="00DD1031" w14:paraId="53911F26" w14:textId="3810F0F2">
      <w:pPr>
        <w:pStyle w:val="FootnoteText"/>
      </w:pPr>
      <w:r>
        <w:rPr>
          <w:rStyle w:val="FootnoteReference"/>
        </w:rPr>
        <w:footnoteRef/>
      </w:r>
      <w:r>
        <w:t xml:space="preserve"> </w:t>
      </w:r>
      <w:r w:rsidR="006A7DF6">
        <w:rPr>
          <w:i/>
        </w:rPr>
        <w:t>Id.</w:t>
      </w:r>
      <w:r w:rsidR="006A7DF6">
        <w:t xml:space="preserve"> at 12.  The proposed</w:t>
      </w:r>
      <w:r>
        <w:t xml:space="preserve"> conditions includ</w:t>
      </w:r>
      <w:r w:rsidR="006A7DF6">
        <w:t>e</w:t>
      </w:r>
      <w:r>
        <w:t xml:space="preserve"> limits on duty cycle and out-of-band emissions, </w:t>
      </w:r>
      <w:r w:rsidR="006A7DF6">
        <w:t xml:space="preserve">restriction to </w:t>
      </w:r>
      <w:r>
        <w:t>operation of the radar only while in-flight</w:t>
      </w:r>
      <w:r w:rsidR="006A7DF6">
        <w:t xml:space="preserve"> not while hovering</w:t>
      </w:r>
      <w:r>
        <w:t>, a</w:t>
      </w:r>
      <w:r w:rsidR="006A7DF6">
        <w:t>nd</w:t>
      </w:r>
      <w:r>
        <w:t xml:space="preserve"> a </w:t>
      </w:r>
      <w:r w:rsidR="006A7DF6">
        <w:t>limitation on U.S. sales to no more than 800 UAV</w:t>
      </w:r>
      <w:r>
        <w:t>s per year</w:t>
      </w:r>
      <w:r w:rsidR="006A7DF6">
        <w:t xml:space="preserve"> over five years.</w:t>
      </w:r>
    </w:p>
  </w:footnote>
  <w:footnote w:id="7">
    <w:p w:rsidR="00D54293" w:rsidP="00D54293" w14:paraId="09F4C7A8" w14:textId="77777777">
      <w:pPr>
        <w:pStyle w:val="FootnoteText"/>
      </w:pPr>
      <w:r>
        <w:rPr>
          <w:rStyle w:val="FootnoteReference"/>
        </w:rPr>
        <w:footnoteRef/>
      </w:r>
      <w:r>
        <w:t xml:space="preserve"> 47 C.F.R. § 15.255(b)(2).</w:t>
      </w:r>
    </w:p>
  </w:footnote>
  <w:footnote w:id="8">
    <w:p w:rsidR="00D54293" w14:paraId="2D503588" w14:textId="7D654F49">
      <w:pPr>
        <w:pStyle w:val="FootnoteText"/>
      </w:pPr>
      <w:r>
        <w:rPr>
          <w:rStyle w:val="FootnoteReference"/>
        </w:rPr>
        <w:footnoteRef/>
      </w:r>
      <w:r>
        <w:t xml:space="preserve"> 47 C.F.R. § 15.3(l)</w:t>
      </w:r>
      <w:r w:rsidR="00D62B33">
        <w:t xml:space="preserve">; </w:t>
      </w:r>
      <w:r w:rsidRPr="00E37FCE" w:rsidR="00D62B33">
        <w:rPr>
          <w:i/>
        </w:rPr>
        <w:t>Request</w:t>
      </w:r>
      <w:r w:rsidR="00D62B33">
        <w:t xml:space="preserve"> at 5</w:t>
      </w:r>
      <w:r w:rsidR="00D62B33">
        <w:noBreakHyphen/>
        <w:t>8.</w:t>
      </w:r>
    </w:p>
  </w:footnote>
  <w:footnote w:id="9">
    <w:p w:rsidR="00D62B33" w:rsidP="00D62B33" w14:paraId="436EAF79" w14:textId="77777777">
      <w:pPr>
        <w:pStyle w:val="FootnoteText"/>
      </w:pPr>
      <w:r>
        <w:rPr>
          <w:rStyle w:val="FootnoteReference"/>
        </w:rPr>
        <w:footnoteRef/>
      </w:r>
      <w:r>
        <w:t xml:space="preserve"> 47 C.F.R. § 15.255(a)(2).</w:t>
      </w:r>
    </w:p>
  </w:footnote>
  <w:footnote w:id="10">
    <w:p w:rsidR="00D62B33" w:rsidP="00D62B33" w14:paraId="084E9864" w14:textId="02BFDB7B">
      <w:pPr>
        <w:pStyle w:val="FootnoteText"/>
      </w:pPr>
      <w:r>
        <w:rPr>
          <w:rStyle w:val="FootnoteReference"/>
        </w:rPr>
        <w:footnoteRef/>
      </w:r>
      <w:r>
        <w:t xml:space="preserve"> 47 C.F.R. § 15.255(c)(3).  </w:t>
      </w:r>
      <w:r w:rsidRPr="00864F9C">
        <w:rPr>
          <w:szCs w:val="22"/>
        </w:rPr>
        <w:t>The Ictos system transmits at 0 dBm average EIRP and +18.7 dBm peak EIRP</w:t>
      </w:r>
      <w:r>
        <w:rPr>
          <w:szCs w:val="22"/>
        </w:rPr>
        <w:t>.</w:t>
      </w:r>
    </w:p>
  </w:footnote>
  <w:footnote w:id="11">
    <w:p w:rsidR="007C4207" w:rsidRPr="00E166C5" w14:paraId="4105F616" w14:textId="2F8B8944">
      <w:pPr>
        <w:pStyle w:val="FootnoteText"/>
      </w:pPr>
      <w:r>
        <w:rPr>
          <w:rStyle w:val="FootnoteReference"/>
        </w:rPr>
        <w:footnoteRef/>
      </w:r>
      <w:r>
        <w:t xml:space="preserve"> </w:t>
      </w:r>
      <w:r>
        <w:rPr>
          <w:i/>
        </w:rPr>
        <w:t>Request</w:t>
      </w:r>
      <w:r>
        <w:t xml:space="preserve"> at 8 and 11-12.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33A0B98F"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48E8FA14" w14:textId="77777777">
                    <w:pPr>
                      <w:rPr>
                        <w:rFonts w:ascii="Arial" w:hAnsi="Arial"/>
                        <w:b/>
                      </w:rPr>
                    </w:pPr>
                    <w:r>
                      <w:rPr>
                        <w:rFonts w:ascii="Arial" w:hAnsi="Arial"/>
                        <w:b/>
                      </w:rPr>
                      <w:t>Federal Communications Commission</w:t>
                    </w:r>
                  </w:p>
                  <w:p w:rsidR="00D47505" w:rsidP="00D47505" w14:paraId="2CCEAA2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0F619E2A" w14:textId="77777777">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81384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37FB6D34"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4C44987E" w14:textId="77777777">
                    <w:pPr>
                      <w:spacing w:before="40"/>
                      <w:jc w:val="right"/>
                      <w:rPr>
                        <w:rFonts w:ascii="Arial" w:hAnsi="Arial"/>
                        <w:b/>
                        <w:sz w:val="16"/>
                      </w:rPr>
                    </w:pPr>
                    <w:r>
                      <w:rPr>
                        <w:rFonts w:ascii="Arial" w:hAnsi="Arial"/>
                        <w:b/>
                        <w:sz w:val="16"/>
                      </w:rPr>
                      <w:t>News Media Information 202 / 418-0500</w:t>
                    </w:r>
                  </w:p>
                  <w:p w:rsidR="00D47505" w:rsidP="00D47505" w14:paraId="7E9AECF1"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D47505" w:rsidP="00B338A9" w14:paraId="1880CB38"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A6E"/>
    <w:rsid w:val="000103C7"/>
    <w:rsid w:val="000116D9"/>
    <w:rsid w:val="000222B6"/>
    <w:rsid w:val="00053D61"/>
    <w:rsid w:val="00090FF7"/>
    <w:rsid w:val="000A58AC"/>
    <w:rsid w:val="000B5110"/>
    <w:rsid w:val="000B6EED"/>
    <w:rsid w:val="000C66B2"/>
    <w:rsid w:val="000D0D50"/>
    <w:rsid w:val="000E05FE"/>
    <w:rsid w:val="000E0D98"/>
    <w:rsid w:val="000E3146"/>
    <w:rsid w:val="000E727D"/>
    <w:rsid w:val="00107EAD"/>
    <w:rsid w:val="001172D5"/>
    <w:rsid w:val="00122E9C"/>
    <w:rsid w:val="001658AA"/>
    <w:rsid w:val="00177581"/>
    <w:rsid w:val="001863BD"/>
    <w:rsid w:val="0019296C"/>
    <w:rsid w:val="001A0175"/>
    <w:rsid w:val="001B775F"/>
    <w:rsid w:val="001F2A96"/>
    <w:rsid w:val="001F7CF6"/>
    <w:rsid w:val="002160F9"/>
    <w:rsid w:val="002239AD"/>
    <w:rsid w:val="00244071"/>
    <w:rsid w:val="002543C6"/>
    <w:rsid w:val="002666FD"/>
    <w:rsid w:val="00266963"/>
    <w:rsid w:val="002679D9"/>
    <w:rsid w:val="00272477"/>
    <w:rsid w:val="0027596B"/>
    <w:rsid w:val="002D1467"/>
    <w:rsid w:val="002F61EF"/>
    <w:rsid w:val="0030144B"/>
    <w:rsid w:val="00310D09"/>
    <w:rsid w:val="003660ED"/>
    <w:rsid w:val="003662C3"/>
    <w:rsid w:val="003A042B"/>
    <w:rsid w:val="003D7368"/>
    <w:rsid w:val="003E37F3"/>
    <w:rsid w:val="004027A3"/>
    <w:rsid w:val="00407756"/>
    <w:rsid w:val="00430036"/>
    <w:rsid w:val="0043688F"/>
    <w:rsid w:val="00453096"/>
    <w:rsid w:val="004622E2"/>
    <w:rsid w:val="004759B6"/>
    <w:rsid w:val="00485DB7"/>
    <w:rsid w:val="0048712B"/>
    <w:rsid w:val="004A206D"/>
    <w:rsid w:val="004A383B"/>
    <w:rsid w:val="004A5769"/>
    <w:rsid w:val="004B1B66"/>
    <w:rsid w:val="004B537C"/>
    <w:rsid w:val="004C3A3C"/>
    <w:rsid w:val="004C43B5"/>
    <w:rsid w:val="004F5821"/>
    <w:rsid w:val="005039A0"/>
    <w:rsid w:val="00513583"/>
    <w:rsid w:val="00536044"/>
    <w:rsid w:val="00537084"/>
    <w:rsid w:val="0055614C"/>
    <w:rsid w:val="005722AA"/>
    <w:rsid w:val="00577D2E"/>
    <w:rsid w:val="00583267"/>
    <w:rsid w:val="00593D65"/>
    <w:rsid w:val="005957E9"/>
    <w:rsid w:val="005F1BA1"/>
    <w:rsid w:val="005F58A6"/>
    <w:rsid w:val="006113ED"/>
    <w:rsid w:val="00615EE6"/>
    <w:rsid w:val="0061785D"/>
    <w:rsid w:val="0063143E"/>
    <w:rsid w:val="00657E94"/>
    <w:rsid w:val="00666BE1"/>
    <w:rsid w:val="006746F4"/>
    <w:rsid w:val="0068269B"/>
    <w:rsid w:val="0069584C"/>
    <w:rsid w:val="006A1F49"/>
    <w:rsid w:val="006A7DF6"/>
    <w:rsid w:val="006B1297"/>
    <w:rsid w:val="007048E4"/>
    <w:rsid w:val="00725C81"/>
    <w:rsid w:val="007369EE"/>
    <w:rsid w:val="007408D1"/>
    <w:rsid w:val="00765FBE"/>
    <w:rsid w:val="00784A6E"/>
    <w:rsid w:val="00785DA2"/>
    <w:rsid w:val="00790A20"/>
    <w:rsid w:val="007B0109"/>
    <w:rsid w:val="007B1533"/>
    <w:rsid w:val="007C0A92"/>
    <w:rsid w:val="007C4207"/>
    <w:rsid w:val="007D5679"/>
    <w:rsid w:val="007E6246"/>
    <w:rsid w:val="007F1171"/>
    <w:rsid w:val="00800DF3"/>
    <w:rsid w:val="008076DB"/>
    <w:rsid w:val="008136F2"/>
    <w:rsid w:val="00813CE4"/>
    <w:rsid w:val="0082198E"/>
    <w:rsid w:val="00851703"/>
    <w:rsid w:val="008602E4"/>
    <w:rsid w:val="00864F9C"/>
    <w:rsid w:val="00895F6E"/>
    <w:rsid w:val="008A18FD"/>
    <w:rsid w:val="008A5695"/>
    <w:rsid w:val="008B1995"/>
    <w:rsid w:val="008E4AEE"/>
    <w:rsid w:val="008E7516"/>
    <w:rsid w:val="00915638"/>
    <w:rsid w:val="00916B27"/>
    <w:rsid w:val="00924804"/>
    <w:rsid w:val="00925F8F"/>
    <w:rsid w:val="00937998"/>
    <w:rsid w:val="00963E16"/>
    <w:rsid w:val="00965429"/>
    <w:rsid w:val="00965596"/>
    <w:rsid w:val="00967447"/>
    <w:rsid w:val="0097294C"/>
    <w:rsid w:val="00982681"/>
    <w:rsid w:val="009929A4"/>
    <w:rsid w:val="009B0DC1"/>
    <w:rsid w:val="009F1971"/>
    <w:rsid w:val="00A03013"/>
    <w:rsid w:val="00A4632E"/>
    <w:rsid w:val="00A71FE2"/>
    <w:rsid w:val="00A91810"/>
    <w:rsid w:val="00A9771B"/>
    <w:rsid w:val="00AA5334"/>
    <w:rsid w:val="00B20363"/>
    <w:rsid w:val="00B2268C"/>
    <w:rsid w:val="00B338A9"/>
    <w:rsid w:val="00B7366C"/>
    <w:rsid w:val="00B82B7D"/>
    <w:rsid w:val="00B85CF6"/>
    <w:rsid w:val="00BB5635"/>
    <w:rsid w:val="00BB5A86"/>
    <w:rsid w:val="00BC2EC4"/>
    <w:rsid w:val="00BC4799"/>
    <w:rsid w:val="00BF5693"/>
    <w:rsid w:val="00C37A4B"/>
    <w:rsid w:val="00C41A66"/>
    <w:rsid w:val="00C41D85"/>
    <w:rsid w:val="00C42516"/>
    <w:rsid w:val="00C63A0F"/>
    <w:rsid w:val="00C644DC"/>
    <w:rsid w:val="00C6585D"/>
    <w:rsid w:val="00C9616E"/>
    <w:rsid w:val="00C97890"/>
    <w:rsid w:val="00CB6EAC"/>
    <w:rsid w:val="00CE06C0"/>
    <w:rsid w:val="00D11302"/>
    <w:rsid w:val="00D216CD"/>
    <w:rsid w:val="00D25FB5"/>
    <w:rsid w:val="00D2789C"/>
    <w:rsid w:val="00D44BA8"/>
    <w:rsid w:val="00D45D39"/>
    <w:rsid w:val="00D47505"/>
    <w:rsid w:val="00D54293"/>
    <w:rsid w:val="00D62B33"/>
    <w:rsid w:val="00D64B11"/>
    <w:rsid w:val="00D661D6"/>
    <w:rsid w:val="00D70D2B"/>
    <w:rsid w:val="00D81E5B"/>
    <w:rsid w:val="00DB7F79"/>
    <w:rsid w:val="00DB7FC7"/>
    <w:rsid w:val="00DD1031"/>
    <w:rsid w:val="00DD4CBA"/>
    <w:rsid w:val="00DF2ED9"/>
    <w:rsid w:val="00DF70E3"/>
    <w:rsid w:val="00E04175"/>
    <w:rsid w:val="00E166C5"/>
    <w:rsid w:val="00E21E8A"/>
    <w:rsid w:val="00E37FCE"/>
    <w:rsid w:val="00E65020"/>
    <w:rsid w:val="00E731BA"/>
    <w:rsid w:val="00E96C4E"/>
    <w:rsid w:val="00EA52EB"/>
    <w:rsid w:val="00EB3688"/>
    <w:rsid w:val="00EB55F3"/>
    <w:rsid w:val="00EC3FE0"/>
    <w:rsid w:val="00EE7F04"/>
    <w:rsid w:val="00F13F17"/>
    <w:rsid w:val="00F411FE"/>
    <w:rsid w:val="00F6468A"/>
    <w:rsid w:val="00F71071"/>
    <w:rsid w:val="00F75614"/>
    <w:rsid w:val="00F813FE"/>
    <w:rsid w:val="00F8401C"/>
    <w:rsid w:val="00F8789E"/>
    <w:rsid w:val="00F92EB5"/>
    <w:rsid w:val="00FB0E93"/>
    <w:rsid w:val="00FC6D77"/>
    <w:rsid w:val="00FD40A0"/>
    <w:rsid w:val="00FE56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F6E"/>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D44BA8"/>
    <w:pPr>
      <w:ind w:left="720"/>
      <w:contextualSpacing/>
    </w:pPr>
  </w:style>
  <w:style w:type="character" w:customStyle="1" w:styleId="UnresolvedMention1">
    <w:name w:val="Unresolved Mention1"/>
    <w:basedOn w:val="DefaultParagraphFont"/>
    <w:rsid w:val="007C0A92"/>
    <w:rPr>
      <w:color w:val="605E5C"/>
      <w:shd w:val="clear" w:color="auto" w:fill="E1DFDD"/>
    </w:rPr>
  </w:style>
  <w:style w:type="character" w:styleId="CommentReference">
    <w:name w:val="annotation reference"/>
    <w:basedOn w:val="DefaultParagraphFont"/>
    <w:rsid w:val="002160F9"/>
    <w:rPr>
      <w:sz w:val="16"/>
      <w:szCs w:val="16"/>
    </w:rPr>
  </w:style>
  <w:style w:type="paragraph" w:styleId="CommentText">
    <w:name w:val="annotation text"/>
    <w:basedOn w:val="Normal"/>
    <w:link w:val="CommentTextChar"/>
    <w:rsid w:val="002160F9"/>
    <w:rPr>
      <w:sz w:val="20"/>
    </w:rPr>
  </w:style>
  <w:style w:type="character" w:customStyle="1" w:styleId="CommentTextChar">
    <w:name w:val="Comment Text Char"/>
    <w:basedOn w:val="DefaultParagraphFont"/>
    <w:link w:val="CommentText"/>
    <w:rsid w:val="002160F9"/>
  </w:style>
  <w:style w:type="paragraph" w:styleId="CommentSubject">
    <w:name w:val="annotation subject"/>
    <w:basedOn w:val="CommentText"/>
    <w:next w:val="CommentText"/>
    <w:link w:val="CommentSubjectChar"/>
    <w:rsid w:val="002160F9"/>
    <w:rPr>
      <w:b/>
      <w:bCs/>
    </w:rPr>
  </w:style>
  <w:style w:type="character" w:customStyle="1" w:styleId="CommentSubjectChar">
    <w:name w:val="Comment Subject Char"/>
    <w:basedOn w:val="CommentTextChar"/>
    <w:link w:val="CommentSubject"/>
    <w:rsid w:val="002160F9"/>
    <w:rPr>
      <w:b/>
      <w:bCs/>
    </w:rPr>
  </w:style>
  <w:style w:type="paragraph" w:styleId="Revision">
    <w:name w:val="Revision"/>
    <w:hidden/>
    <w:uiPriority w:val="99"/>
    <w:semiHidden/>
    <w:rsid w:val="002160F9"/>
    <w:rPr>
      <w:sz w:val="22"/>
    </w:rPr>
  </w:style>
  <w:style w:type="character" w:customStyle="1" w:styleId="FootnoteTextChar">
    <w:name w:val="Footnote Text Char"/>
    <w:basedOn w:val="DefaultParagraphFont"/>
    <w:link w:val="FootnoteText"/>
    <w:rsid w:val="00682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