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0AE70F90" w14:textId="71A0E64A">
      <w:pPr>
        <w:jc w:val="right"/>
        <w:rPr>
          <w:b/>
          <w:sz w:val="24"/>
        </w:rPr>
      </w:pPr>
      <w:r>
        <w:rPr>
          <w:b/>
          <w:sz w:val="24"/>
        </w:rPr>
        <w:t>DA 19-</w:t>
      </w:r>
      <w:r w:rsidR="00C822A5">
        <w:rPr>
          <w:b/>
          <w:sz w:val="24"/>
        </w:rPr>
        <w:t>1</w:t>
      </w:r>
      <w:r w:rsidR="004A4F32">
        <w:rPr>
          <w:b/>
          <w:sz w:val="24"/>
        </w:rPr>
        <w:t>202</w:t>
      </w:r>
    </w:p>
    <w:p w:rsidR="00013A8B" w:rsidRPr="00B20363" w:rsidP="00013A8B" w14:paraId="5D4CCD85" w14:textId="77777777">
      <w:pPr>
        <w:spacing w:before="60"/>
        <w:jc w:val="right"/>
        <w:rPr>
          <w:b/>
          <w:sz w:val="24"/>
        </w:rPr>
      </w:pPr>
      <w:r>
        <w:rPr>
          <w:b/>
          <w:sz w:val="24"/>
        </w:rPr>
        <w:t>November 21</w:t>
      </w:r>
      <w:r w:rsidR="00995124">
        <w:rPr>
          <w:b/>
          <w:sz w:val="24"/>
        </w:rPr>
        <w:t>, 2019</w:t>
      </w:r>
    </w:p>
    <w:p w:rsidR="00013A8B" w:rsidP="00013A8B" w14:paraId="667548B9" w14:textId="77777777">
      <w:pPr>
        <w:jc w:val="right"/>
        <w:rPr>
          <w:sz w:val="24"/>
        </w:rPr>
      </w:pPr>
    </w:p>
    <w:p w:rsidR="00013A8B" w:rsidRPr="00B20363" w:rsidP="00013A8B" w14:paraId="3C73C024" w14:textId="5889C934">
      <w:pPr>
        <w:spacing w:after="240"/>
        <w:jc w:val="center"/>
        <w:rPr>
          <w:rFonts w:ascii="Times New Roman Bold" w:hAnsi="Times New Roman Bold"/>
          <w:b/>
          <w:caps/>
          <w:sz w:val="24"/>
        </w:rPr>
      </w:pPr>
      <w:r>
        <w:rPr>
          <w:rFonts w:ascii="Times New Roman Bold" w:hAnsi="Times New Roman Bold"/>
          <w:b/>
          <w:caps/>
          <w:sz w:val="24"/>
        </w:rPr>
        <w:t>wireless telecommunications bureau establishes</w:t>
      </w:r>
      <w:r w:rsidR="007E4572">
        <w:rPr>
          <w:rFonts w:ascii="Times New Roman Bold" w:hAnsi="Times New Roman Bold"/>
          <w:b/>
          <w:caps/>
          <w:sz w:val="24"/>
        </w:rPr>
        <w:br/>
      </w:r>
      <w:r>
        <w:rPr>
          <w:rFonts w:ascii="Times New Roman Bold" w:hAnsi="Times New Roman Bold"/>
          <w:b/>
          <w:caps/>
          <w:sz w:val="24"/>
        </w:rPr>
        <w:t>wt docket n</w:t>
      </w:r>
      <w:r w:rsidR="007E4572">
        <w:rPr>
          <w:rFonts w:ascii="Times New Roman Bold" w:hAnsi="Times New Roman Bold"/>
          <w:b/>
          <w:caps/>
          <w:sz w:val="24"/>
        </w:rPr>
        <w:t>o</w:t>
      </w:r>
      <w:r>
        <w:rPr>
          <w:rFonts w:ascii="Times New Roman Bold" w:hAnsi="Times New Roman Bold"/>
          <w:b/>
          <w:caps/>
          <w:sz w:val="24"/>
        </w:rPr>
        <w:t>. 19-</w:t>
      </w:r>
      <w:r w:rsidRPr="00FE38ED" w:rsidR="00FE38ED">
        <w:rPr>
          <w:rFonts w:ascii="Times New Roman Bold" w:hAnsi="Times New Roman Bold"/>
          <w:b/>
          <w:caps/>
          <w:sz w:val="24"/>
        </w:rPr>
        <w:t>348</w:t>
      </w:r>
    </w:p>
    <w:p w:rsidR="00013A8B" w:rsidP="00013A8B" w14:paraId="3F9F043D" w14:textId="5E3C5A39">
      <w:pPr>
        <w:jc w:val="center"/>
        <w:rPr>
          <w:b/>
          <w:sz w:val="24"/>
        </w:rPr>
      </w:pPr>
      <w:r>
        <w:rPr>
          <w:b/>
          <w:sz w:val="24"/>
        </w:rPr>
        <w:t>WT Docket No. 19</w:t>
      </w:r>
      <w:r w:rsidR="007E4572">
        <w:rPr>
          <w:b/>
          <w:sz w:val="24"/>
        </w:rPr>
        <w:t>-</w:t>
      </w:r>
      <w:r w:rsidRPr="00FE38ED" w:rsidR="00FE38ED">
        <w:rPr>
          <w:b/>
          <w:sz w:val="24"/>
        </w:rPr>
        <w:t>348</w:t>
      </w:r>
    </w:p>
    <w:p w:rsidR="00F96F63" w:rsidRPr="00995124" w:rsidP="00F96F63" w14:paraId="527265DC" w14:textId="77777777">
      <w:pPr>
        <w:rPr>
          <w:sz w:val="24"/>
          <w:szCs w:val="24"/>
        </w:rPr>
      </w:pPr>
      <w:bookmarkStart w:id="0" w:name="TOChere"/>
    </w:p>
    <w:bookmarkEnd w:id="0"/>
    <w:p w:rsidR="00F96F63" w:rsidRPr="00995124" w:rsidP="00F96F63" w14:paraId="09BA90A0" w14:textId="77777777">
      <w:pPr>
        <w:rPr>
          <w:sz w:val="24"/>
          <w:szCs w:val="24"/>
        </w:rPr>
      </w:pPr>
    </w:p>
    <w:p w:rsidR="00930ECF" w:rsidRPr="00995124" w:rsidP="00F96F63" w14:paraId="554B0C96" w14:textId="621C4FEB">
      <w:pPr>
        <w:rPr>
          <w:sz w:val="24"/>
          <w:szCs w:val="24"/>
        </w:rPr>
      </w:pPr>
      <w:r w:rsidRPr="00995124">
        <w:rPr>
          <w:sz w:val="24"/>
          <w:szCs w:val="24"/>
        </w:rPr>
        <w:tab/>
        <w:t>By this Public Notice, the Wireless Telecommunications Bureau establish</w:t>
      </w:r>
      <w:r w:rsidR="00631C3F">
        <w:rPr>
          <w:sz w:val="24"/>
          <w:szCs w:val="24"/>
        </w:rPr>
        <w:t>es</w:t>
      </w:r>
      <w:r w:rsidRPr="00995124">
        <w:rPr>
          <w:sz w:val="24"/>
          <w:szCs w:val="24"/>
        </w:rPr>
        <w:t xml:space="preserve"> WT Docket No. 19-</w:t>
      </w:r>
      <w:r w:rsidR="00FE38ED">
        <w:rPr>
          <w:sz w:val="24"/>
          <w:szCs w:val="24"/>
        </w:rPr>
        <w:t>348</w:t>
      </w:r>
      <w:r w:rsidRPr="00995124">
        <w:rPr>
          <w:sz w:val="24"/>
          <w:szCs w:val="24"/>
        </w:rPr>
        <w:t>, which is captioned “</w:t>
      </w:r>
      <w:r w:rsidRPr="007E2DAF" w:rsidR="007E2DAF">
        <w:rPr>
          <w:sz w:val="24"/>
          <w:szCs w:val="24"/>
        </w:rPr>
        <w:t>Facilitating Shared Use in the 3.1-3.55 GHz Band</w:t>
      </w:r>
      <w:r w:rsidRPr="007F1C57" w:rsidR="00631C3F">
        <w:rPr>
          <w:sz w:val="24"/>
          <w:szCs w:val="24"/>
        </w:rPr>
        <w:t>.</w:t>
      </w:r>
      <w:r w:rsidRPr="00602F43" w:rsidR="00631C3F">
        <w:rPr>
          <w:sz w:val="24"/>
          <w:szCs w:val="24"/>
        </w:rPr>
        <w:t>”</w:t>
      </w:r>
    </w:p>
    <w:p w:rsidR="00995124" w:rsidRPr="00995124" w:rsidP="00F96F63" w14:paraId="3B2EB4C1" w14:textId="77777777">
      <w:pPr>
        <w:rPr>
          <w:sz w:val="24"/>
          <w:szCs w:val="24"/>
        </w:rPr>
      </w:pPr>
    </w:p>
    <w:p w:rsidR="00995124" w:rsidP="00F96F63" w14:paraId="09D916ED" w14:textId="16AD8128">
      <w:pPr>
        <w:rPr>
          <w:sz w:val="24"/>
          <w:szCs w:val="24"/>
        </w:rPr>
      </w:pPr>
      <w:r w:rsidRPr="00995124">
        <w:rPr>
          <w:sz w:val="24"/>
          <w:szCs w:val="24"/>
        </w:rPr>
        <w:tab/>
        <w:t>Presentations are subject to “permit-but-disclose</w:t>
      </w:r>
      <w:r w:rsidR="007F1C57">
        <w:rPr>
          <w:sz w:val="24"/>
          <w:szCs w:val="24"/>
        </w:rPr>
        <w:t>”</w:t>
      </w:r>
      <w:r w:rsidRPr="00995124">
        <w:rPr>
          <w:sz w:val="24"/>
          <w:szCs w:val="24"/>
        </w:rPr>
        <w:t xml:space="preserve"> </w:t>
      </w:r>
      <w:r w:rsidRPr="00995124">
        <w:rPr>
          <w:i/>
          <w:iCs/>
          <w:sz w:val="24"/>
          <w:szCs w:val="24"/>
        </w:rPr>
        <w:t xml:space="preserve">ex parte </w:t>
      </w:r>
      <w:r w:rsidRPr="00995124">
        <w:rPr>
          <w:sz w:val="24"/>
          <w:szCs w:val="24"/>
        </w:rPr>
        <w:t xml:space="preserve">rules.  </w:t>
      </w:r>
      <w:r w:rsidRPr="00995124">
        <w:rPr>
          <w:i/>
          <w:sz w:val="24"/>
          <w:szCs w:val="24"/>
        </w:rPr>
        <w:t xml:space="preserve">See </w:t>
      </w:r>
      <w:r w:rsidRPr="00995124">
        <w:rPr>
          <w:sz w:val="24"/>
          <w:szCs w:val="24"/>
        </w:rPr>
        <w:t>47 CFR §§ 1.120</w:t>
      </w:r>
      <w:r w:rsidR="00631C3F">
        <w:rPr>
          <w:sz w:val="24"/>
          <w:szCs w:val="24"/>
        </w:rPr>
        <w:t>6</w:t>
      </w:r>
      <w:r>
        <w:rPr>
          <w:iCs/>
          <w:sz w:val="24"/>
          <w:szCs w:val="24"/>
        </w:rPr>
        <w:t xml:space="preserve">, </w:t>
      </w:r>
      <w:bookmarkStart w:id="1" w:name="_GoBack"/>
      <w:bookmarkEnd w:id="1"/>
      <w:r>
        <w:rPr>
          <w:iCs/>
          <w:sz w:val="24"/>
          <w:szCs w:val="24"/>
        </w:rPr>
        <w:t>1.120</w:t>
      </w:r>
      <w:r w:rsidR="00631C3F">
        <w:rPr>
          <w:iCs/>
          <w:sz w:val="24"/>
          <w:szCs w:val="24"/>
        </w:rPr>
        <w:t>0(a)</w:t>
      </w:r>
      <w:r>
        <w:rPr>
          <w:iCs/>
          <w:sz w:val="24"/>
          <w:szCs w:val="24"/>
        </w:rPr>
        <w:t>.</w:t>
      </w:r>
      <w:r w:rsidRPr="00995124">
        <w:rPr>
          <w:i/>
          <w:iCs/>
          <w:sz w:val="24"/>
          <w:szCs w:val="24"/>
        </w:rPr>
        <w:t xml:space="preserve">  </w:t>
      </w:r>
      <w:r w:rsidRPr="00995124">
        <w:rPr>
          <w:sz w:val="24"/>
          <w:szCs w:val="24"/>
        </w:rPr>
        <w:t xml:space="preserve">Persons making </w:t>
      </w:r>
      <w:r w:rsidRPr="00995124">
        <w:rPr>
          <w:i/>
          <w:sz w:val="24"/>
          <w:szCs w:val="24"/>
        </w:rPr>
        <w:t xml:space="preserve">ex parte </w:t>
      </w:r>
      <w:r w:rsidRPr="00995124">
        <w:rPr>
          <w:sz w:val="24"/>
          <w:szCs w:val="24"/>
        </w:rPr>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631C3F">
        <w:rPr>
          <w:i/>
          <w:sz w:val="24"/>
          <w:szCs w:val="24"/>
        </w:rPr>
        <w:t xml:space="preserve">ex parte </w:t>
      </w:r>
      <w:r w:rsidRPr="00A5133A">
        <w:rPr>
          <w:sz w:val="24"/>
          <w:szCs w:val="24"/>
        </w:rPr>
        <w:t>rules,</w:t>
      </w:r>
      <w:r w:rsidRPr="00995124">
        <w:rPr>
          <w:sz w:val="24"/>
          <w:szCs w:val="24"/>
        </w:rPr>
        <w:t xml:space="preserve"> including the general prohibition on presentations (written and oral) on matters listed on the Sunshine Agenda, which typically </w:t>
      </w:r>
      <w:r w:rsidRPr="00995124" w:rsidR="007B15E7">
        <w:rPr>
          <w:sz w:val="24"/>
          <w:szCs w:val="24"/>
        </w:rPr>
        <w:t xml:space="preserve">is </w:t>
      </w:r>
      <w:r w:rsidRPr="00995124">
        <w:rPr>
          <w:sz w:val="24"/>
          <w:szCs w:val="24"/>
        </w:rPr>
        <w:t>released a week prior to the Commission’s meeting</w:t>
      </w:r>
      <w:r w:rsidRPr="00995124">
        <w:rPr>
          <w:i/>
          <w:sz w:val="24"/>
          <w:szCs w:val="24"/>
        </w:rPr>
        <w:t>.</w:t>
      </w:r>
      <w:r>
        <w:rPr>
          <w:i/>
          <w:sz w:val="24"/>
          <w:szCs w:val="24"/>
        </w:rPr>
        <w:t xml:space="preserve"> </w:t>
      </w:r>
      <w:r w:rsidRPr="00995124">
        <w:rPr>
          <w:i/>
          <w:sz w:val="24"/>
          <w:szCs w:val="24"/>
        </w:rPr>
        <w:t xml:space="preserve"> See</w:t>
      </w:r>
      <w:r w:rsidRPr="00995124">
        <w:rPr>
          <w:sz w:val="24"/>
          <w:szCs w:val="24"/>
        </w:rPr>
        <w:t xml:space="preserve"> 47</w:t>
      </w:r>
      <w:r w:rsidR="00A5133A">
        <w:rPr>
          <w:sz w:val="24"/>
          <w:szCs w:val="24"/>
        </w:rPr>
        <w:t> </w:t>
      </w:r>
      <w:r w:rsidRPr="00995124">
        <w:rPr>
          <w:sz w:val="24"/>
          <w:szCs w:val="24"/>
        </w:rPr>
        <w:t>CFR</w:t>
      </w:r>
      <w:r w:rsidR="00A5133A">
        <w:rPr>
          <w:sz w:val="24"/>
          <w:szCs w:val="24"/>
        </w:rPr>
        <w:t> </w:t>
      </w:r>
      <w:r w:rsidRPr="00995124">
        <w:rPr>
          <w:sz w:val="24"/>
          <w:szCs w:val="24"/>
        </w:rPr>
        <w:t>§§</w:t>
      </w:r>
      <w:r w:rsidR="00A5133A">
        <w:rPr>
          <w:sz w:val="24"/>
          <w:szCs w:val="24"/>
        </w:rPr>
        <w:t> </w:t>
      </w:r>
      <w:r w:rsidRPr="00995124">
        <w:rPr>
          <w:sz w:val="24"/>
          <w:szCs w:val="24"/>
        </w:rPr>
        <w:t>1.1200(a), 1.1203</w:t>
      </w:r>
      <w:r>
        <w:rPr>
          <w:sz w:val="24"/>
          <w:szCs w:val="24"/>
        </w:rPr>
        <w:t>.</w:t>
      </w:r>
    </w:p>
    <w:p w:rsidR="00995124" w:rsidP="00F96F63" w14:paraId="68512829" w14:textId="77777777">
      <w:pPr>
        <w:rPr>
          <w:sz w:val="24"/>
          <w:szCs w:val="24"/>
        </w:rPr>
      </w:pPr>
    </w:p>
    <w:p w:rsidR="00995124" w:rsidP="00F96F63" w14:paraId="0C7E913A" w14:textId="77777777">
      <w:pPr>
        <w:rPr>
          <w:sz w:val="24"/>
          <w:szCs w:val="24"/>
        </w:rPr>
      </w:pPr>
      <w:r>
        <w:rPr>
          <w:sz w:val="24"/>
          <w:szCs w:val="24"/>
        </w:rPr>
        <w:tab/>
        <w:t>Action by Chief, Wireless Telecommunications Bureau.</w:t>
      </w:r>
    </w:p>
    <w:p w:rsidR="008C352C" w:rsidP="00F96F63" w14:paraId="6E9619DC" w14:textId="77777777">
      <w:pPr>
        <w:rPr>
          <w:sz w:val="24"/>
          <w:szCs w:val="24"/>
        </w:rPr>
      </w:pPr>
    </w:p>
    <w:p w:rsidR="00995124" w:rsidP="00F96F63" w14:paraId="0F6B0B2E" w14:textId="77777777">
      <w:pPr>
        <w:rPr>
          <w:sz w:val="24"/>
          <w:szCs w:val="24"/>
        </w:rPr>
      </w:pPr>
    </w:p>
    <w:p w:rsidR="00995124" w:rsidRPr="00995124" w:rsidP="00995124" w14:paraId="189899BD" w14:textId="77777777">
      <w:pPr>
        <w:jc w:val="center"/>
        <w:rPr>
          <w:sz w:val="24"/>
          <w:szCs w:val="24"/>
        </w:rPr>
      </w:pPr>
      <w:r w:rsidRPr="00995124">
        <w:rPr>
          <w:b/>
          <w:sz w:val="24"/>
          <w:szCs w:val="24"/>
        </w:rPr>
        <w:t>-FCC-</w:t>
      </w:r>
    </w:p>
    <w:sectPr w:rsidSect="000E5884">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BFA2F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7F208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BD6979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52C" w:rsidP="008C352C" w14:paraId="7B3B5944" w14:textId="77777777">
    <w:pPr>
      <w:pStyle w:val="Footer"/>
      <w:jc w:val="center"/>
    </w:pPr>
    <w:r>
      <w:fldChar w:fldCharType="begin"/>
    </w:r>
    <w:r>
      <w:instrText xml:space="preserve"> PAGE   \* MERGEFORMAT </w:instrText>
    </w:r>
    <w:r>
      <w:fldChar w:fldCharType="separate"/>
    </w:r>
    <w: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74B7879"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355999F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973802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10701C2"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A9542DD" w14:textId="77777777">
                    <w:pPr>
                      <w:rPr>
                        <w:rFonts w:ascii="Arial" w:hAnsi="Arial"/>
                        <w:b/>
                      </w:rPr>
                    </w:pPr>
                    <w:r>
                      <w:rPr>
                        <w:rFonts w:ascii="Arial" w:hAnsi="Arial"/>
                        <w:b/>
                      </w:rPr>
                      <w:t>Federal Communications Commission</w:t>
                    </w:r>
                  </w:p>
                  <w:p w:rsidR="009838BC" w:rsidP="009838BC" w14:paraId="7B33127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1594F6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93336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4DB0DFB"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C820DA3" w14:textId="77777777">
                    <w:pPr>
                      <w:spacing w:before="40"/>
                      <w:jc w:val="right"/>
                      <w:rPr>
                        <w:rFonts w:ascii="Arial" w:hAnsi="Arial"/>
                        <w:b/>
                        <w:sz w:val="16"/>
                      </w:rPr>
                    </w:pPr>
                    <w:r>
                      <w:rPr>
                        <w:rFonts w:ascii="Arial" w:hAnsi="Arial"/>
                        <w:b/>
                        <w:sz w:val="16"/>
                      </w:rPr>
                      <w:t>News Media Information 202 / 418-0500</w:t>
                    </w:r>
                  </w:p>
                  <w:p w:rsidR="009838BC" w:rsidP="009838BC" w14:paraId="1451FDE2"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8858E83" w14:textId="77777777">
                    <w:pPr>
                      <w:jc w:val="right"/>
                    </w:pPr>
                    <w:r>
                      <w:rPr>
                        <w:rFonts w:ascii="Arial" w:hAnsi="Arial"/>
                        <w:b/>
                        <w:sz w:val="16"/>
                      </w:rPr>
                      <w:t>TTY: 1-888-835-5322</w:t>
                    </w:r>
                  </w:p>
                </w:txbxContent>
              </v:textbox>
            </v:shape>
          </w:pict>
        </mc:Fallback>
      </mc:AlternateContent>
    </w:r>
  </w:p>
  <w:p w:rsidR="006F7393" w:rsidRPr="009838BC" w:rsidP="009838BC" w14:paraId="62B3F78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4"/>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B3C00"/>
    <w:rsid w:val="00343749"/>
    <w:rsid w:val="00357D50"/>
    <w:rsid w:val="003925DC"/>
    <w:rsid w:val="003B0550"/>
    <w:rsid w:val="003B694F"/>
    <w:rsid w:val="003F171C"/>
    <w:rsid w:val="00412FC5"/>
    <w:rsid w:val="00413FA6"/>
    <w:rsid w:val="00422276"/>
    <w:rsid w:val="004242F1"/>
    <w:rsid w:val="00445A00"/>
    <w:rsid w:val="00451B0F"/>
    <w:rsid w:val="0046125F"/>
    <w:rsid w:val="00487524"/>
    <w:rsid w:val="00496106"/>
    <w:rsid w:val="004A4F32"/>
    <w:rsid w:val="004C12D0"/>
    <w:rsid w:val="004C2EE3"/>
    <w:rsid w:val="004E4A22"/>
    <w:rsid w:val="00511968"/>
    <w:rsid w:val="0055614C"/>
    <w:rsid w:val="00602F43"/>
    <w:rsid w:val="00607BA5"/>
    <w:rsid w:val="00626EB6"/>
    <w:rsid w:val="00631C3F"/>
    <w:rsid w:val="006353A3"/>
    <w:rsid w:val="00655D03"/>
    <w:rsid w:val="00683F84"/>
    <w:rsid w:val="006A6A81"/>
    <w:rsid w:val="006E26AF"/>
    <w:rsid w:val="006F7393"/>
    <w:rsid w:val="0070224F"/>
    <w:rsid w:val="007115F7"/>
    <w:rsid w:val="00785689"/>
    <w:rsid w:val="0079754B"/>
    <w:rsid w:val="007A1E6D"/>
    <w:rsid w:val="007B15E7"/>
    <w:rsid w:val="007E2DAF"/>
    <w:rsid w:val="007E4572"/>
    <w:rsid w:val="007F1C57"/>
    <w:rsid w:val="00820767"/>
    <w:rsid w:val="00822CE0"/>
    <w:rsid w:val="00837C62"/>
    <w:rsid w:val="00841AB1"/>
    <w:rsid w:val="008C22FD"/>
    <w:rsid w:val="008C352C"/>
    <w:rsid w:val="00910F12"/>
    <w:rsid w:val="00926503"/>
    <w:rsid w:val="00930ECF"/>
    <w:rsid w:val="0093351F"/>
    <w:rsid w:val="009838BC"/>
    <w:rsid w:val="00995124"/>
    <w:rsid w:val="009A4F28"/>
    <w:rsid w:val="009F46E9"/>
    <w:rsid w:val="00A034E4"/>
    <w:rsid w:val="00A301B7"/>
    <w:rsid w:val="00A45F4F"/>
    <w:rsid w:val="00A5133A"/>
    <w:rsid w:val="00A600A9"/>
    <w:rsid w:val="00A866AC"/>
    <w:rsid w:val="00AA55B7"/>
    <w:rsid w:val="00AA5B9E"/>
    <w:rsid w:val="00AB2407"/>
    <w:rsid w:val="00AB53DF"/>
    <w:rsid w:val="00AC63DA"/>
    <w:rsid w:val="00B07E5C"/>
    <w:rsid w:val="00B20363"/>
    <w:rsid w:val="00B326E3"/>
    <w:rsid w:val="00B811F7"/>
    <w:rsid w:val="00BA0A95"/>
    <w:rsid w:val="00BA485D"/>
    <w:rsid w:val="00BA5DC6"/>
    <w:rsid w:val="00BA6196"/>
    <w:rsid w:val="00BC6D8C"/>
    <w:rsid w:val="00BE01EC"/>
    <w:rsid w:val="00C16AF2"/>
    <w:rsid w:val="00C34006"/>
    <w:rsid w:val="00C426B1"/>
    <w:rsid w:val="00C822A5"/>
    <w:rsid w:val="00C82B6B"/>
    <w:rsid w:val="00C90D6A"/>
    <w:rsid w:val="00CC72B6"/>
    <w:rsid w:val="00D0218D"/>
    <w:rsid w:val="00D216CD"/>
    <w:rsid w:val="00D672F2"/>
    <w:rsid w:val="00DA2529"/>
    <w:rsid w:val="00DB130A"/>
    <w:rsid w:val="00DC10A1"/>
    <w:rsid w:val="00DC655F"/>
    <w:rsid w:val="00DD7EBD"/>
    <w:rsid w:val="00DF62B6"/>
    <w:rsid w:val="00E07225"/>
    <w:rsid w:val="00E155B7"/>
    <w:rsid w:val="00E5409F"/>
    <w:rsid w:val="00E60A78"/>
    <w:rsid w:val="00EA05BF"/>
    <w:rsid w:val="00EC0185"/>
    <w:rsid w:val="00F021FA"/>
    <w:rsid w:val="00F57ACA"/>
    <w:rsid w:val="00F62E97"/>
    <w:rsid w:val="00F64209"/>
    <w:rsid w:val="00F93BF5"/>
    <w:rsid w:val="00F96F63"/>
    <w:rsid w:val="00FE38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27D726-22E9-4972-A0BD-AE41B93E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basedOn w:val="DefaultParagraphFont"/>
    <w:uiPriority w:val="99"/>
    <w:semiHidden/>
    <w:unhideWhenUsed/>
    <w:rsid w:val="009F46E9"/>
    <w:rPr>
      <w:sz w:val="16"/>
      <w:szCs w:val="16"/>
    </w:rPr>
  </w:style>
  <w:style w:type="paragraph" w:styleId="CommentText">
    <w:name w:val="annotation text"/>
    <w:basedOn w:val="Normal"/>
    <w:link w:val="CommentTextChar"/>
    <w:uiPriority w:val="99"/>
    <w:semiHidden/>
    <w:unhideWhenUsed/>
    <w:rsid w:val="009F46E9"/>
    <w:rPr>
      <w:sz w:val="20"/>
    </w:rPr>
  </w:style>
  <w:style w:type="character" w:customStyle="1" w:styleId="CommentTextChar">
    <w:name w:val="Comment Text Char"/>
    <w:basedOn w:val="DefaultParagraphFont"/>
    <w:link w:val="CommentText"/>
    <w:uiPriority w:val="99"/>
    <w:semiHidden/>
    <w:rsid w:val="009F46E9"/>
    <w:rPr>
      <w:snapToGrid w:val="0"/>
      <w:kern w:val="28"/>
    </w:rPr>
  </w:style>
  <w:style w:type="paragraph" w:styleId="CommentSubject">
    <w:name w:val="annotation subject"/>
    <w:basedOn w:val="CommentText"/>
    <w:next w:val="CommentText"/>
    <w:link w:val="CommentSubjectChar"/>
    <w:uiPriority w:val="99"/>
    <w:semiHidden/>
    <w:unhideWhenUsed/>
    <w:rsid w:val="009F46E9"/>
    <w:rPr>
      <w:b/>
      <w:bCs/>
    </w:rPr>
  </w:style>
  <w:style w:type="character" w:customStyle="1" w:styleId="CommentSubjectChar">
    <w:name w:val="Comment Subject Char"/>
    <w:basedOn w:val="CommentTextChar"/>
    <w:link w:val="CommentSubject"/>
    <w:uiPriority w:val="99"/>
    <w:semiHidden/>
    <w:rsid w:val="009F46E9"/>
    <w:rPr>
      <w:b/>
      <w:bCs/>
      <w:snapToGrid w:val="0"/>
      <w:kern w:val="28"/>
    </w:rPr>
  </w:style>
  <w:style w:type="paragraph" w:styleId="BalloonText">
    <w:name w:val="Balloon Text"/>
    <w:basedOn w:val="Normal"/>
    <w:link w:val="BalloonTextChar"/>
    <w:uiPriority w:val="99"/>
    <w:semiHidden/>
    <w:unhideWhenUsed/>
    <w:rsid w:val="009F4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6E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