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D59BE" w:rsidP="00AD59BE" w14:paraId="2F17EA00"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AD59BE" w:rsidP="00AD59BE" w14:paraId="4378C237" w14:textId="77777777">
      <w:pPr>
        <w:pStyle w:val="StyleBoldCentered"/>
      </w:pPr>
      <w:r>
        <w:t>F</w:t>
      </w:r>
      <w:r>
        <w:rPr>
          <w:caps w:val="0"/>
        </w:rPr>
        <w:t>ederal Communications Commission</w:t>
      </w:r>
    </w:p>
    <w:p w:rsidR="00AD59BE" w:rsidP="00AD59BE" w14:paraId="0ABF8503" w14:textId="77777777">
      <w:pPr>
        <w:pStyle w:val="StyleBoldCentered"/>
      </w:pPr>
      <w:r>
        <w:rPr>
          <w:caps w:val="0"/>
        </w:rPr>
        <w:t>Washington, D.C. 20554</w:t>
      </w:r>
    </w:p>
    <w:p w:rsidR="00AD59BE" w:rsidP="00AD59BE" w14:paraId="705E6D13" w14:textId="77777777"/>
    <w:tbl>
      <w:tblPr>
        <w:tblW w:w="0" w:type="auto"/>
        <w:tblLayout w:type="fixed"/>
        <w:tblLook w:val="0000"/>
      </w:tblPr>
      <w:tblGrid>
        <w:gridCol w:w="4698"/>
        <w:gridCol w:w="630"/>
        <w:gridCol w:w="4248"/>
      </w:tblGrid>
      <w:tr w14:paraId="5E9A6C2A" w14:textId="77777777" w:rsidTr="000B0BDF">
        <w:tblPrEx>
          <w:tblW w:w="0" w:type="auto"/>
          <w:tblLayout w:type="fixed"/>
          <w:tblLook w:val="0000"/>
        </w:tblPrEx>
        <w:tc>
          <w:tcPr>
            <w:tcW w:w="4698" w:type="dxa"/>
          </w:tcPr>
          <w:p w:rsidR="00AD59BE" w:rsidP="000B0BDF" w14:paraId="718B5973" w14:textId="77777777">
            <w:pPr>
              <w:tabs>
                <w:tab w:val="center" w:pos="4680"/>
              </w:tabs>
              <w:suppressAutoHyphens/>
              <w:rPr>
                <w:spacing w:val="-2"/>
              </w:rPr>
            </w:pPr>
            <w:r>
              <w:rPr>
                <w:spacing w:val="-2"/>
              </w:rPr>
              <w:t>In the Matter of</w:t>
            </w:r>
          </w:p>
          <w:p w:rsidR="00AD59BE" w:rsidP="000B0BDF" w14:paraId="09F3922F" w14:textId="77777777">
            <w:pPr>
              <w:tabs>
                <w:tab w:val="center" w:pos="4680"/>
              </w:tabs>
              <w:suppressAutoHyphens/>
              <w:rPr>
                <w:spacing w:val="-2"/>
              </w:rPr>
            </w:pPr>
          </w:p>
          <w:p w:rsidR="00AD59BE" w:rsidRPr="0006030A" w:rsidP="000B0BDF" w14:paraId="603BBCDC" w14:textId="77777777">
            <w:pPr>
              <w:tabs>
                <w:tab w:val="center" w:pos="4680"/>
              </w:tabs>
              <w:suppressAutoHyphens/>
              <w:rPr>
                <w:spacing w:val="-2"/>
              </w:rPr>
            </w:pPr>
            <w:r w:rsidRPr="0006030A">
              <w:rPr>
                <w:spacing w:val="-2"/>
              </w:rPr>
              <w:t>Consent to Transfer Control of Certain License Subsidiaries of NBI Holdings, LLC to Terrier Media Buyer, Inc.</w:t>
            </w:r>
          </w:p>
          <w:p w:rsidR="00AD59BE" w:rsidRPr="0006030A" w:rsidP="000B0BDF" w14:paraId="6EC92F11" w14:textId="77777777">
            <w:pPr>
              <w:tabs>
                <w:tab w:val="center" w:pos="4680"/>
              </w:tabs>
              <w:suppressAutoHyphens/>
              <w:rPr>
                <w:spacing w:val="-2"/>
              </w:rPr>
            </w:pPr>
          </w:p>
          <w:p w:rsidR="00AD59BE" w:rsidRPr="0006030A" w:rsidP="000B0BDF" w14:paraId="371F95A3" w14:textId="77777777">
            <w:pPr>
              <w:tabs>
                <w:tab w:val="center" w:pos="4680"/>
              </w:tabs>
              <w:suppressAutoHyphens/>
              <w:rPr>
                <w:spacing w:val="-2"/>
              </w:rPr>
            </w:pPr>
            <w:r w:rsidRPr="0006030A">
              <w:rPr>
                <w:spacing w:val="-2"/>
              </w:rPr>
              <w:t>Consent to Transfer Control of Certain License Subsidiaries of Cox Enterprises, Inc. to Terrier Media Buyer, Inc.</w:t>
            </w:r>
          </w:p>
          <w:p w:rsidR="00AD59BE" w:rsidRPr="0006030A" w:rsidP="000B0BDF" w14:paraId="51BC6ECC" w14:textId="77777777">
            <w:pPr>
              <w:tabs>
                <w:tab w:val="center" w:pos="4680"/>
              </w:tabs>
              <w:suppressAutoHyphens/>
              <w:rPr>
                <w:spacing w:val="-2"/>
              </w:rPr>
            </w:pPr>
          </w:p>
          <w:p w:rsidR="00AD59BE" w:rsidRPr="0006030A" w:rsidP="000B0BDF" w14:paraId="44F3671E" w14:textId="77777777">
            <w:pPr>
              <w:tabs>
                <w:tab w:val="center" w:pos="4680"/>
              </w:tabs>
              <w:suppressAutoHyphens/>
              <w:rPr>
                <w:spacing w:val="-2"/>
              </w:rPr>
            </w:pPr>
            <w:r w:rsidRPr="0006030A">
              <w:rPr>
                <w:spacing w:val="-2"/>
              </w:rPr>
              <w:t>Consent to Assign Certain Licenses Held by Cox Radio, Inc. to Camelot Radio Buyer, LLC</w:t>
            </w:r>
          </w:p>
          <w:p w:rsidR="00AD59BE" w:rsidRPr="0006030A" w:rsidP="000B0BDF" w14:paraId="48C7D007" w14:textId="77777777">
            <w:pPr>
              <w:tabs>
                <w:tab w:val="center" w:pos="4680"/>
              </w:tabs>
              <w:suppressAutoHyphens/>
              <w:rPr>
                <w:spacing w:val="-2"/>
              </w:rPr>
            </w:pPr>
          </w:p>
          <w:p w:rsidR="00AD59BE" w:rsidRPr="0006030A" w:rsidP="000B0BDF" w14:paraId="34846620" w14:textId="77777777">
            <w:pPr>
              <w:tabs>
                <w:tab w:val="center" w:pos="4680"/>
              </w:tabs>
              <w:suppressAutoHyphens/>
              <w:rPr>
                <w:spacing w:val="-2"/>
              </w:rPr>
            </w:pPr>
            <w:r w:rsidRPr="0006030A">
              <w:rPr>
                <w:spacing w:val="-2"/>
              </w:rPr>
              <w:t>Consent to Transfer Control of Certain License Subsidiaries of Cox Enterprises, Inc. to Terrier Media Buyer, Inc.</w:t>
            </w:r>
          </w:p>
          <w:p w:rsidR="00AD59BE" w:rsidRPr="0006030A" w:rsidP="000B0BDF" w14:paraId="564E9B56" w14:textId="77777777">
            <w:pPr>
              <w:tabs>
                <w:tab w:val="center" w:pos="4680"/>
              </w:tabs>
              <w:suppressAutoHyphens/>
              <w:rPr>
                <w:spacing w:val="-2"/>
              </w:rPr>
            </w:pPr>
          </w:p>
          <w:p w:rsidR="00AD59BE" w:rsidRPr="007115F7" w:rsidP="000B0BDF" w14:paraId="20AA178C" w14:textId="77777777">
            <w:pPr>
              <w:tabs>
                <w:tab w:val="center" w:pos="4680"/>
              </w:tabs>
              <w:suppressAutoHyphens/>
              <w:rPr>
                <w:spacing w:val="-2"/>
              </w:rPr>
            </w:pPr>
            <w:r w:rsidRPr="0006030A">
              <w:rPr>
                <w:spacing w:val="-2"/>
              </w:rPr>
              <w:t>Consent to Assign Certain Licenses from Cox Radio, Inc. to CXR Radio, LLC</w:t>
            </w:r>
          </w:p>
        </w:tc>
        <w:tc>
          <w:tcPr>
            <w:tcW w:w="630" w:type="dxa"/>
          </w:tcPr>
          <w:p w:rsidR="00AD59BE" w:rsidP="000B0BDF" w14:paraId="38561F84" w14:textId="77777777">
            <w:pPr>
              <w:tabs>
                <w:tab w:val="center" w:pos="4680"/>
              </w:tabs>
              <w:suppressAutoHyphens/>
              <w:rPr>
                <w:b/>
                <w:spacing w:val="-2"/>
              </w:rPr>
            </w:pPr>
            <w:r>
              <w:rPr>
                <w:b/>
                <w:spacing w:val="-2"/>
              </w:rPr>
              <w:t>)</w:t>
            </w:r>
          </w:p>
          <w:p w:rsidR="00AD59BE" w:rsidP="000B0BDF" w14:paraId="5B03D3A2" w14:textId="77777777">
            <w:pPr>
              <w:tabs>
                <w:tab w:val="center" w:pos="4680"/>
              </w:tabs>
              <w:suppressAutoHyphens/>
              <w:rPr>
                <w:b/>
                <w:spacing w:val="-2"/>
              </w:rPr>
            </w:pPr>
            <w:r>
              <w:rPr>
                <w:b/>
                <w:spacing w:val="-2"/>
              </w:rPr>
              <w:t>)</w:t>
            </w:r>
          </w:p>
          <w:p w:rsidR="00AD59BE" w:rsidP="000B0BDF" w14:paraId="3CDACF09" w14:textId="77777777">
            <w:pPr>
              <w:tabs>
                <w:tab w:val="center" w:pos="4680"/>
              </w:tabs>
              <w:suppressAutoHyphens/>
              <w:rPr>
                <w:b/>
                <w:spacing w:val="-2"/>
              </w:rPr>
            </w:pPr>
            <w:r>
              <w:rPr>
                <w:b/>
                <w:spacing w:val="-2"/>
              </w:rPr>
              <w:t>)</w:t>
            </w:r>
          </w:p>
          <w:p w:rsidR="00AD59BE" w:rsidP="000B0BDF" w14:paraId="3145564D" w14:textId="77777777">
            <w:pPr>
              <w:tabs>
                <w:tab w:val="center" w:pos="4680"/>
              </w:tabs>
              <w:suppressAutoHyphens/>
              <w:rPr>
                <w:b/>
                <w:spacing w:val="-2"/>
              </w:rPr>
            </w:pPr>
            <w:r>
              <w:rPr>
                <w:b/>
                <w:spacing w:val="-2"/>
              </w:rPr>
              <w:t>)</w:t>
            </w:r>
          </w:p>
          <w:p w:rsidR="00AD59BE" w:rsidP="000B0BDF" w14:paraId="4C0C8D22" w14:textId="77777777">
            <w:pPr>
              <w:tabs>
                <w:tab w:val="center" w:pos="4680"/>
              </w:tabs>
              <w:suppressAutoHyphens/>
              <w:rPr>
                <w:b/>
                <w:spacing w:val="-2"/>
              </w:rPr>
            </w:pPr>
            <w:r>
              <w:rPr>
                <w:b/>
                <w:spacing w:val="-2"/>
              </w:rPr>
              <w:t>)</w:t>
            </w:r>
          </w:p>
          <w:p w:rsidR="00AD59BE" w:rsidP="000B0BDF" w14:paraId="188F1DEE" w14:textId="77777777">
            <w:pPr>
              <w:tabs>
                <w:tab w:val="center" w:pos="4680"/>
              </w:tabs>
              <w:suppressAutoHyphens/>
              <w:rPr>
                <w:b/>
                <w:spacing w:val="-2"/>
              </w:rPr>
            </w:pPr>
            <w:r>
              <w:rPr>
                <w:b/>
                <w:spacing w:val="-2"/>
              </w:rPr>
              <w:t>)</w:t>
            </w:r>
          </w:p>
          <w:p w:rsidR="00AD59BE" w:rsidP="000B0BDF" w14:paraId="457BFF5D" w14:textId="77777777">
            <w:pPr>
              <w:tabs>
                <w:tab w:val="center" w:pos="4680"/>
              </w:tabs>
              <w:suppressAutoHyphens/>
              <w:rPr>
                <w:b/>
                <w:spacing w:val="-2"/>
              </w:rPr>
            </w:pPr>
            <w:r>
              <w:rPr>
                <w:b/>
                <w:spacing w:val="-2"/>
              </w:rPr>
              <w:t>)</w:t>
            </w:r>
          </w:p>
          <w:p w:rsidR="00AD59BE" w:rsidP="000B0BDF" w14:paraId="41006CB3" w14:textId="77777777">
            <w:pPr>
              <w:tabs>
                <w:tab w:val="center" w:pos="4680"/>
              </w:tabs>
              <w:suppressAutoHyphens/>
              <w:rPr>
                <w:b/>
                <w:spacing w:val="-2"/>
              </w:rPr>
            </w:pPr>
            <w:r>
              <w:rPr>
                <w:b/>
                <w:spacing w:val="-2"/>
              </w:rPr>
              <w:t>)</w:t>
            </w:r>
          </w:p>
          <w:p w:rsidR="00AD59BE" w:rsidP="000B0BDF" w14:paraId="4856E7AB" w14:textId="77777777">
            <w:pPr>
              <w:tabs>
                <w:tab w:val="center" w:pos="4680"/>
              </w:tabs>
              <w:suppressAutoHyphens/>
              <w:rPr>
                <w:b/>
                <w:spacing w:val="-2"/>
              </w:rPr>
            </w:pPr>
            <w:r>
              <w:rPr>
                <w:b/>
                <w:spacing w:val="-2"/>
              </w:rPr>
              <w:t>)</w:t>
            </w:r>
          </w:p>
          <w:p w:rsidR="00AD59BE" w:rsidP="000B0BDF" w14:paraId="49026064" w14:textId="77777777">
            <w:pPr>
              <w:tabs>
                <w:tab w:val="center" w:pos="4680"/>
              </w:tabs>
              <w:suppressAutoHyphens/>
              <w:rPr>
                <w:b/>
                <w:spacing w:val="-2"/>
              </w:rPr>
            </w:pPr>
            <w:r>
              <w:rPr>
                <w:b/>
                <w:spacing w:val="-2"/>
              </w:rPr>
              <w:t>)</w:t>
            </w:r>
          </w:p>
          <w:p w:rsidR="00AD59BE" w:rsidP="000B0BDF" w14:paraId="7B38AAED" w14:textId="77777777">
            <w:pPr>
              <w:tabs>
                <w:tab w:val="center" w:pos="4680"/>
              </w:tabs>
              <w:suppressAutoHyphens/>
              <w:rPr>
                <w:b/>
                <w:spacing w:val="-2"/>
              </w:rPr>
            </w:pPr>
            <w:r>
              <w:rPr>
                <w:b/>
                <w:spacing w:val="-2"/>
              </w:rPr>
              <w:t>)</w:t>
            </w:r>
          </w:p>
          <w:p w:rsidR="00AD59BE" w:rsidP="000B0BDF" w14:paraId="480234B1" w14:textId="77777777">
            <w:pPr>
              <w:tabs>
                <w:tab w:val="center" w:pos="4680"/>
              </w:tabs>
              <w:suppressAutoHyphens/>
              <w:rPr>
                <w:b/>
                <w:spacing w:val="-2"/>
              </w:rPr>
            </w:pPr>
            <w:r>
              <w:rPr>
                <w:b/>
                <w:spacing w:val="-2"/>
              </w:rPr>
              <w:t>)</w:t>
            </w:r>
          </w:p>
          <w:p w:rsidR="00AD59BE" w:rsidP="000B0BDF" w14:paraId="17AC480A" w14:textId="77777777">
            <w:pPr>
              <w:tabs>
                <w:tab w:val="center" w:pos="4680"/>
              </w:tabs>
              <w:suppressAutoHyphens/>
              <w:rPr>
                <w:b/>
                <w:spacing w:val="-2"/>
              </w:rPr>
            </w:pPr>
            <w:r>
              <w:rPr>
                <w:b/>
                <w:spacing w:val="-2"/>
              </w:rPr>
              <w:t>)</w:t>
            </w:r>
          </w:p>
          <w:p w:rsidR="00AD59BE" w:rsidP="000B0BDF" w14:paraId="47546406" w14:textId="77777777">
            <w:pPr>
              <w:tabs>
                <w:tab w:val="center" w:pos="4680"/>
              </w:tabs>
              <w:suppressAutoHyphens/>
              <w:rPr>
                <w:b/>
                <w:spacing w:val="-2"/>
              </w:rPr>
            </w:pPr>
            <w:r>
              <w:rPr>
                <w:b/>
                <w:spacing w:val="-2"/>
              </w:rPr>
              <w:t>)</w:t>
            </w:r>
          </w:p>
          <w:p w:rsidR="00AD59BE" w:rsidP="000B0BDF" w14:paraId="0B8E2375" w14:textId="77777777">
            <w:pPr>
              <w:tabs>
                <w:tab w:val="center" w:pos="4680"/>
              </w:tabs>
              <w:suppressAutoHyphens/>
              <w:rPr>
                <w:b/>
                <w:spacing w:val="-2"/>
              </w:rPr>
            </w:pPr>
            <w:r>
              <w:rPr>
                <w:b/>
                <w:spacing w:val="-2"/>
              </w:rPr>
              <w:t>)</w:t>
            </w:r>
          </w:p>
          <w:p w:rsidR="00AD59BE" w:rsidP="000B0BDF" w14:paraId="66F2FAD8" w14:textId="77777777">
            <w:pPr>
              <w:tabs>
                <w:tab w:val="center" w:pos="4680"/>
              </w:tabs>
              <w:suppressAutoHyphens/>
              <w:rPr>
                <w:b/>
                <w:spacing w:val="-2"/>
              </w:rPr>
            </w:pPr>
            <w:r>
              <w:rPr>
                <w:b/>
                <w:spacing w:val="-2"/>
              </w:rPr>
              <w:t>)</w:t>
            </w:r>
          </w:p>
          <w:p w:rsidR="00AD59BE" w:rsidP="000B0BDF" w14:paraId="128E2B48" w14:textId="77777777">
            <w:pPr>
              <w:tabs>
                <w:tab w:val="center" w:pos="4680"/>
              </w:tabs>
              <w:suppressAutoHyphens/>
              <w:rPr>
                <w:b/>
                <w:spacing w:val="-2"/>
              </w:rPr>
            </w:pPr>
            <w:r>
              <w:rPr>
                <w:b/>
                <w:spacing w:val="-2"/>
              </w:rPr>
              <w:t>)</w:t>
            </w:r>
          </w:p>
          <w:p w:rsidR="00AD59BE" w:rsidP="000B0BDF" w14:paraId="731F1177" w14:textId="77777777">
            <w:pPr>
              <w:tabs>
                <w:tab w:val="center" w:pos="4680"/>
              </w:tabs>
              <w:suppressAutoHyphens/>
              <w:rPr>
                <w:b/>
                <w:spacing w:val="-2"/>
              </w:rPr>
            </w:pPr>
            <w:r>
              <w:rPr>
                <w:b/>
                <w:spacing w:val="-2"/>
              </w:rPr>
              <w:t>)</w:t>
            </w:r>
          </w:p>
          <w:p w:rsidR="00AD59BE" w:rsidP="000B0BDF" w14:paraId="09EDF7CC" w14:textId="77777777">
            <w:pPr>
              <w:tabs>
                <w:tab w:val="center" w:pos="4680"/>
              </w:tabs>
              <w:suppressAutoHyphens/>
              <w:rPr>
                <w:b/>
                <w:spacing w:val="-2"/>
              </w:rPr>
            </w:pPr>
            <w:r>
              <w:rPr>
                <w:b/>
                <w:spacing w:val="-2"/>
              </w:rPr>
              <w:t>)</w:t>
            </w:r>
          </w:p>
          <w:p w:rsidR="00AD59BE" w:rsidP="000B0BDF" w14:paraId="09480070" w14:textId="77777777">
            <w:pPr>
              <w:tabs>
                <w:tab w:val="center" w:pos="4680"/>
              </w:tabs>
              <w:suppressAutoHyphens/>
              <w:rPr>
                <w:spacing w:val="-2"/>
              </w:rPr>
            </w:pPr>
            <w:r>
              <w:rPr>
                <w:b/>
                <w:spacing w:val="-2"/>
              </w:rPr>
              <w:t>)</w:t>
            </w:r>
          </w:p>
        </w:tc>
        <w:tc>
          <w:tcPr>
            <w:tcW w:w="4248" w:type="dxa"/>
          </w:tcPr>
          <w:p w:rsidR="00AD59BE" w:rsidP="000B0BDF" w14:paraId="2A458C6D" w14:textId="77777777">
            <w:pPr>
              <w:tabs>
                <w:tab w:val="center" w:pos="4680"/>
              </w:tabs>
              <w:suppressAutoHyphens/>
              <w:rPr>
                <w:spacing w:val="-2"/>
              </w:rPr>
            </w:pPr>
          </w:p>
          <w:p w:rsidR="00AD59BE" w:rsidP="000B0BDF" w14:paraId="4928ECDE" w14:textId="77777777">
            <w:pPr>
              <w:pStyle w:val="TOAHeading"/>
              <w:tabs>
                <w:tab w:val="center" w:pos="4680"/>
                <w:tab w:val="clear" w:pos="9360"/>
              </w:tabs>
              <w:rPr>
                <w:spacing w:val="-2"/>
              </w:rPr>
            </w:pPr>
          </w:p>
          <w:p w:rsidR="00AD59BE" w:rsidRPr="0006030A" w:rsidP="000B0BDF" w14:paraId="4213CE20" w14:textId="77777777">
            <w:pPr>
              <w:pStyle w:val="TOAHeading"/>
              <w:tabs>
                <w:tab w:val="center" w:pos="4680"/>
              </w:tabs>
              <w:rPr>
                <w:spacing w:val="-2"/>
              </w:rPr>
            </w:pPr>
            <w:r w:rsidRPr="0006030A">
              <w:rPr>
                <w:spacing w:val="-2"/>
              </w:rPr>
              <w:t>MB Docket No. 19-98</w:t>
            </w:r>
          </w:p>
          <w:p w:rsidR="00AD59BE" w:rsidRPr="0006030A" w:rsidP="000B0BDF" w14:paraId="0CD7746D" w14:textId="77777777">
            <w:pPr>
              <w:pStyle w:val="TOAHeading"/>
              <w:tabs>
                <w:tab w:val="center" w:pos="4680"/>
              </w:tabs>
              <w:rPr>
                <w:spacing w:val="-2"/>
              </w:rPr>
            </w:pPr>
          </w:p>
          <w:p w:rsidR="00AD59BE" w:rsidRPr="0006030A" w:rsidP="000B0BDF" w14:paraId="409A220F" w14:textId="77777777">
            <w:pPr>
              <w:pStyle w:val="TOAHeading"/>
              <w:tabs>
                <w:tab w:val="center" w:pos="4680"/>
              </w:tabs>
              <w:rPr>
                <w:spacing w:val="-2"/>
              </w:rPr>
            </w:pPr>
            <w:r w:rsidRPr="0006030A">
              <w:rPr>
                <w:spacing w:val="-2"/>
              </w:rPr>
              <w:t>File Nos. BTCCDT-20190304ABL et al.</w:t>
            </w:r>
          </w:p>
          <w:p w:rsidR="00AD59BE" w:rsidRPr="0006030A" w:rsidP="000B0BDF" w14:paraId="74197695" w14:textId="77777777">
            <w:pPr>
              <w:pStyle w:val="TOAHeading"/>
              <w:tabs>
                <w:tab w:val="center" w:pos="4680"/>
              </w:tabs>
              <w:rPr>
                <w:spacing w:val="-2"/>
              </w:rPr>
            </w:pPr>
          </w:p>
          <w:p w:rsidR="00AD59BE" w:rsidRPr="0006030A" w:rsidP="000B0BDF" w14:paraId="0FE729DE" w14:textId="77777777">
            <w:pPr>
              <w:pStyle w:val="TOAHeading"/>
              <w:tabs>
                <w:tab w:val="center" w:pos="4680"/>
              </w:tabs>
              <w:rPr>
                <w:spacing w:val="-2"/>
              </w:rPr>
            </w:pPr>
            <w:r w:rsidRPr="0006030A">
              <w:rPr>
                <w:spacing w:val="-2"/>
              </w:rPr>
              <w:t>File Nos. BTC-20190304ACS et al.</w:t>
            </w:r>
          </w:p>
          <w:p w:rsidR="00AD59BE" w:rsidRPr="0006030A" w:rsidP="000B0BDF" w14:paraId="323DE751" w14:textId="77777777">
            <w:pPr>
              <w:pStyle w:val="TOAHeading"/>
              <w:tabs>
                <w:tab w:val="center" w:pos="4680"/>
              </w:tabs>
              <w:rPr>
                <w:spacing w:val="-2"/>
              </w:rPr>
            </w:pPr>
          </w:p>
          <w:p w:rsidR="00AD59BE" w:rsidRPr="0006030A" w:rsidP="000B0BDF" w14:paraId="0BDFD4B6" w14:textId="77777777">
            <w:pPr>
              <w:pStyle w:val="TOAHeading"/>
              <w:tabs>
                <w:tab w:val="center" w:pos="4680"/>
              </w:tabs>
              <w:rPr>
                <w:spacing w:val="-2"/>
              </w:rPr>
            </w:pPr>
          </w:p>
          <w:p w:rsidR="00AD59BE" w:rsidRPr="0006030A" w:rsidP="000B0BDF" w14:paraId="24F00C22" w14:textId="77777777">
            <w:pPr>
              <w:pStyle w:val="TOAHeading"/>
              <w:tabs>
                <w:tab w:val="center" w:pos="4680"/>
              </w:tabs>
              <w:rPr>
                <w:spacing w:val="-2"/>
              </w:rPr>
            </w:pPr>
          </w:p>
          <w:p w:rsidR="00AD59BE" w:rsidRPr="0006030A" w:rsidP="000B0BDF" w14:paraId="280E28CE" w14:textId="77777777">
            <w:pPr>
              <w:pStyle w:val="TOAHeading"/>
              <w:tabs>
                <w:tab w:val="center" w:pos="4680"/>
              </w:tabs>
              <w:rPr>
                <w:spacing w:val="-2"/>
              </w:rPr>
            </w:pPr>
            <w:r w:rsidRPr="0006030A">
              <w:rPr>
                <w:spacing w:val="-2"/>
              </w:rPr>
              <w:t>File Nos. BAL-20190304AER et al.</w:t>
            </w:r>
          </w:p>
          <w:p w:rsidR="00AD59BE" w:rsidRPr="0006030A" w:rsidP="000B0BDF" w14:paraId="42402002" w14:textId="77777777">
            <w:pPr>
              <w:pStyle w:val="TOAHeading"/>
              <w:tabs>
                <w:tab w:val="center" w:pos="4680"/>
              </w:tabs>
              <w:rPr>
                <w:spacing w:val="-2"/>
              </w:rPr>
            </w:pPr>
          </w:p>
          <w:p w:rsidR="00AD59BE" w:rsidRPr="0006030A" w:rsidP="000B0BDF" w14:paraId="3118B6E8" w14:textId="77777777">
            <w:pPr>
              <w:pStyle w:val="TOAHeading"/>
              <w:tabs>
                <w:tab w:val="center" w:pos="4680"/>
              </w:tabs>
              <w:rPr>
                <w:spacing w:val="-2"/>
              </w:rPr>
            </w:pPr>
          </w:p>
          <w:p w:rsidR="00AD59BE" w:rsidRPr="0006030A" w:rsidP="000B0BDF" w14:paraId="1C2DB561" w14:textId="77777777">
            <w:pPr>
              <w:pStyle w:val="TOAHeading"/>
              <w:tabs>
                <w:tab w:val="center" w:pos="4680"/>
              </w:tabs>
              <w:rPr>
                <w:spacing w:val="-2"/>
              </w:rPr>
            </w:pPr>
            <w:r w:rsidRPr="0006030A">
              <w:rPr>
                <w:spacing w:val="-2"/>
              </w:rPr>
              <w:t>MB Docket No. 19-197</w:t>
            </w:r>
          </w:p>
          <w:p w:rsidR="00AD59BE" w:rsidRPr="0006030A" w:rsidP="000B0BDF" w14:paraId="20940E93" w14:textId="77777777">
            <w:pPr>
              <w:pStyle w:val="TOAHeading"/>
              <w:tabs>
                <w:tab w:val="center" w:pos="4680"/>
              </w:tabs>
              <w:rPr>
                <w:spacing w:val="-2"/>
              </w:rPr>
            </w:pPr>
          </w:p>
          <w:p w:rsidR="00AD59BE" w:rsidRPr="0006030A" w:rsidP="000B0BDF" w14:paraId="6AFFEA0D" w14:textId="77777777">
            <w:pPr>
              <w:pStyle w:val="TOAHeading"/>
              <w:tabs>
                <w:tab w:val="center" w:pos="4680"/>
              </w:tabs>
              <w:rPr>
                <w:spacing w:val="-2"/>
              </w:rPr>
            </w:pPr>
            <w:r w:rsidRPr="0006030A">
              <w:rPr>
                <w:spacing w:val="-2"/>
              </w:rPr>
              <w:t>File Nos. BTCH-20190702ABH et al.</w:t>
            </w:r>
          </w:p>
          <w:p w:rsidR="00AD59BE" w:rsidRPr="0006030A" w:rsidP="000B0BDF" w14:paraId="76C2EDF4" w14:textId="77777777">
            <w:pPr>
              <w:pStyle w:val="TOAHeading"/>
              <w:tabs>
                <w:tab w:val="center" w:pos="4680"/>
              </w:tabs>
              <w:rPr>
                <w:spacing w:val="-2"/>
              </w:rPr>
            </w:pPr>
          </w:p>
          <w:p w:rsidR="00AD59BE" w:rsidRPr="0006030A" w:rsidP="000B0BDF" w14:paraId="2F2FA5F3" w14:textId="77777777">
            <w:pPr>
              <w:pStyle w:val="TOAHeading"/>
              <w:tabs>
                <w:tab w:val="center" w:pos="4680"/>
              </w:tabs>
              <w:rPr>
                <w:spacing w:val="-2"/>
              </w:rPr>
            </w:pPr>
            <w:r w:rsidRPr="0006030A">
              <w:rPr>
                <w:spacing w:val="-2"/>
              </w:rPr>
              <w:t>File Nos. BALH-20190702ADS et al.</w:t>
            </w:r>
          </w:p>
          <w:p w:rsidR="00AD59BE" w:rsidRPr="0006030A" w:rsidP="000B0BDF" w14:paraId="51FE1BF1" w14:textId="77777777">
            <w:pPr>
              <w:pStyle w:val="TOAHeading"/>
              <w:tabs>
                <w:tab w:val="center" w:pos="4680"/>
              </w:tabs>
              <w:rPr>
                <w:spacing w:val="-2"/>
              </w:rPr>
            </w:pPr>
          </w:p>
          <w:p w:rsidR="00AD59BE" w:rsidP="000B0BDF" w14:paraId="1C82BD07" w14:textId="77777777">
            <w:pPr>
              <w:tabs>
                <w:tab w:val="center" w:pos="4680"/>
              </w:tabs>
              <w:suppressAutoHyphens/>
              <w:rPr>
                <w:spacing w:val="-2"/>
              </w:rPr>
            </w:pPr>
            <w:r w:rsidRPr="0006030A">
              <w:rPr>
                <w:spacing w:val="-2"/>
              </w:rPr>
              <w:t>File No. BALH-20190702ADV</w:t>
            </w:r>
          </w:p>
        </w:tc>
      </w:tr>
    </w:tbl>
    <w:p w:rsidR="00AD59BE" w:rsidP="00AD59BE" w14:paraId="6534710E" w14:textId="77777777"/>
    <w:p w:rsidR="00AD59BE" w:rsidP="00AD59BE" w14:paraId="27E21236" w14:textId="77777777">
      <w:pPr>
        <w:pStyle w:val="StyleBoldCentered"/>
      </w:pPr>
      <w:r>
        <w:t>memorandum opinion and order</w:t>
      </w:r>
    </w:p>
    <w:p w:rsidR="00AD59BE" w:rsidP="00AD59BE" w14:paraId="26E15937" w14:textId="77777777">
      <w:pPr>
        <w:tabs>
          <w:tab w:val="left" w:pos="-720"/>
        </w:tabs>
        <w:suppressAutoHyphens/>
        <w:spacing w:line="227" w:lineRule="auto"/>
        <w:rPr>
          <w:spacing w:val="-2"/>
        </w:rPr>
      </w:pPr>
    </w:p>
    <w:p w:rsidR="00AD59BE" w:rsidP="00AD59BE" w14:paraId="2E286447" w14:textId="77777777">
      <w:pPr>
        <w:tabs>
          <w:tab w:val="left" w:pos="720"/>
          <w:tab w:val="right" w:pos="9360"/>
        </w:tabs>
        <w:suppressAutoHyphens/>
        <w:spacing w:line="227" w:lineRule="auto"/>
        <w:rPr>
          <w:spacing w:val="-2"/>
        </w:rPr>
      </w:pPr>
      <w:r>
        <w:rPr>
          <w:b/>
          <w:spacing w:val="-2"/>
        </w:rPr>
        <w:t>Adopted:  November 22, 2019</w:t>
      </w:r>
      <w:r>
        <w:rPr>
          <w:b/>
          <w:spacing w:val="-2"/>
        </w:rPr>
        <w:tab/>
        <w:t>Released:  November 22, 2019</w:t>
      </w:r>
    </w:p>
    <w:p w:rsidR="00AD59BE" w:rsidP="00AD59BE" w14:paraId="5E9BD4B4" w14:textId="77777777"/>
    <w:p w:rsidR="00AD59BE" w:rsidP="00AD59BE" w14:paraId="1B3BE039" w14:textId="77777777">
      <w:pPr>
        <w:rPr>
          <w:spacing w:val="-2"/>
        </w:rPr>
      </w:pPr>
      <w:r>
        <w:t>By the Chief, Media Bureau</w:t>
      </w:r>
      <w:r>
        <w:rPr>
          <w:spacing w:val="-2"/>
        </w:rPr>
        <w:t>:</w:t>
      </w:r>
    </w:p>
    <w:p w:rsidR="00AD59BE" w:rsidP="00AD59BE" w14:paraId="6315B496" w14:textId="77777777">
      <w:pPr>
        <w:rPr>
          <w:spacing w:val="-2"/>
        </w:rPr>
      </w:pPr>
    </w:p>
    <w:p w:rsidR="00AD59BE" w:rsidP="00AD59BE" w14:paraId="52BDBC14" w14:textId="77777777">
      <w:pPr>
        <w:pStyle w:val="Heading1"/>
        <w:keepNext w:val="0"/>
        <w:suppressAutoHyphens w:val="0"/>
      </w:pPr>
      <w:r>
        <w:t>Introduction</w:t>
      </w:r>
    </w:p>
    <w:p w:rsidR="00AD59BE" w:rsidP="00AD59BE" w14:paraId="53E52015" w14:textId="77777777">
      <w:pPr>
        <w:pStyle w:val="ParaNum"/>
      </w:pPr>
      <w:r>
        <w:t>The Media Bureau (Bureau) has before it two interrelated sets of applications filed by substantially similar sets of parties in two separately docketed proceedings.  In the first proceeding,</w:t>
      </w:r>
      <w:r>
        <w:rPr>
          <w:vertAlign w:val="superscript"/>
        </w:rPr>
        <w:footnoteReference w:id="3"/>
      </w:r>
      <w:r>
        <w:t xml:space="preserve"> </w:t>
      </w:r>
      <w:r w:rsidRPr="00AE056C">
        <w:t>Terrier Media Buyer, Inc. (Terrier Media), NBI Holdings, LLC (Northwest), and Cox Enterprises, Inc. (C</w:t>
      </w:r>
      <w:r>
        <w:t>EI</w:t>
      </w:r>
      <w:r w:rsidRPr="00AE056C">
        <w:t xml:space="preserve">) (jointly, the </w:t>
      </w:r>
      <w:r>
        <w:t xml:space="preserve">Television </w:t>
      </w:r>
      <w:r w:rsidRPr="00AE056C">
        <w:t>Applicants)</w:t>
      </w:r>
      <w:r>
        <w:t xml:space="preserve">, </w:t>
      </w:r>
      <w:r w:rsidRPr="00AE056C">
        <w:t xml:space="preserve">seek consent to the transfer of control </w:t>
      </w:r>
      <w:r>
        <w:t xml:space="preserve">and assignment </w:t>
      </w:r>
      <w:r w:rsidRPr="00AE056C">
        <w:t xml:space="preserve">of Commission licenses through </w:t>
      </w:r>
      <w:r>
        <w:t>a pair of</w:t>
      </w:r>
      <w:r w:rsidRPr="00AE056C">
        <w:t xml:space="preserve"> transactions</w:t>
      </w:r>
      <w:r>
        <w:t xml:space="preserve">.  In one transaction, </w:t>
      </w:r>
      <w:r w:rsidRPr="00AE056C">
        <w:t>Terrier Media and Northwest seek consent for Terrier Media to acquire companies owned by Northwest holding the licenses of full-power broadcast television stations, low-power television</w:t>
      </w:r>
      <w:r>
        <w:t xml:space="preserve"> (LPTV)</w:t>
      </w:r>
      <w:r w:rsidRPr="00AE056C">
        <w:t xml:space="preserve"> stations, and TV translator stations (the Northwest Applications). </w:t>
      </w:r>
      <w:r>
        <w:t xml:space="preserve"> In the other</w:t>
      </w:r>
      <w:r w:rsidRPr="00AE056C">
        <w:t xml:space="preserve">, Terrier Media and </w:t>
      </w:r>
      <w:r>
        <w:t>CEI</w:t>
      </w:r>
      <w:r w:rsidRPr="00AE056C">
        <w:t xml:space="preserve"> seek consent for Terrier Media to acquire companies owned by </w:t>
      </w:r>
      <w:r>
        <w:t>CEI</w:t>
      </w:r>
      <w:r w:rsidRPr="00AE056C">
        <w:t xml:space="preserve"> holding the licenses of full-power broadcast television stations, </w:t>
      </w:r>
      <w:r>
        <w:t>LPTV</w:t>
      </w:r>
      <w:r w:rsidRPr="00AE056C">
        <w:t xml:space="preserve"> stations, TV translator stations, and </w:t>
      </w:r>
      <w:r>
        <w:t xml:space="preserve">broadcast </w:t>
      </w:r>
      <w:r w:rsidRPr="00AE056C">
        <w:t xml:space="preserve">radio stations (the Cox Applications and, jointly with the </w:t>
      </w:r>
      <w:r>
        <w:t>Northwest</w:t>
      </w:r>
      <w:r w:rsidRPr="00AE056C">
        <w:t xml:space="preserve"> Applications, the </w:t>
      </w:r>
      <w:r>
        <w:t xml:space="preserve">Television </w:t>
      </w:r>
      <w:r w:rsidRPr="00AE056C">
        <w:t>Ap</w:t>
      </w:r>
      <w:r>
        <w:t>plications).  We find that grant of these applications, as conditioned below, will serve the public interest, convenience and necessity</w:t>
      </w:r>
      <w:r w:rsidRPr="00AE056C">
        <w:t>.</w:t>
      </w:r>
      <w:r>
        <w:rPr>
          <w:rStyle w:val="FootnoteReference"/>
        </w:rPr>
        <w:footnoteReference w:id="4"/>
      </w:r>
      <w:bookmarkStart w:id="1" w:name="_Hlk23426208"/>
      <w:r w:rsidRPr="00CF4007">
        <w:t xml:space="preserve"> </w:t>
      </w:r>
    </w:p>
    <w:p w:rsidR="00AD59BE" w:rsidP="00AD59BE" w14:paraId="180CB726" w14:textId="77777777">
      <w:pPr>
        <w:pStyle w:val="ParaNum"/>
      </w:pPr>
      <w:r>
        <w:t>In the second proceeding, t</w:t>
      </w:r>
      <w:r w:rsidRPr="00F67CEC">
        <w:t xml:space="preserve">he Bureau has under consideration the </w:t>
      </w:r>
      <w:r>
        <w:t>above-</w:t>
      </w:r>
      <w:r w:rsidRPr="00F67CEC">
        <w:t>captioned transfer of control and assignment applications, as amended (</w:t>
      </w:r>
      <w:r>
        <w:t xml:space="preserve">Radio </w:t>
      </w:r>
      <w:r w:rsidRPr="00F67CEC">
        <w:t xml:space="preserve">Transfer Application and Divestiture Applications, jointly the </w:t>
      </w:r>
      <w:r>
        <w:t xml:space="preserve">Radio </w:t>
      </w:r>
      <w:r w:rsidRPr="00F67CEC">
        <w:t>Applications)</w:t>
      </w:r>
      <w:r>
        <w:rPr>
          <w:rStyle w:val="FootnoteReference"/>
        </w:rPr>
        <w:footnoteReference w:id="5"/>
      </w:r>
      <w:r w:rsidRPr="00F67CEC">
        <w:t xml:space="preserve"> filed by Terrier Media, Cox Radio, Inc. (Cox Radio), and CEI (jointly, the </w:t>
      </w:r>
      <w:r>
        <w:t xml:space="preserve">Radio </w:t>
      </w:r>
      <w:r w:rsidRPr="00F67CEC">
        <w:t xml:space="preserve">Applicants).  The </w:t>
      </w:r>
      <w:r>
        <w:t xml:space="preserve">Radio </w:t>
      </w:r>
      <w:r w:rsidRPr="00F67CEC">
        <w:t xml:space="preserve">Transfer Application requests consent to </w:t>
      </w:r>
      <w:r>
        <w:t>transfer</w:t>
      </w:r>
      <w:r w:rsidRPr="00F67CEC">
        <w:t xml:space="preserve"> control of broadcast radio station licenses</w:t>
      </w:r>
      <w:r>
        <w:rPr>
          <w:rStyle w:val="FootnoteReference"/>
        </w:rPr>
        <w:footnoteReference w:id="6"/>
      </w:r>
      <w:r w:rsidRPr="00F67CEC">
        <w:t xml:space="preserve"> currently controlled by C</w:t>
      </w:r>
      <w:r>
        <w:t xml:space="preserve">EI, as well as Cox Radio’s </w:t>
      </w:r>
      <w:r w:rsidRPr="00F67CEC">
        <w:t xml:space="preserve">existing broadcast business, including full-power FM and AM radio stations and the associated earth station, microwave, and land mobile facilities.  To comply with the Commission’s </w:t>
      </w:r>
      <w:r>
        <w:t>L</w:t>
      </w:r>
      <w:r w:rsidRPr="00F67CEC">
        <w:t xml:space="preserve">ocal </w:t>
      </w:r>
      <w:r>
        <w:t>R</w:t>
      </w:r>
      <w:r w:rsidRPr="00F67CEC">
        <w:t xml:space="preserve">adio </w:t>
      </w:r>
      <w:r>
        <w:t>O</w:t>
      </w:r>
      <w:r w:rsidRPr="00F67CEC">
        <w:t xml:space="preserve">wnership </w:t>
      </w:r>
      <w:r>
        <w:t>R</w:t>
      </w:r>
      <w:r w:rsidRPr="00F67CEC">
        <w:t>ule,</w:t>
      </w:r>
      <w:r>
        <w:rPr>
          <w:rStyle w:val="FootnoteReference"/>
        </w:rPr>
        <w:footnoteReference w:id="7"/>
      </w:r>
      <w:r w:rsidRPr="00F67CEC">
        <w:t xml:space="preserve"> Cox Radio seeks Commission consent to assign the licenses of two Florida market stations to a divestiture trust.  </w:t>
      </w:r>
      <w:r>
        <w:t xml:space="preserve">We </w:t>
      </w:r>
      <w:r w:rsidRPr="00F67CEC">
        <w:t>ha</w:t>
      </w:r>
      <w:r>
        <w:t>ve</w:t>
      </w:r>
      <w:r w:rsidRPr="00F67CEC">
        <w:t xml:space="preserve"> received no petitions to deny or informal objections to the </w:t>
      </w:r>
      <w:r>
        <w:t xml:space="preserve">Radio </w:t>
      </w:r>
      <w:r w:rsidRPr="00F67CEC">
        <w:t>Applications.</w:t>
      </w:r>
      <w:r>
        <w:t xml:space="preserve">  We find that grant of these applications, as conditioned below, will comply with the Commission’s Local Radio Ownership Rule, and serve the public interest, convenience, and necessity.</w:t>
      </w:r>
      <w:bookmarkEnd w:id="1"/>
      <w:r w:rsidRPr="00CF4007">
        <w:t xml:space="preserve"> </w:t>
      </w:r>
    </w:p>
    <w:p w:rsidR="00AD59BE" w:rsidP="00AD59BE" w14:paraId="3ADAE766" w14:textId="77777777">
      <w:pPr>
        <w:pStyle w:val="Heading1"/>
        <w:keepNext w:val="0"/>
        <w:suppressAutoHyphens w:val="0"/>
      </w:pPr>
      <w:r>
        <w:t>Background</w:t>
      </w:r>
    </w:p>
    <w:p w:rsidR="00AD59BE" w:rsidP="00AD59BE" w14:paraId="7AEC0F8A" w14:textId="77777777">
      <w:pPr>
        <w:pStyle w:val="Heading2"/>
        <w:keepNext w:val="0"/>
      </w:pPr>
      <w:r>
        <w:t>Television Transaction</w:t>
      </w:r>
    </w:p>
    <w:p w:rsidR="00AD59BE" w:rsidP="00AD59BE" w14:paraId="4D1D1905" w14:textId="77777777">
      <w:pPr>
        <w:pStyle w:val="ParaNum"/>
        <w:widowControl/>
      </w:pPr>
      <w:r>
        <w:t>Pursuant to a Purchase Agreement dated February 14, 2019, Terrier Media,</w:t>
      </w:r>
      <w:r w:rsidRPr="00BE7A09">
        <w:t xml:space="preserve"> </w:t>
      </w:r>
      <w:r>
        <w:t>which is a newly created company, seeks to acquire all of the television stations licensed to various Northwest license subsidiaries for a purchase price of $384 million (Northwest Transaction).</w:t>
      </w:r>
      <w:r>
        <w:rPr>
          <w:rStyle w:val="FootnoteReference"/>
        </w:rPr>
        <w:footnoteReference w:id="8"/>
      </w:r>
      <w:r>
        <w:t xml:space="preserve">  Pursuant to a separate Purchase Agreement also dated February 14, 2019, Terrier Media seeks to acquire from Cox for a purchase price of $3.1 billion </w:t>
      </w:r>
      <w:r w:rsidRPr="004D1B2B">
        <w:t xml:space="preserve">the </w:t>
      </w:r>
      <w:r>
        <w:t xml:space="preserve">transfer of control of the </w:t>
      </w:r>
      <w:r w:rsidRPr="004D1B2B">
        <w:t xml:space="preserve">equity interests of certain </w:t>
      </w:r>
      <w:r>
        <w:t>broadcast</w:t>
      </w:r>
      <w:r w:rsidRPr="004D1B2B">
        <w:t xml:space="preserve"> television stations (and other assets not regulated by the Commission) and the assignment of assets and property used or primarily held for use in the operation of four radio stations</w:t>
      </w:r>
      <w:r>
        <w:t xml:space="preserve"> (Cox Television Transaction, and collectively with the Northwest Transaction, the Television Transaction).</w:t>
      </w:r>
      <w:r>
        <w:rPr>
          <w:rStyle w:val="FootnoteReference"/>
        </w:rPr>
        <w:footnoteReference w:id="9"/>
      </w:r>
      <w:r>
        <w:t xml:space="preserve">  The Television Applicants </w:t>
      </w:r>
      <w:r w:rsidRPr="00C229E8">
        <w:t>anticipate that the Northwest Transaction and the Cox Transaction will close in close succession</w:t>
      </w:r>
      <w:r>
        <w:t>, and at their</w:t>
      </w:r>
      <w:r w:rsidRPr="00C229E8">
        <w:t xml:space="preserve"> conclusion, all of the Northwest Stations, Cox Stations, and other assets not regulated by the Commission will be held by subsidiaries of N</w:t>
      </w:r>
      <w:r>
        <w:t>orthwest</w:t>
      </w:r>
      <w:r w:rsidRPr="00C229E8">
        <w:t>, which will be 100</w:t>
      </w:r>
      <w:r>
        <w:t>%</w:t>
      </w:r>
      <w:r w:rsidRPr="00C229E8">
        <w:t xml:space="preserve"> owned by Terrier M</w:t>
      </w:r>
      <w:r>
        <w:t>edia.</w:t>
      </w:r>
      <w:r>
        <w:rPr>
          <w:rStyle w:val="FootnoteReference"/>
        </w:rPr>
        <w:footnoteReference w:id="10"/>
      </w:r>
      <w:r>
        <w:t xml:space="preserve">  AP IX Titan Holdings, L.P. (Titan) will hold a 70.9% voting interest in Terrier Media Holdings, Inc. </w:t>
      </w:r>
      <w:r>
        <w:t>(Terrier Holdings), through a series of intermediate holding companies.</w:t>
      </w:r>
      <w:r>
        <w:rPr>
          <w:rStyle w:val="FootnoteReference"/>
        </w:rPr>
        <w:footnoteReference w:id="11"/>
      </w:r>
      <w:r>
        <w:t xml:space="preserve">  T</w:t>
      </w:r>
      <w:r w:rsidRPr="004535ED">
        <w:t xml:space="preserve">he remaining </w:t>
      </w:r>
      <w:r>
        <w:t xml:space="preserve">voting interest in Terrier Holdings </w:t>
      </w:r>
      <w:r w:rsidRPr="004535ED">
        <w:t>w</w:t>
      </w:r>
      <w:r>
        <w:t>ill</w:t>
      </w:r>
      <w:r w:rsidRPr="004535ED">
        <w:t xml:space="preserve"> be </w:t>
      </w:r>
      <w:r>
        <w:t>held by</w:t>
      </w:r>
      <w:r w:rsidRPr="004535ED">
        <w:t xml:space="preserve"> former owners of Cox</w:t>
      </w:r>
      <w:r>
        <w:t xml:space="preserve"> and </w:t>
      </w:r>
      <w:r w:rsidRPr="004535ED">
        <w:t>Northwest</w:t>
      </w:r>
      <w:r>
        <w:t>.</w:t>
      </w:r>
      <w:r>
        <w:rPr>
          <w:rStyle w:val="FootnoteReference"/>
        </w:rPr>
        <w:footnoteReference w:id="12"/>
      </w:r>
      <w:bookmarkStart w:id="3" w:name="_Ref18486429"/>
      <w:r w:rsidRPr="00CF4007">
        <w:t xml:space="preserve"> </w:t>
      </w:r>
    </w:p>
    <w:p w:rsidR="00AD59BE" w:rsidP="00AD59BE" w14:paraId="7055A044" w14:textId="77777777">
      <w:pPr>
        <w:pStyle w:val="ParaNum"/>
      </w:pPr>
      <w:r>
        <w:t>On July 15, 2019, the Television Applicants amended the Television Applications to provide additional information.  The Television Applicants explain that AP IX (PMC) VoteCo, LLC (VoteCo) will have indirect voting control of Titan.</w:t>
      </w:r>
      <w:r>
        <w:rPr>
          <w:rStyle w:val="FootnoteReference"/>
        </w:rPr>
        <w:footnoteReference w:id="13"/>
      </w:r>
      <w:r>
        <w:t xml:space="preserve">  </w:t>
      </w:r>
      <w:r w:rsidRPr="00827379">
        <w:t>The sole limited partner of Titan will be AIF IX (PMC Equity AIV), L.P. (PMC Equity)</w:t>
      </w:r>
      <w:r>
        <w:t>, and, according to the Television Applicants, each limited partner of P</w:t>
      </w:r>
      <w:r w:rsidRPr="00827379">
        <w:t xml:space="preserve">MC Equity will be insulated </w:t>
      </w:r>
      <w:r>
        <w:t>pursuant to Commission rules</w:t>
      </w:r>
      <w:r w:rsidRPr="00827379">
        <w:t>.</w:t>
      </w:r>
      <w:r>
        <w:rPr>
          <w:rStyle w:val="FootnoteReference"/>
        </w:rPr>
        <w:footnoteReference w:id="14"/>
      </w:r>
      <w:r w:rsidRPr="00827379">
        <w:t xml:space="preserve">  </w:t>
      </w:r>
      <w:r>
        <w:t xml:space="preserve">The Television Applicants state that VoteCo will be wholly controlled equally by its three members:  </w:t>
      </w:r>
      <w:r w:rsidRPr="00BA7D5C">
        <w:t>Scott Kleinman, John Suydam, and David Sambur.</w:t>
      </w:r>
      <w:r>
        <w:rPr>
          <w:rStyle w:val="FootnoteReference"/>
        </w:rPr>
        <w:footnoteReference w:id="15"/>
      </w:r>
      <w:r w:rsidRPr="00BA7D5C">
        <w:t xml:space="preserve">  </w:t>
      </w:r>
      <w:r w:rsidRPr="00272369">
        <w:t xml:space="preserve">John Suydam and Scott Kleinman are officers of </w:t>
      </w:r>
      <w:r w:rsidRPr="00BA7D5C">
        <w:t>Apollo Global Management, LLC (A</w:t>
      </w:r>
      <w:r>
        <w:t>GM</w:t>
      </w:r>
      <w:r w:rsidRPr="00BA7D5C">
        <w:t>), a publicly traded investment management company</w:t>
      </w:r>
      <w:r>
        <w:t>.</w:t>
      </w:r>
      <w:r w:rsidRPr="00272369">
        <w:t xml:space="preserve"> </w:t>
      </w:r>
      <w:r>
        <w:t xml:space="preserve"> David Sambur is the co-head of AGM’s private-equity business.</w:t>
      </w:r>
      <w:r>
        <w:rPr>
          <w:rStyle w:val="FootnoteReference"/>
        </w:rPr>
        <w:footnoteReference w:id="16"/>
      </w:r>
      <w:r>
        <w:t xml:space="preserve">  T</w:t>
      </w:r>
      <w:r w:rsidRPr="00272369">
        <w:t>he managing members and officers of VoteCo</w:t>
      </w:r>
      <w:r>
        <w:t>, as well as certain officers of Terrier Media,</w:t>
      </w:r>
      <w:r w:rsidRPr="00272369">
        <w:t xml:space="preserve"> </w:t>
      </w:r>
      <w:r>
        <w:t>are</w:t>
      </w:r>
      <w:r w:rsidRPr="00272369">
        <w:t xml:space="preserve"> employed by an affiliate of AGM.</w:t>
      </w:r>
      <w:r>
        <w:rPr>
          <w:rStyle w:val="FootnoteReference"/>
        </w:rPr>
        <w:footnoteReference w:id="17"/>
      </w:r>
      <w:r>
        <w:t xml:space="preserve">  The Television Applicants state that n</w:t>
      </w:r>
      <w:r w:rsidRPr="0053754C">
        <w:t>either AGM nor any AGM affiliate</w:t>
      </w:r>
      <w:r>
        <w:t xml:space="preserve"> </w:t>
      </w:r>
      <w:r w:rsidRPr="0053754C">
        <w:t>will have any voting rights or attributable interest in VoteCo, Titan, PMC Equity, Terrier</w:t>
      </w:r>
      <w:r>
        <w:t xml:space="preserve"> </w:t>
      </w:r>
      <w:r w:rsidRPr="0053754C">
        <w:t>Holdings or any subsidiary of Terrier Holdings</w:t>
      </w:r>
      <w:r>
        <w:t>.</w:t>
      </w:r>
      <w:r>
        <w:rPr>
          <w:rStyle w:val="FootnoteReference"/>
        </w:rPr>
        <w:footnoteReference w:id="18"/>
      </w:r>
      <w:bookmarkEnd w:id="3"/>
      <w:r w:rsidRPr="00CF4007">
        <w:t xml:space="preserve"> </w:t>
      </w:r>
    </w:p>
    <w:p w:rsidR="00AD59BE" w:rsidP="00AD59BE" w14:paraId="1FF24D89" w14:textId="77777777">
      <w:pPr>
        <w:pStyle w:val="ParaNum"/>
      </w:pPr>
      <w:r w:rsidRPr="00136552">
        <w:t>The insulated limited partners of PMC Equity</w:t>
      </w:r>
      <w:r>
        <w:t xml:space="preserve">—which include </w:t>
      </w:r>
      <w:r w:rsidRPr="00136552">
        <w:t>private pension funds, insurance companies, endowments, charitable foundations, private companies and high net worth individuals</w:t>
      </w:r>
      <w:r>
        <w:t>—</w:t>
      </w:r>
      <w:r w:rsidRPr="00136552">
        <w:t xml:space="preserve">will consist </w:t>
      </w:r>
      <w:r>
        <w:t>largely</w:t>
      </w:r>
      <w:r w:rsidRPr="00136552">
        <w:t xml:space="preserve"> of entities controlled and owned, directly or indirectly, by citizens of the United States.</w:t>
      </w:r>
      <w:r>
        <w:rPr>
          <w:rStyle w:val="FootnoteReference"/>
        </w:rPr>
        <w:footnoteReference w:id="19"/>
      </w:r>
      <w:r w:rsidRPr="00136552">
        <w:t xml:space="preserve"> </w:t>
      </w:r>
      <w:r>
        <w:t xml:space="preserve"> </w:t>
      </w:r>
      <w:r w:rsidRPr="00136552">
        <w:t>PMC Equity is anticipated to have 64 limited partner investors, with the largest investor holding slightly less than 10</w:t>
      </w:r>
      <w:r>
        <w:t>%</w:t>
      </w:r>
      <w:r w:rsidRPr="00136552">
        <w:t xml:space="preserve"> and with only </w:t>
      </w:r>
      <w:r>
        <w:t>4</w:t>
      </w:r>
      <w:r w:rsidRPr="00136552">
        <w:t xml:space="preserve"> other investors holding more than </w:t>
      </w:r>
      <w:r>
        <w:t xml:space="preserve">5% </w:t>
      </w:r>
      <w:r w:rsidRPr="00136552">
        <w:t>of the ownership of PMC Equity, each of whom is a large public pension fund.</w:t>
      </w:r>
      <w:r>
        <w:rPr>
          <w:rStyle w:val="FootnoteReference"/>
        </w:rPr>
        <w:footnoteReference w:id="20"/>
      </w:r>
      <w:bookmarkStart w:id="4" w:name="_Ref23503703"/>
      <w:r w:rsidRPr="00CF4007">
        <w:t xml:space="preserve"> </w:t>
      </w:r>
    </w:p>
    <w:p w:rsidR="00AD59BE" w:rsidP="00AD59BE" w14:paraId="2D954BED" w14:textId="77777777">
      <w:pPr>
        <w:pStyle w:val="ParaNum"/>
      </w:pPr>
      <w:r>
        <w:t>In a Petition for Declaratory Ruling filed on June 17, 2019, Terrier Media seeks authorization for foreign investors, including existing investors and/or AGM, to own up to 100% of Terrier Media’s equity and voting interests and, to the extent the Commission determines appropriate, up to 100% of AGM’s equity and voting interests.</w:t>
      </w:r>
      <w:r>
        <w:rPr>
          <w:rStyle w:val="FootnoteReference"/>
        </w:rPr>
        <w:footnoteReference w:id="21"/>
      </w:r>
      <w:r>
        <w:t xml:space="preserve">  A Declaratory Ruling issued concurrently with this decision grants these requests and finds that, for purposes of applying the relevant provisions of Communications Act of 1934, as amended (the Act), AGM has </w:t>
      </w:r>
      <w:r w:rsidRPr="00CF4007">
        <w:rPr>
          <w:i/>
        </w:rPr>
        <w:t>de facto</w:t>
      </w:r>
      <w:r>
        <w:t xml:space="preserve"> control over Terrier Media.</w:t>
      </w:r>
      <w:r>
        <w:rPr>
          <w:rStyle w:val="FootnoteReference"/>
        </w:rPr>
        <w:footnoteReference w:id="22"/>
      </w:r>
      <w:r>
        <w:t xml:space="preserve">  </w:t>
      </w:r>
      <w:bookmarkEnd w:id="4"/>
    </w:p>
    <w:p w:rsidR="00AD59BE" w:rsidP="00AD59BE" w14:paraId="538E7DB1" w14:textId="77777777">
      <w:pPr>
        <w:pStyle w:val="ParaNum"/>
        <w:widowControl/>
      </w:pPr>
      <w:r w:rsidRPr="00BC63C7">
        <w:t>The Local Radio Ownership Rule limits both the total number of radio stations an entity may own within a local market and the total number of radio stations within the market that the entity may own in a single service (either AM or FM).</w:t>
      </w:r>
      <w:r>
        <w:rPr>
          <w:rStyle w:val="FootnoteReference"/>
        </w:rPr>
        <w:footnoteReference w:id="23"/>
      </w:r>
      <w:r w:rsidRPr="00BC63C7">
        <w:t xml:space="preserve">  Terrier (through Camelot Radio) proposes to acquire four stations in the Dayton market—three FM and one AM.  Therefore, they state that the proposed Transaction complies with the Local Radio Ownership Rule.</w:t>
      </w:r>
      <w:r>
        <w:rPr>
          <w:rStyle w:val="FootnoteReference"/>
        </w:rPr>
        <w:footnoteReference w:id="24"/>
      </w:r>
      <w:r w:rsidRPr="00BC63C7">
        <w:t xml:space="preserve"> </w:t>
      </w:r>
      <w:r>
        <w:t xml:space="preserve"> A</w:t>
      </w:r>
      <w:r w:rsidRPr="00BC63C7">
        <w:t xml:space="preserve">n entity </w:t>
      </w:r>
      <w:r>
        <w:t xml:space="preserve">in a market this size </w:t>
      </w:r>
      <w:r w:rsidRPr="00BC63C7">
        <w:t>may own up to seven total stations, no more than four of which can be in the same service.</w:t>
      </w:r>
    </w:p>
    <w:p w:rsidR="00AD59BE" w:rsidP="00AD59BE" w14:paraId="1C78CACA" w14:textId="77777777">
      <w:pPr>
        <w:pStyle w:val="ParaNum"/>
      </w:pPr>
      <w:r>
        <w:t xml:space="preserve">On September 23, 2019, </w:t>
      </w:r>
      <w:r w:rsidRPr="0035387D">
        <w:t>the U.S. Court o</w:t>
      </w:r>
      <w:r>
        <w:t>f</w:t>
      </w:r>
      <w:r w:rsidRPr="0035387D">
        <w:t xml:space="preserve"> Appeals for the Third Circuit</w:t>
      </w:r>
      <w:r>
        <w:t xml:space="preserve"> issued an opinion in </w:t>
      </w:r>
      <w:r w:rsidRPr="00CF4007">
        <w:rPr>
          <w:i/>
        </w:rPr>
        <w:t>Prometheus IV</w:t>
      </w:r>
      <w:r>
        <w:rPr>
          <w:rStyle w:val="FootnoteReference"/>
        </w:rPr>
        <w:footnoteReference w:id="25"/>
      </w:r>
      <w:r>
        <w:t xml:space="preserve"> that </w:t>
      </w:r>
      <w:r w:rsidRPr="0035387D">
        <w:t>vacat</w:t>
      </w:r>
      <w:r>
        <w:t>ed</w:t>
      </w:r>
      <w:r w:rsidRPr="0035387D">
        <w:t xml:space="preserve"> and remand</w:t>
      </w:r>
      <w:r>
        <w:t>ed</w:t>
      </w:r>
      <w:r w:rsidRPr="0035387D">
        <w:t xml:space="preserve"> </w:t>
      </w:r>
      <w:r>
        <w:t xml:space="preserve">the </w:t>
      </w:r>
      <w:bookmarkStart w:id="6" w:name="_Hlk25004632"/>
      <w:r w:rsidRPr="00CF4007">
        <w:rPr>
          <w:i/>
          <w:iCs/>
        </w:rPr>
        <w:t>2010/2014 Quadrennial Review Order on Reconsideration</w:t>
      </w:r>
      <w:bookmarkEnd w:id="6"/>
      <w:r w:rsidRPr="00CF4007">
        <w:rPr>
          <w:iCs/>
        </w:rPr>
        <w:t>.</w:t>
      </w:r>
      <w:r>
        <w:rPr>
          <w:rStyle w:val="FootnoteReference"/>
          <w:iCs/>
        </w:rPr>
        <w:footnoteReference w:id="26"/>
      </w:r>
      <w:r w:rsidRPr="00CF4007">
        <w:rPr>
          <w:iCs/>
        </w:rPr>
        <w:t xml:space="preserve">  </w:t>
      </w:r>
      <w:r w:rsidRPr="00B87EE2">
        <w:t xml:space="preserve">Among other things, the </w:t>
      </w:r>
      <w:bookmarkStart w:id="7" w:name="_Hlk24966763"/>
      <w:r w:rsidRPr="00CF4007">
        <w:rPr>
          <w:i/>
        </w:rPr>
        <w:t>2010/2014 Quadrennial Review Order on Reconsideration</w:t>
      </w:r>
      <w:bookmarkEnd w:id="7"/>
      <w:r w:rsidRPr="00B87EE2">
        <w:t xml:space="preserve"> eliminated the Commission’s Newspaper/Broadcast Cross-Ownership Rule</w:t>
      </w:r>
      <w:r>
        <w:t xml:space="preserve"> (NBCO Rule)</w:t>
      </w:r>
      <w:r w:rsidRPr="00B87EE2">
        <w:t xml:space="preserve">, the Radio/Television Cross-Ownership Rule, </w:t>
      </w:r>
      <w:r>
        <w:t xml:space="preserve">and </w:t>
      </w:r>
      <w:r w:rsidRPr="00B87EE2">
        <w:t>the Eight Voices Test</w:t>
      </w:r>
      <w:r>
        <w:t xml:space="preserve"> of the Local Television Ownership Rule</w:t>
      </w:r>
      <w:r w:rsidRPr="00065DB7">
        <w:t>.  The</w:t>
      </w:r>
      <w:r>
        <w:t xml:space="preserve"> Order also</w:t>
      </w:r>
      <w:r w:rsidRPr="00B87EE2">
        <w:t xml:space="preserve"> </w:t>
      </w:r>
      <w:r>
        <w:t>reversed the 2016 decision to attribute certain</w:t>
      </w:r>
      <w:r w:rsidRPr="00B87EE2">
        <w:t xml:space="preserve"> television joint sales agreements (JSAs)</w:t>
      </w:r>
      <w:r>
        <w:t xml:space="preserve"> for purposes of applying our ownership rules</w:t>
      </w:r>
      <w:r w:rsidRPr="00B87EE2">
        <w:t>.</w:t>
      </w:r>
      <w:r>
        <w:rPr>
          <w:rStyle w:val="FootnoteReference"/>
        </w:rPr>
        <w:footnoteReference w:id="27"/>
      </w:r>
      <w:r w:rsidRPr="00B87EE2">
        <w:t xml:space="preserve">  </w:t>
      </w:r>
      <w:r>
        <w:t xml:space="preserve">On November 20, 2019, the Third Circuit denied petitions for rehearing and rehearing </w:t>
      </w:r>
      <w:r>
        <w:rPr>
          <w:i/>
        </w:rPr>
        <w:t>en banc</w:t>
      </w:r>
      <w:r>
        <w:t xml:space="preserve"> of the panel’s decision.</w:t>
      </w:r>
      <w:r>
        <w:rPr>
          <w:rStyle w:val="FootnoteReference"/>
        </w:rPr>
        <w:footnoteReference w:id="28"/>
      </w:r>
      <w:r>
        <w:t xml:space="preserve">  </w:t>
      </w:r>
      <w:r w:rsidRPr="003B0CBC">
        <w:t>Absent a stay or other action by the court, its mandate will issue on or about November 27, 2019,</w:t>
      </w:r>
      <w:r>
        <w:rPr>
          <w:rStyle w:val="FootnoteReference"/>
        </w:rPr>
        <w:footnoteReference w:id="29"/>
      </w:r>
      <w:r>
        <w:t xml:space="preserve"> the effect of which would be reinstatement of media ownership rules in place prior to the </w:t>
      </w:r>
      <w:r>
        <w:rPr>
          <w:i/>
        </w:rPr>
        <w:t>2010/2014 Quadrennial Review Order on Reconsideration</w:t>
      </w:r>
      <w:r>
        <w:t>.</w:t>
      </w:r>
      <w:r>
        <w:rPr>
          <w:rStyle w:val="FootnoteReference"/>
        </w:rPr>
        <w:footnoteReference w:id="30"/>
      </w:r>
    </w:p>
    <w:p w:rsidR="00AD59BE" w:rsidP="00AD59BE" w14:paraId="610878E7" w14:textId="77777777">
      <w:pPr>
        <w:pStyle w:val="ParaNum"/>
        <w:widowControl/>
      </w:pPr>
      <w:r w:rsidRPr="0035387D">
        <w:t xml:space="preserve">On </w:t>
      </w:r>
      <w:r w:rsidRPr="0007448A">
        <w:t xml:space="preserve">October </w:t>
      </w:r>
      <w:r w:rsidRPr="008415F5">
        <w:t>29</w:t>
      </w:r>
      <w:r w:rsidRPr="0007448A">
        <w:t>, 2019</w:t>
      </w:r>
      <w:r w:rsidRPr="0035387D">
        <w:t xml:space="preserve">, the </w:t>
      </w:r>
      <w:r>
        <w:t>Television Applicants</w:t>
      </w:r>
      <w:r w:rsidRPr="0035387D">
        <w:t xml:space="preserve"> filed a</w:t>
      </w:r>
      <w:r>
        <w:t xml:space="preserve"> minor </w:t>
      </w:r>
      <w:r w:rsidRPr="0035387D">
        <w:t xml:space="preserve">amendment to inform the Commission of </w:t>
      </w:r>
      <w:r>
        <w:t xml:space="preserve">certain changes to the structure of the transactions to address any concerns regarding changes in rules caused by </w:t>
      </w:r>
      <w:r w:rsidRPr="00CF4007">
        <w:rPr>
          <w:i/>
        </w:rPr>
        <w:t>Prometheus IV</w:t>
      </w:r>
      <w:r w:rsidRPr="00CF4007">
        <w:rPr>
          <w:iCs/>
        </w:rPr>
        <w:t>.</w:t>
      </w:r>
      <w:bookmarkStart w:id="8" w:name="_Ref23413364"/>
      <w:r>
        <w:rPr>
          <w:rStyle w:val="FootnoteReference"/>
        </w:rPr>
        <w:footnoteReference w:id="31"/>
      </w:r>
      <w:bookmarkEnd w:id="8"/>
      <w:r>
        <w:rPr>
          <w:iCs/>
        </w:rPr>
        <w:t xml:space="preserve">  </w:t>
      </w:r>
      <w:r>
        <w:t xml:space="preserve">The Television Applicants will not be in compliance with the Commission’s pre-2017 media ownership rules absent the changes proposed in the amendment.  Specifically, in the Syracuse, New York, DMA, grant of the applications listed in the attachments would result in the transfer of an existing duopoly that would not comply with the Eight Voices Test of the Local Television Ownership Rule.  In the Yuma, Arizona, DMA, where there is also an existing combination, grant of the Television Applications would result in both violation of the Top-Four Prohibition of the Local Television Ownership Rule, which the Commission retained in part after issuance of the </w:t>
      </w:r>
      <w:r w:rsidRPr="00CF4007">
        <w:rPr>
          <w:i/>
          <w:iCs/>
        </w:rPr>
        <w:t>2010/2014 Quadrennial Review Order on Reconsideration</w:t>
      </w:r>
      <w:r>
        <w:t>, and the Eight-Voices Test.</w:t>
      </w:r>
      <w:r w:rsidRPr="00CF4007">
        <w:rPr>
          <w:i/>
          <w:iCs/>
        </w:rPr>
        <w:t xml:space="preserve">  </w:t>
      </w:r>
      <w:r>
        <w:t xml:space="preserve">In the October 2019 Amendment, the Television Applicants have stated that, as necessary, </w:t>
      </w:r>
      <w:r w:rsidRPr="00146460">
        <w:t>Northwest will surrender the licenses for</w:t>
      </w:r>
      <w:r>
        <w:t xml:space="preserve"> one</w:t>
      </w:r>
      <w:r w:rsidRPr="00146460">
        <w:t xml:space="preserve"> </w:t>
      </w:r>
      <w:r>
        <w:t xml:space="preserve">of </w:t>
      </w:r>
      <w:r w:rsidRPr="00146460">
        <w:t xml:space="preserve">its stations in Syracuse and Yuma not acquired by Terrier Media and will transfer all </w:t>
      </w:r>
      <w:r w:rsidRPr="00146460">
        <w:t>of the programming to the corresponding acquired station in each market to be carried on a primary or multicast channel.</w:t>
      </w:r>
      <w:r>
        <w:rPr>
          <w:rStyle w:val="FootnoteReference"/>
        </w:rPr>
        <w:footnoteReference w:id="32"/>
      </w:r>
      <w:r w:rsidRPr="00146460">
        <w:t xml:space="preserve">  </w:t>
      </w:r>
    </w:p>
    <w:p w:rsidR="00AD59BE" w:rsidP="00AD59BE" w14:paraId="1D1327BD" w14:textId="77777777">
      <w:pPr>
        <w:pStyle w:val="ParaNum"/>
      </w:pPr>
      <w:r>
        <w:t>In addition to the Local Television Ownership Rule, in multiple markets the Television Applications also implicate the NBCO Rule, once it is reinstated..  To address this concern</w:t>
      </w:r>
      <w:r w:rsidRPr="006462D2">
        <w:t>, Terrier Media and Cox propose to restructure their transaction with the intention that Cox’s parent will have a non-attributable ownership interest in Terrier Holdings</w:t>
      </w:r>
      <w:r>
        <w:t>, which has a single majority shareholder</w:t>
      </w:r>
      <w:r w:rsidRPr="006462D2">
        <w:t>.</w:t>
      </w:r>
      <w:r>
        <w:rPr>
          <w:rStyle w:val="FootnoteReference"/>
        </w:rPr>
        <w:footnoteReference w:id="33"/>
      </w:r>
      <w:r w:rsidRPr="006462D2">
        <w:t xml:space="preserve">  Specifically, Cox’s parent will have a 19.9% voting interest in Terrier Holdings and a right to appoint one or more observers to Terrier Holdings’ board of directors, along with certain minority investor protections, consistent with precedent.</w:t>
      </w:r>
      <w:r>
        <w:rPr>
          <w:rStyle w:val="FootnoteReference"/>
        </w:rPr>
        <w:footnoteReference w:id="34"/>
      </w:r>
      <w:r w:rsidRPr="006462D2">
        <w:t xml:space="preserve">  Second, Terrier is prepared to change the publication schedule of the three daily newspapers owned by Cox in Ohio</w:t>
      </w:r>
      <w:r>
        <w:t>, in markets where they currently own broadcast television licenses,</w:t>
      </w:r>
      <w:r w:rsidRPr="006462D2">
        <w:t xml:space="preserve"> such that they would be published in print only three times a week.</w:t>
      </w:r>
      <w:r>
        <w:rPr>
          <w:rStyle w:val="FootnoteReference"/>
        </w:rPr>
        <w:footnoteReference w:id="35"/>
      </w:r>
      <w:r w:rsidRPr="006462D2">
        <w:t xml:space="preserve">  In a separate transaction, affiliates of Apollo have issue</w:t>
      </w:r>
      <w:r>
        <w:t>d</w:t>
      </w:r>
      <w:r w:rsidRPr="006462D2">
        <w:t xml:space="preserve"> loans to New Media Investment Group, Inc., for its acquisition of Gannett Co. (Gannett), publisher of a number of daily newspapers.  Apollo has certified that neither Apollo Capital Management, L.P., nor any of its parent or affiliated entities, including AGM, </w:t>
      </w:r>
      <w:r>
        <w:t>has</w:t>
      </w:r>
      <w:r w:rsidRPr="006462D2">
        <w:t xml:space="preserve"> an attributable interest in Gannett.</w:t>
      </w:r>
      <w:r>
        <w:rPr>
          <w:rStyle w:val="FootnoteReference"/>
        </w:rPr>
        <w:footnoteReference w:id="36"/>
      </w:r>
      <w:r w:rsidRPr="006462D2">
        <w:t xml:space="preserve">  </w:t>
      </w:r>
    </w:p>
    <w:p w:rsidR="00AD59BE" w:rsidP="00AD59BE" w14:paraId="02E82DC5" w14:textId="77777777">
      <w:pPr>
        <w:pStyle w:val="ParaNum"/>
      </w:pPr>
      <w:r>
        <w:t xml:space="preserve">The Television Applicants assert that grant of the Transaction is in the public interest.  Regarding the acquisition of the broadcast television stations, the Television Applications state that </w:t>
      </w:r>
      <w:r w:rsidRPr="00242B25">
        <w:t xml:space="preserve">Terrier Media intends to </w:t>
      </w:r>
      <w:r>
        <w:t>improve program offerings in local markets and to increase capital investments in broadcast infrastructure and local content creation, including local news</w:t>
      </w:r>
      <w:r w:rsidRPr="00242B25">
        <w:t>.</w:t>
      </w:r>
      <w:r>
        <w:rPr>
          <w:rStyle w:val="FootnoteReference"/>
        </w:rPr>
        <w:footnoteReference w:id="37"/>
      </w:r>
      <w:r w:rsidRPr="00242B25">
        <w:t xml:space="preserve"> </w:t>
      </w:r>
      <w:r>
        <w:t xml:space="preserve"> </w:t>
      </w:r>
      <w:r w:rsidRPr="00AB2212">
        <w:t>Terrier Media</w:t>
      </w:r>
      <w:r>
        <w:t xml:space="preserve"> contends that it</w:t>
      </w:r>
      <w:r w:rsidRPr="00AB2212">
        <w:t xml:space="preserve"> is fully committed to continuing </w:t>
      </w:r>
      <w:r>
        <w:t xml:space="preserve">and expanding </w:t>
      </w:r>
      <w:r w:rsidRPr="00AB2212">
        <w:t xml:space="preserve">the </w:t>
      </w:r>
      <w:r>
        <w:t>“</w:t>
      </w:r>
      <w:r w:rsidRPr="00AB2212">
        <w:t>long history of excellent local news and other local programming</w:t>
      </w:r>
      <w:r>
        <w:t xml:space="preserve">” offered by the </w:t>
      </w:r>
      <w:r w:rsidRPr="00AB2212">
        <w:t>Northwest and Cox Stations</w:t>
      </w:r>
      <w:r>
        <w:t>.</w:t>
      </w:r>
      <w:r>
        <w:rPr>
          <w:rStyle w:val="FootnoteReference"/>
        </w:rPr>
        <w:footnoteReference w:id="38"/>
      </w:r>
      <w:r>
        <w:t xml:space="preserve"> </w:t>
      </w:r>
      <w:r w:rsidRPr="00AB2212">
        <w:t xml:space="preserve"> </w:t>
      </w:r>
      <w:r>
        <w:t xml:space="preserve">In addition, the Television Applicants </w:t>
      </w:r>
      <w:r w:rsidRPr="00AB2212">
        <w:t>expect that the resources of Cox</w:t>
      </w:r>
      <w:r>
        <w:t>’</w:t>
      </w:r>
      <w:r w:rsidRPr="00AB2212">
        <w:t xml:space="preserve">s Washington News Bureau will be available to the combined group of </w:t>
      </w:r>
      <w:r>
        <w:t xml:space="preserve">television and radio </w:t>
      </w:r>
      <w:r w:rsidRPr="00AB2212">
        <w:t>stations after the closing.</w:t>
      </w:r>
      <w:r>
        <w:rPr>
          <w:rStyle w:val="FootnoteReference"/>
        </w:rPr>
        <w:footnoteReference w:id="39"/>
      </w:r>
      <w:r w:rsidRPr="00CF4007">
        <w:t xml:space="preserve"> </w:t>
      </w:r>
    </w:p>
    <w:p w:rsidR="00AD59BE" w:rsidP="00AD59BE" w14:paraId="20308335" w14:textId="77777777">
      <w:pPr>
        <w:pStyle w:val="ParaNum"/>
      </w:pPr>
      <w:r>
        <w:t xml:space="preserve">The Television Applicants further claim that </w:t>
      </w:r>
      <w:r w:rsidRPr="00AB2212">
        <w:t xml:space="preserve">Terrier Media’s </w:t>
      </w:r>
      <w:r>
        <w:t>o</w:t>
      </w:r>
      <w:r w:rsidRPr="00AB2212">
        <w:t xml:space="preserve">peration of the </w:t>
      </w:r>
      <w:r>
        <w:t>c</w:t>
      </w:r>
      <w:r w:rsidRPr="00AB2212">
        <w:t xml:space="preserve">ombination of the Northwest and Cox Stations will </w:t>
      </w:r>
      <w:r>
        <w:t>f</w:t>
      </w:r>
      <w:r w:rsidRPr="00AB2212">
        <w:t xml:space="preserve">urther </w:t>
      </w:r>
      <w:r>
        <w:t>e</w:t>
      </w:r>
      <w:r w:rsidRPr="00AB2212">
        <w:t xml:space="preserve">nhance the </w:t>
      </w:r>
      <w:r>
        <w:t>p</w:t>
      </w:r>
      <w:r w:rsidRPr="00AB2212">
        <w:t xml:space="preserve">ublic </w:t>
      </w:r>
      <w:r>
        <w:t>i</w:t>
      </w:r>
      <w:r w:rsidRPr="00AB2212">
        <w:t>nterest</w:t>
      </w:r>
      <w:r>
        <w:t xml:space="preserve"> based upon</w:t>
      </w:r>
      <w:r w:rsidRPr="00AB2212">
        <w:t xml:space="preserve"> </w:t>
      </w:r>
      <w:r>
        <w:t xml:space="preserve">the </w:t>
      </w:r>
      <w:r w:rsidRPr="00AB2212">
        <w:t>long track record of</w:t>
      </w:r>
      <w:r>
        <w:t xml:space="preserve"> </w:t>
      </w:r>
      <w:r w:rsidRPr="00AB2212">
        <w:t>Terrier Media’s principals</w:t>
      </w:r>
      <w:r>
        <w:t xml:space="preserve"> in “producing</w:t>
      </w:r>
      <w:r w:rsidRPr="00AB2212">
        <w:t xml:space="preserve"> superior results in strengthening businesses and making them more competitive.</w:t>
      </w:r>
      <w:r>
        <w:t>”</w:t>
      </w:r>
      <w:r>
        <w:rPr>
          <w:rStyle w:val="FootnoteReference"/>
        </w:rPr>
        <w:footnoteReference w:id="40"/>
      </w:r>
      <w:r>
        <w:t xml:space="preserve">  They also state that </w:t>
      </w:r>
      <w:r w:rsidRPr="00986D86">
        <w:t>Terrier Media</w:t>
      </w:r>
      <w:r>
        <w:t>—and thus the stations—</w:t>
      </w:r>
      <w:r w:rsidRPr="00986D86">
        <w:t xml:space="preserve">will benefit from </w:t>
      </w:r>
      <w:r>
        <w:t xml:space="preserve">the </w:t>
      </w:r>
      <w:r w:rsidRPr="00986D86">
        <w:t>financial, strategic, and management expertise provided by advisory affiliates of AGM</w:t>
      </w:r>
      <w:r>
        <w:t>,</w:t>
      </w:r>
      <w:r>
        <w:t xml:space="preserve"> </w:t>
      </w:r>
      <w:r>
        <w:t>and “[t]</w:t>
      </w:r>
      <w:r w:rsidRPr="00AB2212">
        <w:t>hat collective experience will allow Terrier Media to develop and present creative approaches to address the increasing challenges faced by the television broadcast industry from an unprecedented number of new, well-funded competitors.</w:t>
      </w:r>
      <w:r>
        <w:t>”</w:t>
      </w:r>
      <w:r>
        <w:rPr>
          <w:rStyle w:val="FootnoteReference"/>
        </w:rPr>
        <w:footnoteReference w:id="41"/>
      </w:r>
      <w:r>
        <w:t xml:space="preserve"> </w:t>
      </w:r>
      <w:r w:rsidRPr="00AB2212">
        <w:t xml:space="preserve"> At the same time, </w:t>
      </w:r>
      <w:r>
        <w:t xml:space="preserve">the Television Applicants assert that </w:t>
      </w:r>
      <w:r w:rsidRPr="00AB2212">
        <w:t>Terrier Media will benefit from the businesses</w:t>
      </w:r>
      <w:r>
        <w:t>’</w:t>
      </w:r>
      <w:r w:rsidRPr="00AB2212">
        <w:t xml:space="preserve"> existing leadership and management</w:t>
      </w:r>
      <w:r>
        <w:t xml:space="preserve">, as the current ownership of Northwest and Cox will continue to have a meaningful interest in the ownership and strategic direction of </w:t>
      </w:r>
      <w:r w:rsidRPr="00AB2212">
        <w:t>the new broadcast company</w:t>
      </w:r>
      <w:r>
        <w:t>.</w:t>
      </w:r>
      <w:r>
        <w:rPr>
          <w:rStyle w:val="FootnoteReference"/>
        </w:rPr>
        <w:footnoteReference w:id="42"/>
      </w:r>
      <w:r>
        <w:t xml:space="preserve">  Further, the Television Applicants maintain that </w:t>
      </w:r>
      <w:r w:rsidRPr="00AB2212">
        <w:t>combining the Northwest and Cox Stations, which do not have any overlap markets, will allow the new company to achieve the scale and scope needed to compete more effectively.</w:t>
      </w:r>
      <w:r>
        <w:rPr>
          <w:rStyle w:val="FootnoteReference"/>
        </w:rPr>
        <w:footnoteReference w:id="43"/>
      </w:r>
      <w:r w:rsidRPr="00CF4007">
        <w:t xml:space="preserve"> </w:t>
      </w:r>
    </w:p>
    <w:p w:rsidR="00AD59BE" w:rsidP="00AD59BE" w14:paraId="00265B48" w14:textId="77777777">
      <w:pPr>
        <w:pStyle w:val="Heading2"/>
        <w:keepNext w:val="0"/>
      </w:pPr>
      <w:r>
        <w:t>Radio Transaction</w:t>
      </w:r>
    </w:p>
    <w:p w:rsidR="00AD59BE" w:rsidP="00AD59BE" w14:paraId="5A888729" w14:textId="77777777">
      <w:pPr>
        <w:pStyle w:val="ParaNum"/>
      </w:pPr>
      <w:r w:rsidRPr="00F67CEC">
        <w:t xml:space="preserve">The </w:t>
      </w:r>
      <w:r>
        <w:t xml:space="preserve">Radio </w:t>
      </w:r>
      <w:r w:rsidRPr="00F67CEC">
        <w:t>Applicants propose that</w:t>
      </w:r>
      <w:r>
        <w:t>, p</w:t>
      </w:r>
      <w:r w:rsidRPr="00F67CEC">
        <w:t>ursuant to a Stock Purchase Agreement dated June 26, 2019</w:t>
      </w:r>
      <w:r>
        <w:t xml:space="preserve"> (Radio Transaction),</w:t>
      </w:r>
      <w:r w:rsidRPr="00F67CEC">
        <w:t xml:space="preserve"> Terrier Media</w:t>
      </w:r>
      <w:r>
        <w:t xml:space="preserve"> </w:t>
      </w:r>
      <w:r w:rsidRPr="00F67CEC">
        <w:t>will become the 100% indirect owner of licensee Cox Radio.</w:t>
      </w:r>
      <w:r>
        <w:rPr>
          <w:rStyle w:val="FootnoteReference"/>
        </w:rPr>
        <w:footnoteReference w:id="44"/>
      </w:r>
      <w:r w:rsidRPr="00F67CEC">
        <w:t xml:space="preserve">  </w:t>
      </w:r>
      <w:r w:rsidRPr="005254E9">
        <w:t xml:space="preserve">As consideration for CEI’s shares, Terrier </w:t>
      </w:r>
      <w:r>
        <w:t xml:space="preserve">Media </w:t>
      </w:r>
      <w:r w:rsidRPr="005254E9">
        <w:t xml:space="preserve">will tender $425 million </w:t>
      </w:r>
      <w:r>
        <w:t xml:space="preserve">in cash </w:t>
      </w:r>
      <w:r w:rsidRPr="005254E9">
        <w:t>and an unsecured promissory note in the amount of $75 million</w:t>
      </w:r>
      <w:r>
        <w:t xml:space="preserve"> </w:t>
      </w:r>
      <w:r w:rsidRPr="00E32435">
        <w:t>at closing</w:t>
      </w:r>
      <w:r w:rsidRPr="005254E9">
        <w:t>.</w:t>
      </w:r>
      <w:r>
        <w:rPr>
          <w:rStyle w:val="FootnoteReference"/>
        </w:rPr>
        <w:footnoteReference w:id="45"/>
      </w:r>
      <w:r w:rsidRPr="005254E9">
        <w:t xml:space="preserve">  </w:t>
      </w:r>
      <w:r w:rsidRPr="00F67CEC">
        <w:t>AP IX Titan Holdings, L.P. (Titan), a Delaware limited partnership, will hold 7</w:t>
      </w:r>
      <w:r>
        <w:t>0.9</w:t>
      </w:r>
      <w:r w:rsidRPr="00F67CEC">
        <w:t>% of the stock of Terrier Media Holdings, Inc. (Terrier Holdings), which, through a series of intermediate holding companies will control Terrier Media.</w:t>
      </w:r>
      <w:r>
        <w:rPr>
          <w:rStyle w:val="FootnoteReference"/>
        </w:rPr>
        <w:footnoteReference w:id="46"/>
      </w:r>
      <w:r w:rsidRPr="00F67CEC">
        <w:t xml:space="preserve">  </w:t>
      </w:r>
      <w:r>
        <w:t>The remaining voting interest in Terrier Holdings will be held by former owners of Cox and Northwest</w:t>
      </w:r>
      <w:r w:rsidRPr="00F67CEC">
        <w:t>.</w:t>
      </w:r>
      <w:r>
        <w:rPr>
          <w:rStyle w:val="FootnoteReference"/>
        </w:rPr>
        <w:footnoteReference w:id="47"/>
      </w:r>
      <w:r w:rsidRPr="00CF4007">
        <w:t xml:space="preserve"> </w:t>
      </w:r>
    </w:p>
    <w:p w:rsidR="00AD59BE" w:rsidP="00AD59BE" w14:paraId="42B61DF7" w14:textId="77777777">
      <w:pPr>
        <w:pStyle w:val="ParaNum"/>
      </w:pPr>
      <w:r w:rsidRPr="00F67CEC">
        <w:t xml:space="preserve">In the Tampa and Orlando Nielsen markets, the </w:t>
      </w:r>
      <w:r>
        <w:t xml:space="preserve">Radio </w:t>
      </w:r>
      <w:r w:rsidRPr="00F67CEC">
        <w:t xml:space="preserve">Transaction will create new or existing station combinations that implicate </w:t>
      </w:r>
      <w:r>
        <w:t>the l</w:t>
      </w:r>
      <w:r w:rsidRPr="00F67CEC">
        <w:t xml:space="preserve">ocal </w:t>
      </w:r>
      <w:r>
        <w:t>r</w:t>
      </w:r>
      <w:r w:rsidRPr="00F67CEC">
        <w:t>adio ownership rule</w:t>
      </w:r>
      <w:r>
        <w:t>.</w:t>
      </w:r>
      <w:r>
        <w:rPr>
          <w:rStyle w:val="FootnoteReference"/>
        </w:rPr>
        <w:footnoteReference w:id="48"/>
      </w:r>
      <w:r w:rsidRPr="00F67CEC">
        <w:t xml:space="preserve">  According to the Applicants, there are no </w:t>
      </w:r>
      <w:r>
        <w:t xml:space="preserve">other </w:t>
      </w:r>
      <w:r w:rsidRPr="00F67CEC">
        <w:t xml:space="preserve">new or existing station combinations created by the </w:t>
      </w:r>
      <w:r>
        <w:t>Radio T</w:t>
      </w:r>
      <w:r w:rsidRPr="00F67CEC">
        <w:t>ransaction</w:t>
      </w:r>
      <w:r>
        <w:t xml:space="preserve"> </w:t>
      </w:r>
      <w:r w:rsidRPr="00913553">
        <w:t>that would not comply with the local radio ownership rules</w:t>
      </w:r>
      <w:r>
        <w:t>.</w:t>
      </w:r>
      <w:r>
        <w:rPr>
          <w:rStyle w:val="FootnoteReference"/>
        </w:rPr>
        <w:footnoteReference w:id="49"/>
      </w:r>
      <w:r>
        <w:t xml:space="preserve">  </w:t>
      </w:r>
      <w:r w:rsidRPr="00F67CEC">
        <w:t>They indicate that, because the Divestiture Trust structure includes proper insulation, the stations to be assigned to the Divestiture Trust will not be attributable to Cox Radio or Terrier Media for the purposes of the local radio ownership rule upon consummation of the assignment of the stations to the Divestiture Trust, thereby permitting the proposed transfer of control of Cox Radio to Terrier Media to proceed in compliance with the Commission’s local radio ownership rule.</w:t>
      </w:r>
      <w:r>
        <w:t xml:space="preserve">  </w:t>
      </w:r>
    </w:p>
    <w:p w:rsidR="00AD59BE" w:rsidP="00AD59BE" w14:paraId="5FA86E6F" w14:textId="77777777">
      <w:pPr>
        <w:pStyle w:val="ParaNum"/>
      </w:pPr>
      <w:r>
        <w:t xml:space="preserve">The ownership structure for Terrier Media in the Radio Transaction is identical to the </w:t>
      </w:r>
      <w:r>
        <w:t>Television Transaction described above, and on October 29, 2019, the Radio Applicants filed an amendment virtually identical to the one filed by the Television Applicants on that date.</w:t>
      </w:r>
      <w:r>
        <w:rPr>
          <w:rStyle w:val="FootnoteReference"/>
        </w:rPr>
        <w:footnoteReference w:id="50"/>
      </w:r>
      <w:r w:rsidRPr="00CF4007">
        <w:t xml:space="preserve"> </w:t>
      </w:r>
    </w:p>
    <w:p w:rsidR="00AD59BE" w:rsidP="00AD59BE" w14:paraId="5BA19321" w14:textId="77777777">
      <w:pPr>
        <w:pStyle w:val="ParaNum"/>
      </w:pPr>
      <w:r w:rsidRPr="002F2BB5">
        <w:t xml:space="preserve">The Radio Applicants also assert that grant of the Radio Transaction is in the public interest.  They state that </w:t>
      </w:r>
      <w:r w:rsidRPr="00CF4007">
        <w:rPr>
          <w:snapToGrid/>
        </w:rPr>
        <w:t xml:space="preserve">Terrier Media is fully committed to continuing the Cox Radio stations’ long history of excellent local news and entertainment programming and expects to support those </w:t>
      </w:r>
      <w:r w:rsidRPr="00CF4007">
        <w:rPr>
          <w:snapToGrid/>
          <w:kern w:val="0"/>
          <w:szCs w:val="22"/>
        </w:rPr>
        <w:t>efforts with key investments that will enable the stations to better serve the public.  They also state that Terrier Media will continue the Cox Radio stations’ focus on the journalistic integrity, news quality, and commitment to community that CEI has demonstrated in its ownership of the stations.</w:t>
      </w:r>
      <w:r>
        <w:rPr>
          <w:rStyle w:val="FootnoteReference"/>
          <w:snapToGrid/>
          <w:kern w:val="0"/>
          <w:szCs w:val="22"/>
        </w:rPr>
        <w:footnoteReference w:id="51"/>
      </w:r>
      <w:r w:rsidRPr="00CF4007">
        <w:t xml:space="preserve"> </w:t>
      </w:r>
    </w:p>
    <w:p w:rsidR="00AD59BE" w:rsidRPr="004B3A17" w:rsidP="00AD59BE" w14:paraId="60964E06" w14:textId="77777777">
      <w:pPr>
        <w:pStyle w:val="Heading2"/>
        <w:keepNext w:val="0"/>
      </w:pPr>
      <w:r>
        <w:t>Pleadings</w:t>
      </w:r>
    </w:p>
    <w:p w:rsidR="00AD59BE" w:rsidP="00AD59BE" w14:paraId="013C31BF" w14:textId="77777777">
      <w:pPr>
        <w:pStyle w:val="ParaNum"/>
      </w:pPr>
      <w:r w:rsidRPr="003F69F1">
        <w:t xml:space="preserve">On </w:t>
      </w:r>
      <w:r>
        <w:t>April 10</w:t>
      </w:r>
      <w:r w:rsidRPr="003F69F1">
        <w:t xml:space="preserve">, 2019, the Media Bureau released a Public Notice announcing the filing of the </w:t>
      </w:r>
      <w:r>
        <w:t>Television Applications and</w:t>
      </w:r>
      <w:r w:rsidRPr="003F69F1">
        <w:t xml:space="preserve"> establishing a pleading cycle.</w:t>
      </w:r>
      <w:r>
        <w:rPr>
          <w:vertAlign w:val="superscript"/>
        </w:rPr>
        <w:footnoteReference w:id="52"/>
      </w:r>
      <w:r w:rsidRPr="003F69F1">
        <w:t xml:space="preserve"> </w:t>
      </w:r>
      <w:r>
        <w:t xml:space="preserve"> Three parties filed pleadings.  The American Television Alliance (ATVA) filed comments, asserting that the Television Applicants have not addressed the public-interest concerns raised by the transfer of existing top-four combinations in several markets—including those involving LPTV stations and multicast streams—and that the Transaction would harm the public interest by raising retransmission consent prices.</w:t>
      </w:r>
      <w:r>
        <w:rPr>
          <w:rStyle w:val="FootnoteReference"/>
        </w:rPr>
        <w:footnoteReference w:id="53"/>
      </w:r>
      <w:r>
        <w:t xml:space="preserve">  </w:t>
      </w:r>
      <w:r w:rsidRPr="00053B73">
        <w:t xml:space="preserve">Common Cause, </w:t>
      </w:r>
      <w:r>
        <w:t>Common Cause Ohio, and United Church of Christ, OC Inc. (Common Cause et al.) filed a joint petition to deny the Television Applications, maintaining that the Television Applicants have failed to demonstrate that the Transaction is in the public interest and that the Transaction would harm localism and viewpoint diversity.</w:t>
      </w:r>
      <w:r>
        <w:rPr>
          <w:rStyle w:val="FootnoteReference"/>
        </w:rPr>
        <w:footnoteReference w:id="54"/>
      </w:r>
      <w:r>
        <w:t xml:space="preserve">  Finally, Darryl Beauford—a local viewer in the Atlanta DMA—filed a petition to deny, contending that the licensee of Cox station WSB-TV violated the Commission’s public file rules by denying him the opportunity to inspect its files; accordingly, he argues that Cox should not be permitted to profit from this transaction.</w:t>
      </w:r>
      <w:r>
        <w:rPr>
          <w:rStyle w:val="FootnoteReference"/>
        </w:rPr>
        <w:footnoteReference w:id="55"/>
      </w:r>
      <w:r w:rsidRPr="00CF4007">
        <w:t xml:space="preserve"> </w:t>
      </w:r>
    </w:p>
    <w:p w:rsidR="00AD59BE" w:rsidP="00AD59BE" w14:paraId="7D4D1FA2" w14:textId="77777777">
      <w:pPr>
        <w:pStyle w:val="ParaNum"/>
      </w:pPr>
      <w:r>
        <w:t>The Television Applicants filed a Consolidated Joint Opposition to these pleadings on May 28, 2019 (Consolidated Opposition), asserting that (1) Common Cause et al. and ATVA failed to establish standing; (2) the Television Applications demonstrated that the transactions will enhance the public interest; (3) ATVA’s claims regarding duopolies/quadropolies and retransmission consent issues should be rejected; and (4) WSB</w:t>
      </w:r>
      <w:r>
        <w:noBreakHyphen/>
        <w:t>TV did not violate the Commission’s public file rules, and Beauford otherwise failed to provide a justification for denying the sale of WSB-TV.  Beauford filed a reply on June 3, 2019 (Beauford Reply), which largely emphasized the arguments in his initial petition.</w:t>
      </w:r>
      <w:r w:rsidRPr="00CF4007">
        <w:t xml:space="preserve"> </w:t>
      </w:r>
    </w:p>
    <w:p w:rsidR="00AD59BE" w:rsidP="00AD59BE" w14:paraId="12C39359" w14:textId="77777777">
      <w:pPr>
        <w:pStyle w:val="ParaNum"/>
      </w:pPr>
      <w:r>
        <w:t>No parties filed pleadings in response to the Radio Transfer Applications.</w:t>
      </w:r>
      <w:r w:rsidRPr="00CF4007">
        <w:t xml:space="preserve"> </w:t>
      </w:r>
    </w:p>
    <w:p w:rsidR="00AD59BE" w:rsidP="00AD59BE" w14:paraId="73F88855" w14:textId="77777777">
      <w:pPr>
        <w:pStyle w:val="ParaNum"/>
      </w:pPr>
      <w:r w:rsidRPr="005938B7">
        <w:t xml:space="preserve">On November 15, 2019, Common Cause and United Church of Christ, OC Inc. (Common Cause and UCC) filed an ex parte submission arguing (1) that the October Amendment disregards the </w:t>
      </w:r>
      <w:r w:rsidRPr="005938B7">
        <w:t>primary purpose of the media ownership rules and takes advantage of loopholes to those rules</w:t>
      </w:r>
      <w:r>
        <w:t>;</w:t>
      </w:r>
      <w:r w:rsidRPr="005938B7">
        <w:t xml:space="preserve"> and (2) that grant of that amendment would ignore </w:t>
      </w:r>
      <w:r w:rsidRPr="00CF4007">
        <w:rPr>
          <w:i/>
          <w:iCs/>
        </w:rPr>
        <w:t>Prometheus IV</w:t>
      </w:r>
      <w:r w:rsidRPr="005938B7">
        <w:t>.</w:t>
      </w:r>
      <w:r>
        <w:rPr>
          <w:rStyle w:val="FootnoteReference"/>
        </w:rPr>
        <w:footnoteReference w:id="56"/>
      </w:r>
      <w:r w:rsidRPr="005938B7">
        <w:t xml:space="preserve">  </w:t>
      </w:r>
    </w:p>
    <w:p w:rsidR="00AD59BE" w:rsidRPr="00D80D15" w:rsidP="00AD59BE" w14:paraId="20931E44" w14:textId="77777777">
      <w:pPr>
        <w:pStyle w:val="Heading2"/>
        <w:keepNext w:val="0"/>
      </w:pPr>
      <w:r>
        <w:t xml:space="preserve">Standard of Review </w:t>
      </w:r>
    </w:p>
    <w:p w:rsidR="00AD59BE" w:rsidP="00AD59BE" w14:paraId="46FCD412" w14:textId="77777777">
      <w:pPr>
        <w:pStyle w:val="ParaNum"/>
      </w:pPr>
      <w:bookmarkStart w:id="9" w:name="_Hlk23888102"/>
      <w:r w:rsidRPr="00CF4007">
        <w:rPr>
          <w:bCs/>
          <w:color w:val="000000"/>
          <w:szCs w:val="22"/>
        </w:rPr>
        <w:t>Section 310(d) of the Act provides that no station license shall be transferred or assigned unless the Commission, on application, determines that the public interest, convenience, and necessity will be served thereby.</w:t>
      </w:r>
      <w:r>
        <w:rPr>
          <w:bCs/>
          <w:sz w:val="20"/>
          <w:szCs w:val="22"/>
          <w:vertAlign w:val="superscript"/>
        </w:rPr>
        <w:footnoteReference w:id="57"/>
      </w:r>
      <w:r w:rsidRPr="00CF4007">
        <w:rPr>
          <w:bCs/>
          <w:color w:val="000000"/>
          <w:szCs w:val="22"/>
        </w:rPr>
        <w:t xml:space="preserve">  In making this assessment, the Commission must first determine whether the proposed transaction would comply with the specific provisions of the Act, other applicable statutes, and the Commission’s rules.</w:t>
      </w:r>
      <w:r>
        <w:rPr>
          <w:bCs/>
          <w:sz w:val="20"/>
          <w:szCs w:val="22"/>
          <w:vertAlign w:val="superscript"/>
        </w:rPr>
        <w:footnoteReference w:id="58"/>
      </w:r>
      <w:r w:rsidRPr="00CF4007">
        <w:rPr>
          <w:bCs/>
          <w:color w:val="000000"/>
          <w:szCs w:val="22"/>
        </w:rPr>
        <w:t xml:space="preserve">  If the </w:t>
      </w:r>
      <w:r w:rsidRPr="00CF4007">
        <w:rPr>
          <w:szCs w:val="22"/>
        </w:rPr>
        <w:t>transaction</w:t>
      </w:r>
      <w:r w:rsidRPr="00CF4007">
        <w:rPr>
          <w:bCs/>
          <w:color w:val="000000"/>
          <w:szCs w:val="22"/>
        </w:rPr>
        <w:t xml:space="preserve"> would not violate a statute or rule, the Commission considers whether it could result in public interest harms by substantially frustrating or impairing the objectives or implementation of the Act or </w:t>
      </w:r>
      <w:r w:rsidRPr="006F51CB">
        <w:t>related</w:t>
      </w:r>
      <w:r w:rsidRPr="00CF4007">
        <w:rPr>
          <w:bCs/>
          <w:color w:val="000000"/>
          <w:szCs w:val="22"/>
        </w:rPr>
        <w:t xml:space="preserve"> statutes.</w:t>
      </w:r>
      <w:r>
        <w:rPr>
          <w:bCs/>
          <w:sz w:val="20"/>
          <w:szCs w:val="22"/>
          <w:vertAlign w:val="superscript"/>
        </w:rPr>
        <w:footnoteReference w:id="59"/>
      </w:r>
      <w:r w:rsidRPr="00CF4007">
        <w:rPr>
          <w:bCs/>
          <w:color w:val="000000"/>
          <w:szCs w:val="22"/>
        </w:rPr>
        <w:t xml:space="preserve">  </w:t>
      </w:r>
      <w:r w:rsidRPr="00645FB7">
        <w:t xml:space="preserve">If the Commission is unable to find that the proposed transaction serves the public interest, or if the record presents a </w:t>
      </w:r>
      <w:bookmarkStart w:id="10" w:name="_Hlk16759503"/>
      <w:r w:rsidRPr="00645FB7">
        <w:t xml:space="preserve">substantial and material question of fact </w:t>
      </w:r>
      <w:bookmarkEnd w:id="10"/>
      <w:r w:rsidRPr="00645FB7">
        <w:t xml:space="preserve">as to whether the transaction serves the public interest, </w:t>
      </w:r>
      <w:r>
        <w:t>s</w:t>
      </w:r>
      <w:r w:rsidRPr="00645FB7">
        <w:t>ection 309(e) of the Act requires that the applications be designated for hearing.</w:t>
      </w:r>
      <w:r>
        <w:rPr>
          <w:vertAlign w:val="superscript"/>
        </w:rPr>
        <w:footnoteReference w:id="60"/>
      </w:r>
      <w:bookmarkStart w:id="11" w:name="co_fnRef_FN_F44_ID0EVBAE_1"/>
      <w:bookmarkStart w:id="12" w:name="co_fnRef_FN_F45_ID0E3BAE_1"/>
      <w:bookmarkStart w:id="13" w:name="co_fnRef_FN_F46_ID0EDCAE_1"/>
      <w:bookmarkStart w:id="14" w:name="co_fnRef_FN_F47_ID0EKCAE_1"/>
      <w:bookmarkEnd w:id="11"/>
      <w:bookmarkEnd w:id="12"/>
      <w:bookmarkEnd w:id="13"/>
      <w:bookmarkEnd w:id="14"/>
      <w:r w:rsidRPr="00CF4007">
        <w:t xml:space="preserve"> </w:t>
      </w:r>
    </w:p>
    <w:bookmarkEnd w:id="9"/>
    <w:p w:rsidR="00AD59BE" w:rsidP="00AD59BE" w14:paraId="6C60874F" w14:textId="77777777">
      <w:pPr>
        <w:pStyle w:val="ParaNum"/>
        <w:widowControl/>
      </w:pPr>
      <w:r w:rsidRPr="00CF4007">
        <w:rPr>
          <w:color w:val="000000"/>
          <w:szCs w:val="22"/>
        </w:rPr>
        <w:t xml:space="preserve">The Commission applies a two-part test when evaluating a petition to deny (or informal objection) under the public interest standard. </w:t>
      </w:r>
      <w:r w:rsidRPr="00CF4007">
        <w:rPr>
          <w:color w:val="000000"/>
        </w:rPr>
        <w:t xml:space="preserve"> </w:t>
      </w:r>
      <w:r w:rsidRPr="00CF4007">
        <w:rPr>
          <w:color w:val="000000"/>
          <w:szCs w:val="22"/>
        </w:rPr>
        <w:t xml:space="preserve">First, the </w:t>
      </w:r>
      <w:r w:rsidRPr="00CF4007">
        <w:rPr>
          <w:szCs w:val="22"/>
        </w:rPr>
        <w:t>Commission</w:t>
      </w:r>
      <w:r w:rsidRPr="00CF4007">
        <w:rPr>
          <w:color w:val="000000"/>
          <w:szCs w:val="22"/>
        </w:rPr>
        <w:t xml:space="preserve"> must determine whether the petition to deny contains specific allegations of fact sufficient to show that granting the application would be </w:t>
      </w:r>
      <w:r w:rsidRPr="00CF4007">
        <w:rPr>
          <w:i/>
          <w:iCs/>
          <w:color w:val="000000"/>
          <w:szCs w:val="22"/>
        </w:rPr>
        <w:t>prima facie</w:t>
      </w:r>
      <w:r w:rsidRPr="00CF4007">
        <w:rPr>
          <w:color w:val="000000"/>
          <w:szCs w:val="22"/>
        </w:rPr>
        <w:t xml:space="preserve"> inconsistent with the public interest.</w:t>
      </w:r>
      <w:bookmarkStart w:id="15" w:name="co_fnRef_FN_F49_ID0EGDAE_1"/>
      <w:bookmarkEnd w:id="15"/>
      <w:r>
        <w:rPr>
          <w:sz w:val="20"/>
          <w:szCs w:val="22"/>
          <w:vertAlign w:val="superscript"/>
        </w:rPr>
        <w:footnoteReference w:id="61"/>
      </w:r>
      <w:r w:rsidRPr="00CF4007">
        <w:rPr>
          <w:color w:val="000000"/>
          <w:szCs w:val="22"/>
        </w:rPr>
        <w:t xml:space="preserve">  The first step “is much like that performed by a trial judge considering a motion for directed verdict:  if all the supporting facts alleged in the [petition] were true, could a reasonable fact finder conclude that the ultimate fact in dispute had been established.”</w:t>
      </w:r>
      <w:bookmarkStart w:id="16" w:name="co_fnRef_FN_F50_ID0EWDAE_1"/>
      <w:bookmarkEnd w:id="16"/>
      <w:r>
        <w:rPr>
          <w:sz w:val="20"/>
          <w:szCs w:val="22"/>
          <w:vertAlign w:val="superscript"/>
        </w:rPr>
        <w:footnoteReference w:id="62"/>
      </w:r>
      <w:r w:rsidRPr="00CF4007">
        <w:rPr>
          <w:color w:val="000000"/>
        </w:rPr>
        <w:t xml:space="preserve"> </w:t>
      </w:r>
      <w:r w:rsidRPr="00CF4007">
        <w:rPr>
          <w:color w:val="000000"/>
          <w:szCs w:val="22"/>
        </w:rPr>
        <w:t xml:space="preserve"> Second, the Commission must then determine whether, “on the basis of the application, the pleadings filed, or </w:t>
      </w:r>
      <w:r w:rsidRPr="00A35B2B">
        <w:t>other</w:t>
      </w:r>
      <w:r w:rsidRPr="00CF4007">
        <w:rPr>
          <w:color w:val="000000"/>
          <w:szCs w:val="22"/>
        </w:rPr>
        <w:t xml:space="preserve"> matters which [the Commission] may officially notice,” a substantial and material question of fact has been raised as to whether grant of the application would serve the public interest.</w:t>
      </w:r>
      <w:bookmarkStart w:id="17" w:name="co_fnRef_FN_F51_ID0EGEAE_1"/>
      <w:bookmarkEnd w:id="17"/>
      <w:r>
        <w:rPr>
          <w:sz w:val="20"/>
          <w:szCs w:val="22"/>
          <w:vertAlign w:val="superscript"/>
        </w:rPr>
        <w:footnoteReference w:id="63"/>
      </w:r>
      <w:r w:rsidRPr="00CF4007">
        <w:rPr>
          <w:color w:val="000000"/>
        </w:rPr>
        <w:t xml:space="preserve"> </w:t>
      </w:r>
      <w:r w:rsidRPr="00CF4007">
        <w:rPr>
          <w:color w:val="000000"/>
          <w:szCs w:val="22"/>
        </w:rPr>
        <w:t xml:space="preserve"> The D.C. Circuit has made clear that the two steps of the statutory inquiry “are typically made concurrently.”</w:t>
      </w:r>
      <w:bookmarkStart w:id="18" w:name="co_fnRef_FN_F52_ID0ENEAE_1"/>
      <w:bookmarkEnd w:id="18"/>
      <w:r>
        <w:rPr>
          <w:sz w:val="20"/>
          <w:szCs w:val="22"/>
          <w:vertAlign w:val="superscript"/>
        </w:rPr>
        <w:footnoteReference w:id="64"/>
      </w:r>
      <w:r w:rsidRPr="00CF4007">
        <w:rPr>
          <w:color w:val="000000"/>
        </w:rPr>
        <w:t xml:space="preserve"> </w:t>
      </w:r>
      <w:r w:rsidRPr="00CF4007">
        <w:rPr>
          <w:color w:val="000000"/>
          <w:szCs w:val="22"/>
        </w:rPr>
        <w:t xml:space="preserve"> That is, the Commission ordinarily does not consider separately whether a petition makes out a </w:t>
      </w:r>
      <w:r w:rsidRPr="00CF4007">
        <w:rPr>
          <w:i/>
          <w:iCs/>
          <w:color w:val="000000"/>
          <w:szCs w:val="22"/>
        </w:rPr>
        <w:t>prima facie</w:t>
      </w:r>
      <w:r w:rsidRPr="00CF4007">
        <w:rPr>
          <w:color w:val="000000"/>
          <w:szCs w:val="22"/>
        </w:rPr>
        <w:t xml:space="preserve"> case for denial of the application because “a negative resolution of the second question alone </w:t>
      </w:r>
      <w:r w:rsidRPr="00CF4007">
        <w:rPr>
          <w:color w:val="000000"/>
          <w:szCs w:val="22"/>
        </w:rPr>
        <w:t>[whether the record presents a substantial and material question of fact that warrants further inquiry in a hearing] makes the first question moot.”</w:t>
      </w:r>
      <w:r>
        <w:rPr>
          <w:sz w:val="20"/>
          <w:szCs w:val="22"/>
          <w:vertAlign w:val="superscript"/>
        </w:rPr>
        <w:footnoteReference w:id="65"/>
      </w:r>
      <w:r w:rsidRPr="00CF4007">
        <w:t xml:space="preserve"> </w:t>
      </w:r>
    </w:p>
    <w:p w:rsidR="00AD59BE" w:rsidRPr="00024731" w:rsidP="00AD59BE" w14:paraId="4E33DA8F" w14:textId="77777777">
      <w:pPr>
        <w:pStyle w:val="Heading1"/>
        <w:keepNext w:val="0"/>
        <w:suppressAutoHyphens w:val="0"/>
      </w:pPr>
      <w:r>
        <w:t xml:space="preserve">Discussion </w:t>
      </w:r>
    </w:p>
    <w:p w:rsidR="00AD59BE" w:rsidP="00AD59BE" w14:paraId="36547957" w14:textId="77777777">
      <w:pPr>
        <w:pStyle w:val="ParaNum"/>
      </w:pPr>
      <w:r w:rsidRPr="007F672E">
        <w:rPr>
          <w:snapToGrid/>
        </w:rPr>
        <w:t>We deny the challenges to the Television Transaction and grant the Television Applications listed in Attachments A and B</w:t>
      </w:r>
      <w:r w:rsidRPr="007F672E">
        <w:rPr>
          <w:color w:val="000000"/>
        </w:rPr>
        <w:t xml:space="preserve">.  </w:t>
      </w:r>
      <w:r>
        <w:t xml:space="preserve">For the reasons described below, </w:t>
      </w:r>
      <w:r w:rsidRPr="00A30604">
        <w:t xml:space="preserve">we find that the </w:t>
      </w:r>
      <w:r>
        <w:t xml:space="preserve">petitioners and informal objectors </w:t>
      </w:r>
      <w:r w:rsidRPr="00A30604">
        <w:t xml:space="preserve">have </w:t>
      </w:r>
      <w:r>
        <w:t>failed to raise a substantial and material question of fact as to whether grant of the Television Applications would serve the public interest</w:t>
      </w:r>
      <w:r w:rsidRPr="00A30604">
        <w:t>.</w:t>
      </w:r>
      <w:r>
        <w:t xml:space="preserve">  We recognize that the Television Applicants may be in violation of certain of the broadcast multiple and cross-ownership rules following consummation as a result of the </w:t>
      </w:r>
      <w:r w:rsidRPr="007F672E">
        <w:rPr>
          <w:i/>
        </w:rPr>
        <w:t>Prometheus IV</w:t>
      </w:r>
      <w:r>
        <w:t xml:space="preserve"> decision.  However, we believe the unique circumstances of this case, specifically the Television Applicants’ specific commitments in the October 2019 Amendment and the timing of the Third Circuit’s decision, justify a brief 30-day period from consummation to come into compliance with these revised rules.  We find that the transaction will not </w:t>
      </w:r>
      <w:bookmarkStart w:id="19" w:name="_Hlk22724686"/>
      <w:bookmarkStart w:id="20" w:name="_Hlk25225268"/>
      <w:r>
        <w:t>pose any competitive harm, or produce any transaction-specific harm</w:t>
      </w:r>
      <w:bookmarkEnd w:id="19"/>
      <w:r>
        <w:t>.</w:t>
      </w:r>
      <w:bookmarkEnd w:id="20"/>
      <w:r>
        <w:t xml:space="preserve">  Accordingly, we conclude that the Television Transaction serves the </w:t>
      </w:r>
      <w:r w:rsidRPr="00D80D15">
        <w:t>public interest, convenience, and necessity</w:t>
      </w:r>
      <w:r>
        <w:t>, and we grant the Television Applications as conditioned below.</w:t>
      </w:r>
      <w:r>
        <w:rPr>
          <w:rStyle w:val="FootnoteReference"/>
          <w:szCs w:val="22"/>
        </w:rPr>
        <w:footnoteReference w:id="66"/>
      </w:r>
      <w:r>
        <w:t xml:space="preserve">  As discussed below, we reject the concerns raised by commenters.</w:t>
      </w:r>
    </w:p>
    <w:p w:rsidR="00AD59BE" w:rsidP="00AD59BE" w14:paraId="61BFCCD4" w14:textId="77777777">
      <w:pPr>
        <w:pStyle w:val="ParaNum"/>
      </w:pPr>
      <w:r w:rsidRPr="00F67CEC">
        <w:t>We</w:t>
      </w:r>
      <w:r>
        <w:t xml:space="preserve"> also</w:t>
      </w:r>
      <w:r w:rsidRPr="00F67CEC">
        <w:t xml:space="preserve"> conclude that the </w:t>
      </w:r>
      <w:r>
        <w:t xml:space="preserve">Radio </w:t>
      </w:r>
      <w:r w:rsidRPr="00F67CEC">
        <w:t xml:space="preserve">Applicants are fully qualified and that grant of the </w:t>
      </w:r>
      <w:r>
        <w:t xml:space="preserve">Radio </w:t>
      </w:r>
      <w:r w:rsidRPr="00F67CEC">
        <w:t>Applications, subject to the conditions set forth herein, complies with all pertinent statutory and regulatory requirements (including the local radio ownership provisions of Section 73.3555(a)(1) of the Rules</w:t>
      </w:r>
      <w:r>
        <w:rPr>
          <w:rStyle w:val="FootnoteReference"/>
        </w:rPr>
        <w:footnoteReference w:id="67"/>
      </w:r>
      <w:r w:rsidRPr="00F67CEC">
        <w:t xml:space="preserve"> in each pertinent market) and will serve the public interest, convenience, and necessity</w:t>
      </w:r>
      <w:r>
        <w:t>.</w:t>
      </w:r>
      <w:r w:rsidRPr="008C6B60">
        <w:t xml:space="preserve"> </w:t>
      </w:r>
      <w:r>
        <w:t xml:space="preserve"> While the transfer of combinations </w:t>
      </w:r>
      <w:r w:rsidRPr="003B0CBC">
        <w:t>as initially</w:t>
      </w:r>
      <w:r>
        <w:t xml:space="preserve"> proposed in the Applications would be permissible under the </w:t>
      </w:r>
      <w:bookmarkStart w:id="21" w:name="_Hlk25063092"/>
      <w:r w:rsidRPr="00CF4007">
        <w:rPr>
          <w:i/>
        </w:rPr>
        <w:t>2010/2014 Quadrennial Review Order on Reconsideration</w:t>
      </w:r>
      <w:bookmarkEnd w:id="21"/>
      <w:r>
        <w:t xml:space="preserve"> rules previously in effect, </w:t>
      </w:r>
      <w:r w:rsidRPr="003B0CBC">
        <w:t>such</w:t>
      </w:r>
      <w:r>
        <w:t xml:space="preserve"> grant would not be consistent with the reinstated Commission rules.</w:t>
      </w:r>
      <w:r w:rsidRPr="00925B45">
        <w:t xml:space="preserve"> </w:t>
      </w:r>
      <w:r>
        <w:t xml:space="preserve"> </w:t>
      </w:r>
      <w:bookmarkStart w:id="22" w:name="_Hlk25068263"/>
      <w:r>
        <w:t xml:space="preserve">Consequently, we </w:t>
      </w:r>
      <w:r w:rsidRPr="0007448A">
        <w:t xml:space="preserve">condition our grant </w:t>
      </w:r>
      <w:r w:rsidRPr="008415F5">
        <w:t xml:space="preserve">on </w:t>
      </w:r>
      <w:r>
        <w:t>the Applicants’ coming into compliance with the reinstated rules as follows:  (1) Terrier Media and Cox modify Cox’s board rights consistent with the representations made in the October 2019 Amendment at or prior to consummation; (2) Cox must modify the publication schedule of the three daily newspapers in Ohio in accordance with the representations made in the October 2019 Amendment within 30 days of consummation; and (3) Northwest must surrender licenses for Syracuse and Yuma consistent with the representations made in the October 2019 Amendment</w:t>
      </w:r>
      <w:bookmarkEnd w:id="22"/>
      <w:r>
        <w:t xml:space="preserve"> within 30 days of consummation.  We also incorporate the Declaratory Ruling’s finding of AGM’s </w:t>
      </w:r>
      <w:r w:rsidRPr="00CF4007">
        <w:rPr>
          <w:i/>
        </w:rPr>
        <w:t>de facto</w:t>
      </w:r>
      <w:r>
        <w:t xml:space="preserve"> control of Terrier Media into the above-captioned proceedings in which we review specific applications associated with the proposed Television Transaction and Radio Transaction pursuant to section 310(d) of the Act.</w:t>
      </w:r>
      <w:r>
        <w:rPr>
          <w:rStyle w:val="FootnoteReference"/>
        </w:rPr>
        <w:footnoteReference w:id="68"/>
      </w:r>
    </w:p>
    <w:p w:rsidR="00AD59BE" w:rsidP="00AD59BE" w14:paraId="1621D322" w14:textId="77777777">
      <w:pPr>
        <w:pStyle w:val="Heading2"/>
        <w:keepLines/>
      </w:pPr>
      <w:r>
        <w:t xml:space="preserve">Standing </w:t>
      </w:r>
    </w:p>
    <w:p w:rsidR="00AD59BE" w:rsidP="00AD59BE" w14:paraId="2AAD8B55" w14:textId="77777777">
      <w:pPr>
        <w:pStyle w:val="ParaNum"/>
        <w:keepNext/>
        <w:keepLines/>
      </w:pPr>
      <w:r w:rsidRPr="00CF4007">
        <w:rPr>
          <w:szCs w:val="22"/>
          <w:shd w:val="clear" w:color="auto" w:fill="FFFFFF"/>
        </w:rPr>
        <w:t>Under the Act, only a “party in interest” has standing to file a petition to deny</w:t>
      </w:r>
      <w:r w:rsidRPr="00CF4007">
        <w:rPr>
          <w:color w:val="3D3D3D"/>
          <w:szCs w:val="22"/>
          <w:shd w:val="clear" w:color="auto" w:fill="FFFFFF"/>
        </w:rPr>
        <w:t>.</w:t>
      </w:r>
      <w:r>
        <w:rPr>
          <w:rStyle w:val="FootnoteReference"/>
          <w:szCs w:val="22"/>
          <w:shd w:val="clear" w:color="auto" w:fill="FFFFFF"/>
        </w:rPr>
        <w:footnoteReference w:id="69"/>
      </w:r>
      <w:r w:rsidRPr="00CF4007">
        <w:rPr>
          <w:color w:val="3D3D3D"/>
          <w:szCs w:val="22"/>
          <w:shd w:val="clear" w:color="auto" w:fill="FFFFFF"/>
        </w:rPr>
        <w:t xml:space="preserve"> </w:t>
      </w:r>
      <w:r w:rsidRPr="00CF4007">
        <w:rPr>
          <w:szCs w:val="22"/>
          <w:shd w:val="clear" w:color="auto" w:fill="FFFFFF"/>
        </w:rPr>
        <w:t xml:space="preserve"> In addition to containing the necessary factual allegations to support a </w:t>
      </w:r>
      <w:r w:rsidRPr="00CF4007">
        <w:rPr>
          <w:i/>
          <w:szCs w:val="22"/>
          <w:shd w:val="clear" w:color="auto" w:fill="FFFFFF"/>
        </w:rPr>
        <w:t xml:space="preserve">prima facie </w:t>
      </w:r>
      <w:r w:rsidRPr="00CF4007">
        <w:rPr>
          <w:szCs w:val="22"/>
          <w:shd w:val="clear" w:color="auto" w:fill="FFFFFF"/>
        </w:rPr>
        <w:t xml:space="preserve">case that </w:t>
      </w:r>
      <w:r w:rsidRPr="00CF4007">
        <w:rPr>
          <w:color w:val="000000"/>
          <w:szCs w:val="22"/>
          <w:shd w:val="clear" w:color="auto" w:fill="FFFFFF"/>
        </w:rPr>
        <w:t>grant of the application would be inconsistent with the public interest, convenience, and necessity, a petition to deny must contain specific allegations of fact demonstrating that the petitioner is a party in interest.</w:t>
      </w:r>
      <w:r>
        <w:rPr>
          <w:rStyle w:val="FootnoteReference"/>
          <w:szCs w:val="22"/>
          <w:shd w:val="clear" w:color="auto" w:fill="FFFFFF"/>
        </w:rPr>
        <w:footnoteReference w:id="70"/>
      </w:r>
      <w:r w:rsidRPr="00CF4007">
        <w:rPr>
          <w:color w:val="000000"/>
          <w:szCs w:val="22"/>
          <w:shd w:val="clear" w:color="auto" w:fill="FFFFFF"/>
        </w:rPr>
        <w:t xml:space="preserve">  The allegations of fact, except for those of which official notice may be taken, must be supported by an affidavit or declaration under penalty of perjury of someone with personal knowledge of the facts alleged.</w:t>
      </w:r>
      <w:r>
        <w:rPr>
          <w:rStyle w:val="FootnoteReference"/>
          <w:szCs w:val="22"/>
          <w:shd w:val="clear" w:color="auto" w:fill="FFFFFF"/>
        </w:rPr>
        <w:footnoteReference w:id="71"/>
      </w:r>
      <w:r w:rsidRPr="00CF4007">
        <w:rPr>
          <w:color w:val="000000"/>
          <w:szCs w:val="22"/>
          <w:shd w:val="clear" w:color="auto" w:fill="FFFFFF"/>
        </w:rPr>
        <w:t xml:space="preserve">  In general, a petitioner in a transfer proceeding also must allege and prove that it has suffered or will suffer an injury in fact, there is a causal link between the proposed assignment and the injury in fact, and that not granting the assignment would remedy or prevent the injury in fact.</w:t>
      </w:r>
      <w:r>
        <w:rPr>
          <w:rStyle w:val="FootnoteReference"/>
          <w:szCs w:val="22"/>
          <w:shd w:val="clear" w:color="auto" w:fill="FFFFFF"/>
        </w:rPr>
        <w:footnoteReference w:id="72"/>
      </w:r>
      <w:r w:rsidRPr="00CF4007">
        <w:rPr>
          <w:color w:val="000000"/>
          <w:szCs w:val="22"/>
          <w:shd w:val="clear" w:color="auto" w:fill="FFFFFF"/>
        </w:rPr>
        <w:t xml:space="preserve">  Furthermore, </w:t>
      </w:r>
      <w:r w:rsidRPr="00CF4007">
        <w:rPr>
          <w:szCs w:val="22"/>
        </w:rPr>
        <w:t>standing to challenge the Commission’s regulation of a broadcast station “is accorded to persons not for the protection of their private interest but only to vindicate the public interest.”</w:t>
      </w:r>
      <w:r>
        <w:rPr>
          <w:sz w:val="20"/>
          <w:vertAlign w:val="superscript"/>
        </w:rPr>
        <w:footnoteReference w:id="73"/>
      </w:r>
      <w:r w:rsidRPr="00CF4007">
        <w:rPr>
          <w:szCs w:val="22"/>
        </w:rPr>
        <w:t xml:space="preserve">  </w:t>
      </w:r>
      <w:r w:rsidRPr="00CF4007">
        <w:rPr>
          <w:szCs w:val="22"/>
          <w:shd w:val="clear" w:color="auto" w:fill="FFFFFF"/>
        </w:rPr>
        <w:t xml:space="preserve">In the </w:t>
      </w:r>
      <w:r w:rsidRPr="00CF4007">
        <w:rPr>
          <w:rStyle w:val="cosearchterm"/>
          <w:bCs/>
          <w:szCs w:val="22"/>
          <w:bdr w:val="none" w:sz="0" w:space="0" w:color="auto" w:frame="1"/>
        </w:rPr>
        <w:t>broadcast</w:t>
      </w:r>
      <w:r w:rsidRPr="00CF4007">
        <w:rPr>
          <w:szCs w:val="22"/>
          <w:shd w:val="clear" w:color="auto" w:fill="FFFFFF"/>
        </w:rPr>
        <w:t xml:space="preserve"> regulatory context, </w:t>
      </w:r>
      <w:r w:rsidRPr="00CF4007">
        <w:rPr>
          <w:rStyle w:val="cosearchterm"/>
          <w:bCs/>
          <w:szCs w:val="22"/>
          <w:bdr w:val="none" w:sz="0" w:space="0" w:color="auto" w:frame="1"/>
        </w:rPr>
        <w:t xml:space="preserve">standing </w:t>
      </w:r>
      <w:r w:rsidRPr="00CF4007">
        <w:rPr>
          <w:szCs w:val="22"/>
          <w:shd w:val="clear" w:color="auto" w:fill="FFFFFF"/>
        </w:rPr>
        <w:t xml:space="preserve">is generally shown in one of three ways:  (1) as a competitor in the market subject to signal </w:t>
      </w:r>
      <w:r w:rsidRPr="006F51CB">
        <w:t>interference</w:t>
      </w:r>
      <w:r w:rsidRPr="00CF4007">
        <w:rPr>
          <w:szCs w:val="22"/>
          <w:shd w:val="clear" w:color="auto" w:fill="FFFFFF"/>
        </w:rPr>
        <w:t>; (2) as a competitor in the market subject to economic harm; or (3) as a resident of the station’s service area or regular listener of the station.</w:t>
      </w:r>
      <w:r>
        <w:rPr>
          <w:rStyle w:val="FootnoteReference"/>
          <w:szCs w:val="22"/>
          <w:shd w:val="clear" w:color="auto" w:fill="FFFFFF"/>
        </w:rPr>
        <w:footnoteReference w:id="74"/>
      </w:r>
      <w:r w:rsidRPr="00CF4007">
        <w:rPr>
          <w:szCs w:val="22"/>
          <w:shd w:val="clear" w:color="auto" w:fill="FFFFFF"/>
        </w:rPr>
        <w:t xml:space="preserve">  In the case of viewer standing, the petitioner must allege that he or she is a resident of the station’s service area or a regular viewer of the station.</w:t>
      </w:r>
      <w:r w:rsidRPr="0040567C">
        <w:rPr>
          <w:sz w:val="20"/>
          <w:szCs w:val="22"/>
          <w:shd w:val="clear" w:color="auto" w:fill="FFFFFF"/>
          <w:vertAlign w:val="superscript"/>
        </w:rPr>
        <w:t xml:space="preserve"> </w:t>
      </w:r>
      <w:r>
        <w:rPr>
          <w:sz w:val="20"/>
          <w:szCs w:val="22"/>
          <w:shd w:val="clear" w:color="auto" w:fill="FFFFFF"/>
          <w:vertAlign w:val="superscript"/>
        </w:rPr>
        <w:footnoteReference w:id="75"/>
      </w:r>
      <w:r w:rsidRPr="00CF4007">
        <w:rPr>
          <w:szCs w:val="22"/>
          <w:shd w:val="clear" w:color="auto" w:fill="FFFFFF"/>
        </w:rPr>
        <w:t xml:space="preserve">  </w:t>
      </w:r>
      <w:r w:rsidRPr="00CF4007">
        <w:rPr>
          <w:color w:val="000000"/>
          <w:szCs w:val="22"/>
          <w:shd w:val="clear" w:color="auto" w:fill="FFFFFF"/>
        </w:rPr>
        <w:t>An organization can establish standing on behalf of its members if it provides an affidavit or declaration “of one or more individuals entitled to standing indicating that the group represents local residents and that the petition is filed on their behalf.”</w:t>
      </w:r>
      <w:bookmarkStart w:id="23" w:name="_Ref18049534"/>
      <w:r>
        <w:rPr>
          <w:sz w:val="20"/>
          <w:vertAlign w:val="superscript"/>
        </w:rPr>
        <w:footnoteReference w:id="76"/>
      </w:r>
      <w:bookmarkEnd w:id="23"/>
      <w:r w:rsidRPr="00CF4007">
        <w:rPr>
          <w:color w:val="000000"/>
          <w:szCs w:val="22"/>
          <w:shd w:val="clear" w:color="auto" w:fill="FFFFFF"/>
        </w:rPr>
        <w:t xml:space="preserve">  </w:t>
      </w:r>
      <w:r>
        <w:t>In broadcast transactions that involve multiple markets, an organization must submit a member declaration/affidavit for each market in which the organization claims standing; failure to do so will result in the pleading being treated as an informal objection in markets for which there is no member declaration/affidavit.</w:t>
      </w:r>
      <w:r>
        <w:rPr>
          <w:rStyle w:val="FootnoteReference"/>
        </w:rPr>
        <w:footnoteReference w:id="77"/>
      </w:r>
      <w:r w:rsidRPr="00CF4007">
        <w:t xml:space="preserve"> </w:t>
      </w:r>
    </w:p>
    <w:p w:rsidR="00AD59BE" w:rsidP="00AD59BE" w14:paraId="5EC6F665" w14:textId="77777777">
      <w:pPr>
        <w:pStyle w:val="ParaNum"/>
        <w:widowControl/>
      </w:pPr>
      <w:r>
        <w:t>As an initial matter, ATVA did not assert party-in-interest status.  It styled its pleading as comments rather than as a petition to deny, and it did not include any supporting affidavits.  Therefore, we will treat ATVA as an informal objector, and we consider its substantive arguments below.</w:t>
      </w:r>
      <w:r>
        <w:rPr>
          <w:rStyle w:val="FootnoteReference"/>
        </w:rPr>
        <w:footnoteReference w:id="78"/>
      </w:r>
      <w:r>
        <w:t xml:space="preserve">  In addition, we find that Beauford has established standing and included an appropriate affidavit, though his standing is limited to the Atlanta market, in which he resides.  While his petition largely focuses on an alleged public file rule violation unrelated to the transaction, we find that—for purpose of our standing </w:t>
      </w:r>
      <w:r>
        <w:t>analysis—taken as a whole, his pleadings raise a colorable public interest harm that could result from grant of the application.</w:t>
      </w:r>
      <w:r>
        <w:rPr>
          <w:rStyle w:val="FootnoteReference"/>
        </w:rPr>
        <w:footnoteReference w:id="79"/>
      </w:r>
      <w:r>
        <w:t xml:space="preserve">  </w:t>
      </w:r>
    </w:p>
    <w:p w:rsidR="00AD59BE" w:rsidP="00AD59BE" w14:paraId="11E77B94" w14:textId="77777777">
      <w:pPr>
        <w:pStyle w:val="ParaNum"/>
      </w:pPr>
      <w:r>
        <w:t>Finally, regarding Common Cause et al., we find that standing has been established only for Common Cause Ohio and only in the Dayton DMA.  This proceeding involves transactions in multiple markets, but only Common Cause Ohio submitted a declaration purporting to establish standing, and it did so only for the Dayton DMA</w:t>
      </w:r>
      <w:r w:rsidRPr="00CF4007">
        <w:rPr>
          <w:szCs w:val="22"/>
        </w:rPr>
        <w:t xml:space="preserve">.  </w:t>
      </w:r>
      <w:r>
        <w:t>Common Cause Ohio provides the Declaration of Bob Daley, a resident of Dayton, Ohio, and a member of Common Cause Ohio.</w:t>
      </w:r>
      <w:r>
        <w:rPr>
          <w:rStyle w:val="FootnoteReference"/>
        </w:rPr>
        <w:footnoteReference w:id="80"/>
      </w:r>
      <w:r>
        <w:t xml:space="preserve">  Daley states that that he reads the Dayton Daily News and watches local news on television.</w:t>
      </w:r>
      <w:r>
        <w:rPr>
          <w:rStyle w:val="FootnoteReference"/>
        </w:rPr>
        <w:footnoteReference w:id="81"/>
      </w:r>
      <w:r>
        <w:t xml:space="preserve">  While he does not specifically state that he is a regular viewer of WHIO-TV, the Cox television station in the market, this is not sufficient grounds upon which to deny standing.</w:t>
      </w:r>
      <w:r>
        <w:rPr>
          <w:rStyle w:val="FootnoteReference"/>
        </w:rPr>
        <w:footnoteReference w:id="82"/>
      </w:r>
      <w:r>
        <w:t xml:space="preserve">  While Common Cause Ohio has established standing in the Dayton DMA, it has not done so in any other markets, thus </w:t>
      </w:r>
      <w:r w:rsidRPr="00CF4007">
        <w:rPr>
          <w:szCs w:val="22"/>
        </w:rPr>
        <w:t xml:space="preserve">we will treat </w:t>
      </w:r>
      <w:r>
        <w:t>Common Cause Ohio</w:t>
      </w:r>
      <w:r w:rsidRPr="00CF4007">
        <w:rPr>
          <w:szCs w:val="22"/>
        </w:rPr>
        <w:t xml:space="preserve"> as an informal objector in all markets other than Dayton</w:t>
      </w:r>
      <w:r>
        <w:t>.</w:t>
      </w:r>
      <w:r>
        <w:rPr>
          <w:rStyle w:val="FootnoteReference"/>
        </w:rPr>
        <w:footnoteReference w:id="83"/>
      </w:r>
      <w:r>
        <w:t xml:space="preserve">  In addition, given that Daley avers to being a member of only Common Cause Ohio, he has not established standing for the remainder of the joint petitioners</w:t>
      </w:r>
      <w:r w:rsidRPr="00D12C9E">
        <w:t xml:space="preserve"> </w:t>
      </w:r>
      <w:r>
        <w:t>(</w:t>
      </w:r>
      <w:r w:rsidRPr="00053B73">
        <w:t>Common Cause</w:t>
      </w:r>
      <w:r>
        <w:t xml:space="preserve"> and United Church of Christ, OC Inc.).  Thus, we will treat </w:t>
      </w:r>
      <w:r w:rsidRPr="00053B73">
        <w:t>Common Cause</w:t>
      </w:r>
      <w:r>
        <w:t xml:space="preserve"> and United Church of Christ, OC Inc.  as informal objectors in all markets, including Dayton.</w:t>
      </w:r>
      <w:r>
        <w:rPr>
          <w:rStyle w:val="FootnoteReference"/>
        </w:rPr>
        <w:footnoteReference w:id="84"/>
      </w:r>
      <w:r>
        <w:t xml:space="preserve">  </w:t>
      </w:r>
      <w:r w:rsidRPr="00CF4007">
        <w:rPr>
          <w:szCs w:val="22"/>
        </w:rPr>
        <w:t>Nonetheless we address Common Cause et al.’s substantive arguments below.</w:t>
      </w:r>
      <w:bookmarkStart w:id="24" w:name="_Toc17878997"/>
      <w:bookmarkStart w:id="25" w:name="_Toc17972319"/>
      <w:r w:rsidRPr="00CF4007">
        <w:t xml:space="preserve"> </w:t>
      </w:r>
    </w:p>
    <w:p w:rsidR="00AD59BE" w:rsidRPr="00645FB7" w:rsidP="00AD59BE" w14:paraId="787C8C0B" w14:textId="77777777">
      <w:pPr>
        <w:pStyle w:val="Heading2"/>
        <w:keepNext w:val="0"/>
      </w:pPr>
      <w:r w:rsidRPr="00645FB7">
        <w:t>Public Interest Benefits</w:t>
      </w:r>
      <w:bookmarkEnd w:id="24"/>
      <w:bookmarkEnd w:id="25"/>
    </w:p>
    <w:p w:rsidR="00AD59BE" w:rsidP="00AD59BE" w14:paraId="5D157370" w14:textId="77777777">
      <w:pPr>
        <w:pStyle w:val="Heading3"/>
        <w:keepNext w:val="0"/>
      </w:pPr>
      <w:bookmarkStart w:id="26" w:name="_Hlk17817760"/>
      <w:r>
        <w:t>Television Transaction</w:t>
      </w:r>
    </w:p>
    <w:p w:rsidR="00AD59BE" w:rsidP="00AD59BE" w14:paraId="1AFA69D4" w14:textId="77777777">
      <w:pPr>
        <w:pStyle w:val="ParaNum"/>
      </w:pPr>
      <w:r w:rsidRPr="00645FB7">
        <w:t xml:space="preserve">Upon review of the record, we find that the proposed </w:t>
      </w:r>
      <w:r>
        <w:t>transactions</w:t>
      </w:r>
      <w:r w:rsidRPr="00645FB7">
        <w:t xml:space="preserve"> will offer public interest benefits to viewers of N</w:t>
      </w:r>
      <w:r>
        <w:t>orthwest’s</w:t>
      </w:r>
      <w:r w:rsidRPr="00645FB7">
        <w:t xml:space="preserve"> and </w:t>
      </w:r>
      <w:r>
        <w:t>Cox</w:t>
      </w:r>
      <w:r w:rsidRPr="00645FB7">
        <w:t>’s stations</w:t>
      </w:r>
      <w:bookmarkEnd w:id="26"/>
      <w:r w:rsidRPr="00645FB7">
        <w:t>.</w:t>
      </w:r>
      <w:r>
        <w:t xml:space="preserve">  In particular, we find that the Northwest stations’ access to Cox’s Washington News Bureau will provide transaction-specific, public interest benefits to viewers.  Consistent with the Commission’s finding in the </w:t>
      </w:r>
      <w:r w:rsidRPr="00CF4007">
        <w:rPr>
          <w:i/>
        </w:rPr>
        <w:t>Nexstar-Tribune Order</w:t>
      </w:r>
      <w:r>
        <w:t xml:space="preserve">, </w:t>
      </w:r>
      <w:r w:rsidRPr="00824366">
        <w:t xml:space="preserve">expanded access to </w:t>
      </w:r>
      <w:r>
        <w:t xml:space="preserve">a </w:t>
      </w:r>
      <w:r w:rsidRPr="00824366">
        <w:t>Washington, DC</w:t>
      </w:r>
      <w:r>
        <w:t>,</w:t>
      </w:r>
      <w:r w:rsidRPr="00824366">
        <w:t xml:space="preserve"> news bureau </w:t>
      </w:r>
      <w:r>
        <w:t xml:space="preserve">can </w:t>
      </w:r>
      <w:r w:rsidRPr="00824366">
        <w:t>provide transaction</w:t>
      </w:r>
      <w:r>
        <w:noBreakHyphen/>
      </w:r>
      <w:r w:rsidRPr="00824366">
        <w:t xml:space="preserve">specific, public interest benefits to </w:t>
      </w:r>
      <w:r>
        <w:t xml:space="preserve">local </w:t>
      </w:r>
      <w:r w:rsidRPr="00824366">
        <w:t>viewers</w:t>
      </w:r>
      <w:r>
        <w:t>, as can</w:t>
      </w:r>
      <w:r w:rsidRPr="00824366">
        <w:t xml:space="preserve"> shared news sources when stations did not have prior access to those sources.</w:t>
      </w:r>
      <w:r>
        <w:rPr>
          <w:vertAlign w:val="superscript"/>
        </w:rPr>
        <w:footnoteReference w:id="85"/>
      </w:r>
      <w:r>
        <w:t xml:space="preserve">  Terrier Media also asserts that it is committed to continuing the stations’ strong history of local news and other programming, and it expects to make key investments to support and enhance those efforts.</w:t>
      </w:r>
      <w:r>
        <w:rPr>
          <w:rStyle w:val="FootnoteReference"/>
        </w:rPr>
        <w:footnoteReference w:id="86"/>
      </w:r>
      <w:r>
        <w:t xml:space="preserve">  In particular, Terrier Media intends to undertake efforts to </w:t>
      </w:r>
      <w:r w:rsidRPr="00C33444">
        <w:t>improv</w:t>
      </w:r>
      <w:r>
        <w:t>e</w:t>
      </w:r>
      <w:r w:rsidRPr="00C33444">
        <w:t xml:space="preserve"> the stations’ physical plant, including studio, back office and transmission equipment</w:t>
      </w:r>
      <w:r>
        <w:t>.</w:t>
      </w:r>
      <w:r>
        <w:rPr>
          <w:rStyle w:val="FootnoteReference"/>
        </w:rPr>
        <w:footnoteReference w:id="87"/>
      </w:r>
      <w:r>
        <w:t xml:space="preserve">  We credit the Television Applicants’ showing that the </w:t>
      </w:r>
      <w:r>
        <w:t>synergies produced by the combination of Northwest and Cox stations will facilitate Terrier Media’s investment in new local content and enhanced broadcasting facilities for the stations.</w:t>
      </w:r>
      <w:r>
        <w:rPr>
          <w:rStyle w:val="FootnoteReference"/>
        </w:rPr>
        <w:footnoteReference w:id="88"/>
      </w:r>
      <w:r>
        <w:t xml:space="preserve">  Notably, Terrier Media also has declared its intent to make the investments necessary to promote the deployment of ATSC 3.0.</w:t>
      </w:r>
      <w:r>
        <w:rPr>
          <w:rStyle w:val="FootnoteReference"/>
        </w:rPr>
        <w:footnoteReference w:id="89"/>
      </w:r>
      <w:r>
        <w:t xml:space="preserve">  </w:t>
      </w:r>
      <w:r w:rsidRPr="00645FB7">
        <w:t>We find that all of these commitments constitute public interest benefits.</w:t>
      </w:r>
      <w:r w:rsidRPr="00CF4007">
        <w:t xml:space="preserve"> </w:t>
      </w:r>
    </w:p>
    <w:p w:rsidR="00AD59BE" w:rsidP="00AD59BE" w14:paraId="13BAB133" w14:textId="77777777">
      <w:pPr>
        <w:pStyle w:val="Heading3"/>
        <w:keepNext w:val="0"/>
      </w:pPr>
      <w:r>
        <w:t>Radio Transaction</w:t>
      </w:r>
    </w:p>
    <w:p w:rsidR="00AD59BE" w:rsidP="00AD59BE" w14:paraId="7C2CBA6E" w14:textId="77777777">
      <w:pPr>
        <w:pStyle w:val="ParaNum"/>
      </w:pPr>
      <w:r w:rsidRPr="001E4B67">
        <w:t xml:space="preserve">We find that </w:t>
      </w:r>
      <w:r>
        <w:t>granting the Radio Applications</w:t>
      </w:r>
      <w:r w:rsidRPr="001E4B67">
        <w:t xml:space="preserve"> </w:t>
      </w:r>
      <w:r>
        <w:t>is likely to result in</w:t>
      </w:r>
      <w:r w:rsidRPr="001E4B67">
        <w:t xml:space="preserve"> transaction-specific, public interest benefits to listeners of Cox Radio’s stations.  </w:t>
      </w:r>
      <w:r>
        <w:t>Terrier Media plans to capitalize on news reporting that covers national news and stories of particular interest to individual station markets, which will be made available to the combined group of television and radio stations after closing.</w:t>
      </w:r>
      <w:r>
        <w:rPr>
          <w:rStyle w:val="FootnoteReference"/>
        </w:rPr>
        <w:footnoteReference w:id="90"/>
      </w:r>
      <w:r>
        <w:t xml:space="preserve">  </w:t>
      </w:r>
      <w:r w:rsidRPr="001E4B67">
        <w:t xml:space="preserve">Terrier Media </w:t>
      </w:r>
      <w:r>
        <w:t xml:space="preserve">has also committed </w:t>
      </w:r>
      <w:r w:rsidRPr="001E4B67">
        <w:t>to improve the stations’ infrastructure and grow their online presence in local markets.</w:t>
      </w:r>
      <w:r>
        <w:rPr>
          <w:rStyle w:val="FootnoteReference"/>
        </w:rPr>
        <w:footnoteReference w:id="91"/>
      </w:r>
      <w:r>
        <w:t xml:space="preserve">  </w:t>
      </w:r>
      <w:r w:rsidRPr="001E4B67">
        <w:t xml:space="preserve">Financially, Terrier Media indicates that </w:t>
      </w:r>
      <w:r w:rsidRPr="008C6B60">
        <w:t>PMC Equity will provide significant equity capital and that</w:t>
      </w:r>
      <w:r>
        <w:t>,</w:t>
      </w:r>
      <w:r w:rsidRPr="008C6B60">
        <w:t xml:space="preserve"> as the proposed owner of the Cox Radio Stations, Terrier Media will benefit from financial, strategic, and management expertise provided by advisory affiliates of AGM.</w:t>
      </w:r>
      <w:r>
        <w:rPr>
          <w:rStyle w:val="FootnoteReference"/>
        </w:rPr>
        <w:footnoteReference w:id="92"/>
      </w:r>
      <w:r w:rsidRPr="00CF4007">
        <w:t xml:space="preserve"> </w:t>
      </w:r>
    </w:p>
    <w:p w:rsidR="00AD59BE" w:rsidP="00AD59BE" w14:paraId="5AF9040C" w14:textId="77777777">
      <w:pPr>
        <w:pStyle w:val="Heading2"/>
        <w:keepNext w:val="0"/>
      </w:pPr>
      <w:r>
        <w:t>Other Issues</w:t>
      </w:r>
    </w:p>
    <w:p w:rsidR="00AD59BE" w:rsidRPr="002D6F80" w:rsidP="00AD59BE" w14:paraId="1E1D2464" w14:textId="77777777">
      <w:pPr>
        <w:pStyle w:val="Heading3"/>
        <w:keepNext w:val="0"/>
      </w:pPr>
      <w:r>
        <w:t>Television Transaction</w:t>
      </w:r>
    </w:p>
    <w:p w:rsidR="00AD59BE" w:rsidP="00AD59BE" w14:paraId="5F09D69C" w14:textId="77777777">
      <w:pPr>
        <w:pStyle w:val="ParaNum"/>
      </w:pPr>
      <w:r w:rsidRPr="00CF4007">
        <w:rPr>
          <w:i/>
        </w:rPr>
        <w:t>Retransmission Consent</w:t>
      </w:r>
      <w:r>
        <w:t xml:space="preserve">.  </w:t>
      </w:r>
      <w:r w:rsidRPr="005B10C5">
        <w:t xml:space="preserve">We conclude that </w:t>
      </w:r>
      <w:r>
        <w:t>ATVA’s</w:t>
      </w:r>
      <w:r w:rsidRPr="005B10C5">
        <w:t xml:space="preserve"> allegations regarding retransmission consent do not raise a substantial and material question of fact as to whether grant of the </w:t>
      </w:r>
      <w:r>
        <w:t>Television Applications</w:t>
      </w:r>
      <w:r w:rsidRPr="005B10C5">
        <w:t xml:space="preserve"> would serve the public interest.</w:t>
      </w:r>
      <w:r>
        <w:rPr>
          <w:rStyle w:val="FootnoteReference"/>
        </w:rPr>
        <w:footnoteReference w:id="93"/>
      </w:r>
      <w:r>
        <w:t xml:space="preserve">  In particular, ATVA asserts that Northwest is able to achieve higher retransmission consent rates in those markets where it owns multiple top-four stations than in other markets, and that, given uniform pricing, those higher rates will extend to more stations across a larger geographic footprint once the station portfolios of Northwest and Cox are combined.</w:t>
      </w:r>
      <w:r>
        <w:rPr>
          <w:rStyle w:val="FootnoteReference"/>
        </w:rPr>
        <w:footnoteReference w:id="94"/>
      </w:r>
      <w:r>
        <w:t xml:space="preserve">  ATVA also contends that </w:t>
      </w:r>
      <w:r w:rsidRPr="00362945">
        <w:t xml:space="preserve">AGM’s request to approve the Northwest transaction before the </w:t>
      </w:r>
      <w:r>
        <w:t xml:space="preserve">approval of the </w:t>
      </w:r>
      <w:r w:rsidRPr="00362945">
        <w:t>Cox transaction would drive up prices without any countervailing benefits by virtue of the after</w:t>
      </w:r>
      <w:r>
        <w:noBreakHyphen/>
      </w:r>
      <w:r w:rsidRPr="00362945">
        <w:t>acquired station clauses in Northwest’s contracts</w:t>
      </w:r>
      <w:r>
        <w:t>.</w:t>
      </w:r>
      <w:r w:rsidRPr="001C44DE">
        <w:rPr>
          <w:rStyle w:val="FootnoteReference"/>
        </w:rPr>
        <w:t xml:space="preserve"> </w:t>
      </w:r>
      <w:r>
        <w:rPr>
          <w:rStyle w:val="FootnoteReference"/>
        </w:rPr>
        <w:footnoteReference w:id="95"/>
      </w:r>
      <w:r>
        <w:t xml:space="preserve">  </w:t>
      </w:r>
    </w:p>
    <w:p w:rsidR="00AD59BE" w:rsidP="00AD59BE" w14:paraId="177B070D" w14:textId="77777777">
      <w:pPr>
        <w:pStyle w:val="ParaNum"/>
      </w:pPr>
      <w:r>
        <w:t>At the outset, we note there is no evidence that the transaction would create any new top-four combinations or that it would create an entity with any more top-four combinations than Northwest and/or Cox currently has today.</w:t>
      </w:r>
      <w:r>
        <w:rPr>
          <w:rStyle w:val="FootnoteReference"/>
        </w:rPr>
        <w:footnoteReference w:id="96"/>
      </w:r>
      <w:r>
        <w:t xml:space="preserve">  Moreover, in the </w:t>
      </w:r>
      <w:r w:rsidRPr="00CF4007">
        <w:rPr>
          <w:i/>
        </w:rPr>
        <w:t>Nexstar-Tribune Order</w:t>
      </w:r>
      <w:r>
        <w:t>, the Commission rejected the line of argument now being advanced by ATVA.  Specifically, the Commission there found no harm related to retransmission consent at the regional or national level sufficient to warrant breaking up an existing top-four combination.</w:t>
      </w:r>
      <w:r>
        <w:rPr>
          <w:rStyle w:val="FootnoteReference"/>
        </w:rPr>
        <w:footnoteReference w:id="97"/>
      </w:r>
      <w:r>
        <w:t xml:space="preserve">  The Commission also declined to find “that an increase in </w:t>
      </w:r>
      <w:r>
        <w:t>retransmission consent rates, by itself, is necessarily a public interest harm.”</w:t>
      </w:r>
      <w:r>
        <w:rPr>
          <w:rStyle w:val="FootnoteReference"/>
        </w:rPr>
        <w:footnoteReference w:id="98"/>
      </w:r>
      <w:r>
        <w:t xml:space="preserve">  Instead, the Commission noted the lack of evidence in the record to establish whether, on balance, an increase in retransmission consent rates would reduce consumer welfare or rather just shift surplus between MVPDs and broadcast stations.</w:t>
      </w:r>
      <w:r>
        <w:rPr>
          <w:rStyle w:val="FootnoteReference"/>
        </w:rPr>
        <w:footnoteReference w:id="99"/>
      </w:r>
      <w:r>
        <w:t xml:space="preserve">  Here, ATVA similarly fails to provide such evidence demonstrating consumer harm.  Ultimately, we find that ATVA provides no basis to depart from the Commission’s prior conclusions, and therefore we decline to do so based on the record before us here.</w:t>
      </w:r>
    </w:p>
    <w:p w:rsidR="00AD59BE" w:rsidP="00AD59BE" w14:paraId="65CA322C" w14:textId="77777777">
      <w:pPr>
        <w:pStyle w:val="ParaNum"/>
      </w:pPr>
      <w:r>
        <w:t xml:space="preserve">In addition, the </w:t>
      </w:r>
      <w:r w:rsidRPr="00CF4007">
        <w:rPr>
          <w:i/>
        </w:rPr>
        <w:t>Nexstar-Tribune Order</w:t>
      </w:r>
      <w:r>
        <w:t xml:space="preserve"> reaffirmed that the Commission is not the appropriate forum for addressing private contractual matters, such as after-acquired station clauses in retransmission consent agreements.  As the Commission stated in </w:t>
      </w:r>
      <w:r w:rsidRPr="00CF4007">
        <w:rPr>
          <w:i/>
        </w:rPr>
        <w:t>Nexstar-Tribune Order</w:t>
      </w:r>
      <w:r>
        <w:t xml:space="preserve"> “after-acquired station clauses were negotiated by the parties outside of this transaction, and there is no apparent reason to step in and deny one party the benefit of the negotiated bargain absent evidence of anticompetitive practices or other wrongdoing not apparent here.”</w:t>
      </w:r>
      <w:r>
        <w:rPr>
          <w:rStyle w:val="FootnoteReference"/>
        </w:rPr>
        <w:footnoteReference w:id="100"/>
      </w:r>
      <w:r>
        <w:t xml:space="preserve">  Consistent with the Commission’s finding and in the absence of any transaction-specific allegations or evidence of anticompetitive practices or other wrongdoing, we reject ATVA’s arguments in this regard.</w:t>
      </w:r>
      <w:r>
        <w:rPr>
          <w:rStyle w:val="FootnoteReference"/>
        </w:rPr>
        <w:footnoteReference w:id="101"/>
      </w:r>
      <w:bookmarkStart w:id="27" w:name="_Ref23768552"/>
    </w:p>
    <w:p w:rsidR="00AD59BE" w:rsidP="00AD59BE" w14:paraId="18F3A185" w14:textId="77777777">
      <w:pPr>
        <w:pStyle w:val="ParaNum"/>
      </w:pPr>
      <w:r w:rsidRPr="00CF4007">
        <w:rPr>
          <w:i/>
        </w:rPr>
        <w:t>Local Television Ownership Rules</w:t>
      </w:r>
      <w:r>
        <w:t>.  We also find that ATVA’s allegations regarding the existing station combinations in the Greenville, Mississippi; Eureka, California; and Yuma, Arizona,</w:t>
      </w:r>
      <w:r>
        <w:rPr>
          <w:rStyle w:val="FootnoteReference"/>
        </w:rPr>
        <w:footnoteReference w:id="102"/>
      </w:r>
      <w:r>
        <w:t xml:space="preserve"> markets do not </w:t>
      </w:r>
      <w:r w:rsidRPr="005B10C5">
        <w:t xml:space="preserve">raise a substantial and material question of fact </w:t>
      </w:r>
      <w:r>
        <w:t xml:space="preserve">as </w:t>
      </w:r>
      <w:r w:rsidRPr="005B10C5">
        <w:t xml:space="preserve">to whether grant of the </w:t>
      </w:r>
      <w:r>
        <w:t>Television Applications</w:t>
      </w:r>
      <w:r w:rsidRPr="005B10C5">
        <w:t xml:space="preserve"> would serve the public interest</w:t>
      </w:r>
      <w:r>
        <w:t>.  In particular, ATVA raises concerns that the Television Applications fail to explain how the transfer of duopolies/quadropolies (based on the inclusion of LPTV and multicast streams) in various markets would be in the public interest, where</w:t>
      </w:r>
      <w:r w:rsidRPr="008415F5">
        <w:t>, according to ATVA,</w:t>
      </w:r>
      <w:r>
        <w:t xml:space="preserve"> such combinations command higher retransmission </w:t>
      </w:r>
      <w:r w:rsidRPr="008415F5">
        <w:t>consent</w:t>
      </w:r>
      <w:r>
        <w:t xml:space="preserve"> fees.</w:t>
      </w:r>
      <w:r>
        <w:rPr>
          <w:rStyle w:val="FootnoteReference"/>
        </w:rPr>
        <w:footnoteReference w:id="103"/>
      </w:r>
      <w:r>
        <w:t xml:space="preserve">  ATVA does not provide evidence of any transaction-specific harms that would result from the transfer of these existing combinations; nor does it allege that any new combinations would be created.  And consistent with the </w:t>
      </w:r>
      <w:r w:rsidRPr="00CF4007">
        <w:rPr>
          <w:i/>
        </w:rPr>
        <w:t>Nexstar-Tribune Order</w:t>
      </w:r>
      <w:r>
        <w:t xml:space="preserve">, we note that the Commission has sought comment on industry-wide issues regarding LPTV stations and multicasting, such as those presented in Greenville and Eureka, in the </w:t>
      </w:r>
      <w:r w:rsidRPr="00CF4007">
        <w:rPr>
          <w:i/>
        </w:rPr>
        <w:t>2018 Quadrennial Review NPRM</w:t>
      </w:r>
      <w:r>
        <w:t>.</w:t>
      </w:r>
      <w:r>
        <w:rPr>
          <w:rStyle w:val="FootnoteReference"/>
        </w:rPr>
        <w:footnoteReference w:id="104"/>
      </w:r>
      <w:r>
        <w:t xml:space="preserve">  Accordingly, we decline to address those issues here.</w:t>
      </w:r>
      <w:bookmarkEnd w:id="27"/>
      <w:r>
        <w:t xml:space="preserve"> </w:t>
      </w:r>
    </w:p>
    <w:p w:rsidR="00AD59BE" w:rsidP="00AD59BE" w14:paraId="5588357F" w14:textId="77777777">
      <w:pPr>
        <w:pStyle w:val="ParaNum"/>
      </w:pPr>
      <w:r w:rsidRPr="009A7BC2">
        <w:t xml:space="preserve">We find no merit to the argument advanced by Common Cause and UCC that the October 2019 Amendment somehow disserves the primary purpose of the Commission’s rules by exploiting </w:t>
      </w:r>
      <w:r>
        <w:t xml:space="preserve">supposed </w:t>
      </w:r>
      <w:r w:rsidRPr="009A7BC2">
        <w:t>“loopholes” in print publication frequency and multicasting.</w:t>
      </w:r>
      <w:r>
        <w:rPr>
          <w:rStyle w:val="FootnoteReference"/>
        </w:rPr>
        <w:footnoteReference w:id="105"/>
      </w:r>
      <w:r w:rsidRPr="009A7BC2">
        <w:t xml:space="preserve">  The modifications </w:t>
      </w:r>
      <w:r w:rsidRPr="009A7BC2">
        <w:t>proposed by the Television Applicants</w:t>
      </w:r>
      <w:r>
        <w:t>, upon which we condition today’s grant,</w:t>
      </w:r>
      <w:r w:rsidRPr="009A7BC2">
        <w:t xml:space="preserve"> </w:t>
      </w:r>
      <w:r>
        <w:t>are intended to place</w:t>
      </w:r>
      <w:r w:rsidRPr="009A7BC2">
        <w:t xml:space="preserve"> the Television Applicants in compliance with the NBCO and the Local Television Ownership Rule</w:t>
      </w:r>
      <w:r>
        <w:t xml:space="preserve"> reinstated in </w:t>
      </w:r>
      <w:r>
        <w:rPr>
          <w:i/>
        </w:rPr>
        <w:t>Prometheus IV</w:t>
      </w:r>
      <w:r>
        <w:t>.  W</w:t>
      </w:r>
      <w:r w:rsidRPr="009A7BC2">
        <w:t xml:space="preserve">e reject </w:t>
      </w:r>
      <w:r>
        <w:t xml:space="preserve">these opponents’ notional interpretations of our media ownership rules and find that this is not the appropriate venue for revising these rules. </w:t>
      </w:r>
      <w:r w:rsidRPr="009A7BC2">
        <w:t xml:space="preserve">We also reject their contention that a grant would deliberately ignore the </w:t>
      </w:r>
      <w:r>
        <w:t>c</w:t>
      </w:r>
      <w:r w:rsidRPr="009A7BC2">
        <w:t xml:space="preserve">ourt’s decision </w:t>
      </w:r>
      <w:r>
        <w:t>as we specifically condition our grant on compliance with our pre-2017 rules.  Finally, we find these transactions to be in the public interest, notwithstanding the structural alterations.</w:t>
      </w:r>
      <w:r>
        <w:rPr>
          <w:rStyle w:val="FootnoteReference"/>
        </w:rPr>
        <w:footnoteReference w:id="106"/>
      </w:r>
    </w:p>
    <w:p w:rsidR="00AD59BE" w:rsidP="00AD59BE" w14:paraId="65791C3B" w14:textId="77777777">
      <w:pPr>
        <w:pStyle w:val="ParaNum"/>
      </w:pPr>
      <w:r w:rsidRPr="000105BB">
        <w:rPr>
          <w:i/>
        </w:rPr>
        <w:t>Localism and Viewpoint Diversity</w:t>
      </w:r>
      <w:r>
        <w:t>.  We find that Common Cause et al.’s contentions regarding the Transaction’s potential impact on localism and viewpoint diversity do not raise a substantial and material question of fact as to whether grant of the Television Applications would serve the public interest.  First, we reject the criticism that the Television Applicants’ asserted public interest benefits regarding localism and viewpoint diversity are vague and improbable.</w:t>
      </w:r>
      <w:r>
        <w:rPr>
          <w:rStyle w:val="FootnoteReference"/>
        </w:rPr>
        <w:footnoteReference w:id="107"/>
      </w:r>
      <w:r>
        <w:t xml:space="preserve">  As the Commission has repeatedly – and recently – recognized, the increased access to a Washington, DC, news bureau is a legitimate public interest benefit at the local level.</w:t>
      </w:r>
      <w:r>
        <w:rPr>
          <w:rStyle w:val="FootnoteReference"/>
        </w:rPr>
        <w:footnoteReference w:id="108"/>
      </w:r>
      <w:r>
        <w:t xml:space="preserve">  Second, we give no weight to their allegation that AGM’s involvement in the transaction, as a private equity firm, casts doubt that the Transaction would benefit localism and viewpoint diversity, on the basis that private equity firms typically impose cost-cutting measures that “gut newsrooms” in an attempt to generate profits before re-selling the stations after a few years.</w:t>
      </w:r>
      <w:r>
        <w:rPr>
          <w:rStyle w:val="FootnoteReference"/>
        </w:rPr>
        <w:footnoteReference w:id="109"/>
      </w:r>
      <w:r>
        <w:t xml:space="preserve">  The Commission has previously approved transactions involving private equity firms,</w:t>
      </w:r>
      <w:r>
        <w:rPr>
          <w:rStyle w:val="FootnoteReference"/>
        </w:rPr>
        <w:footnoteReference w:id="110"/>
      </w:r>
      <w:r>
        <w:t xml:space="preserve"> and Common Cause et al. does not provide any evidence demonstrating that AGM’s involvement would decrease localism or viewpoint diversity with regard to this transaction.</w:t>
      </w:r>
      <w:r>
        <w:rPr>
          <w:rStyle w:val="FootnoteReference"/>
        </w:rPr>
        <w:footnoteReference w:id="111"/>
      </w:r>
    </w:p>
    <w:p w:rsidR="00AD59BE" w:rsidP="00AD59BE" w14:paraId="723CEE21" w14:textId="77777777">
      <w:pPr>
        <w:pStyle w:val="ParaNum"/>
      </w:pPr>
      <w:r>
        <w:t>Lastly, with regard to their contention that the transaction would harm localism and viewpoint diversity in the Dayton market, where Cox currently owns newspapers, WHIO</w:t>
      </w:r>
      <w:r>
        <w:noBreakHyphen/>
        <w:t>TV, and four radio stations,</w:t>
      </w:r>
      <w:r>
        <w:rPr>
          <w:rStyle w:val="FootnoteReference"/>
        </w:rPr>
        <w:footnoteReference w:id="112"/>
      </w:r>
      <w:r>
        <w:t xml:space="preserve"> we find that Common Cause et al.’s arguments are speculative, unsupported, and unpersuasive.  Common Cause et al. fail to provide any transaction-specific evidence demonstrating that transfer of the existing combination of media outlets will negatively impact localism and/or viewpoint diversity in the market.</w:t>
      </w:r>
      <w:r>
        <w:rPr>
          <w:rStyle w:val="FootnoteReference"/>
        </w:rPr>
        <w:footnoteReference w:id="113"/>
      </w:r>
      <w:r>
        <w:t xml:space="preserve">  </w:t>
      </w:r>
    </w:p>
    <w:p w:rsidR="00AD59BE" w:rsidP="00AD59BE" w14:paraId="26885B01" w14:textId="77777777">
      <w:pPr>
        <w:pStyle w:val="ParaNum"/>
      </w:pPr>
      <w:r w:rsidRPr="000105BB">
        <w:rPr>
          <w:i/>
        </w:rPr>
        <w:t>Beauford Petition</w:t>
      </w:r>
      <w:r>
        <w:t xml:space="preserve">. </w:t>
      </w:r>
      <w:r w:rsidRPr="000105BB">
        <w:rPr>
          <w:i/>
        </w:rPr>
        <w:t xml:space="preserve"> </w:t>
      </w:r>
      <w:r>
        <w:t>We reject the crux of Beauford’s petition that alleges that the licensee of Cox station WSB</w:t>
      </w:r>
      <w:r>
        <w:noBreakHyphen/>
        <w:t>TV violated the public inspection file rule on October 23, 2015.</w:t>
      </w:r>
      <w:r>
        <w:rPr>
          <w:rStyle w:val="FootnoteReference"/>
        </w:rPr>
        <w:footnoteReference w:id="114"/>
      </w:r>
      <w:r>
        <w:t xml:space="preserve">  As an initial matter, we find that this transaction review is not the appropriate forum for the investigation and </w:t>
      </w:r>
      <w:r>
        <w:t>resolution of an alleged rule violation that is unrelated to the transaction.  Beauford has already submitted a complaint to the Commission.  His petition indicates that the Commission investigated the matter and that a member of the staff contacted him to discuss resolution of the issue.</w:t>
      </w:r>
      <w:r>
        <w:rPr>
          <w:rStyle w:val="FootnoteReference"/>
        </w:rPr>
        <w:footnoteReference w:id="115"/>
      </w:r>
      <w:r>
        <w:t xml:space="preserve">  Accordingly, we take no position on the underlying allegations or the status of the complaint.  Moreover, even if we assume that Beauford’s allegations are true, we find that they do not </w:t>
      </w:r>
      <w:r w:rsidRPr="00DF2038">
        <w:t xml:space="preserve">raise a substantial and material question of fact warranting further inquiry </w:t>
      </w:r>
      <w:r>
        <w:t>into</w:t>
      </w:r>
      <w:r w:rsidRPr="00DF2038">
        <w:t xml:space="preserve"> this matter with respect to the proposed </w:t>
      </w:r>
      <w:r>
        <w:t>T</w:t>
      </w:r>
      <w:r w:rsidRPr="00DF2038">
        <w:t>ransaction</w:t>
      </w:r>
      <w:r>
        <w:t>.  Beauford does not provide evidence of any intentional misconduct or aggravating factors that would justify the serious step of denying the sale of a station based on a public file rule violation.</w:t>
      </w:r>
      <w:r>
        <w:rPr>
          <w:rStyle w:val="FootnoteReference"/>
        </w:rPr>
        <w:footnoteReference w:id="116"/>
      </w:r>
      <w:r>
        <w:t xml:space="preserve"> </w:t>
      </w:r>
      <w:bookmarkStart w:id="28" w:name="co_tablefootnote_29_1"/>
      <w:bookmarkEnd w:id="28"/>
    </w:p>
    <w:p w:rsidR="00AD59BE" w:rsidP="00AD59BE" w14:paraId="5818084F" w14:textId="77777777">
      <w:pPr>
        <w:pStyle w:val="Heading3"/>
        <w:keepNext w:val="0"/>
      </w:pPr>
      <w:r>
        <w:t>Radio Transaction</w:t>
      </w:r>
    </w:p>
    <w:p w:rsidR="00AD59BE" w:rsidP="00AD59BE" w14:paraId="2D039B76" w14:textId="77777777">
      <w:pPr>
        <w:pStyle w:val="ParaNum"/>
        <w:spacing w:before="240"/>
      </w:pPr>
      <w:bookmarkStart w:id="29" w:name="_Ref23768592"/>
      <w:r w:rsidRPr="000105BB">
        <w:rPr>
          <w:i/>
        </w:rPr>
        <w:t>Divestiture Trust Stations</w:t>
      </w:r>
      <w:r w:rsidRPr="00F67CEC">
        <w:t xml:space="preserve">. </w:t>
      </w:r>
      <w:r>
        <w:t xml:space="preserve"> </w:t>
      </w:r>
      <w:r w:rsidRPr="00F67CEC">
        <w:t>Cox Radio currently exceeds the local radio ownership rule limit in Section 73.3555(a)(1) of</w:t>
      </w:r>
      <w:r>
        <w:t xml:space="preserve"> the Rules</w:t>
      </w:r>
      <w:r>
        <w:rPr>
          <w:rStyle w:val="FootnoteReference"/>
        </w:rPr>
        <w:footnoteReference w:id="117"/>
      </w:r>
      <w:r w:rsidRPr="00F67CEC">
        <w:t xml:space="preserve"> in two markets.</w:t>
      </w:r>
      <w:r>
        <w:rPr>
          <w:rStyle w:val="FootnoteReference"/>
        </w:rPr>
        <w:footnoteReference w:id="118"/>
      </w:r>
      <w:r w:rsidRPr="00F67CEC">
        <w:t xml:space="preserve">  Cox Radio’s ownership of those stations is grandfathered pursuant to Note 4 of Section 73.3555.</w:t>
      </w:r>
      <w:r>
        <w:rPr>
          <w:rStyle w:val="FootnoteReference"/>
        </w:rPr>
        <w:footnoteReference w:id="119"/>
      </w:r>
      <w:r w:rsidRPr="00F67CEC">
        <w:t xml:space="preserve">  </w:t>
      </w:r>
      <w:r w:rsidRPr="000105BB">
        <w:rPr>
          <w:bCs/>
        </w:rPr>
        <w:t>Note</w:t>
      </w:r>
      <w:r w:rsidRPr="004D4C44">
        <w:t xml:space="preserve"> </w:t>
      </w:r>
      <w:r w:rsidRPr="000105BB">
        <w:rPr>
          <w:bCs/>
        </w:rPr>
        <w:t>4</w:t>
      </w:r>
      <w:r w:rsidRPr="004D4C44">
        <w:t xml:space="preserve"> permits existing over-limit station combinations to continue until certain events occur that would terminate the licensee’s </w:t>
      </w:r>
      <w:r w:rsidRPr="000105BB">
        <w:rPr>
          <w:bCs/>
        </w:rPr>
        <w:t xml:space="preserve">grandfathered status, requiring </w:t>
      </w:r>
      <w:r w:rsidRPr="004D4C44">
        <w:t xml:space="preserve">the new licensee </w:t>
      </w:r>
      <w:r>
        <w:t xml:space="preserve">to </w:t>
      </w:r>
      <w:r w:rsidRPr="004D4C44">
        <w:t>come into compliance with the multiple ownership limits of Section 73.3555(a).</w:t>
      </w:r>
      <w:r>
        <w:rPr>
          <w:rStyle w:val="FootnoteReference"/>
        </w:rPr>
        <w:footnoteReference w:id="120"/>
      </w:r>
      <w:r w:rsidRPr="004D4C44">
        <w:t xml:space="preserve">  The filing of a long-form transfer of control application, such as the </w:t>
      </w:r>
      <w:r>
        <w:t xml:space="preserve">Radio </w:t>
      </w:r>
      <w:r w:rsidRPr="004D4C44">
        <w:t>Transfer Application, is a triggering event.</w:t>
      </w:r>
      <w:r>
        <w:rPr>
          <w:rStyle w:val="FootnoteReference"/>
        </w:rPr>
        <w:footnoteReference w:id="121"/>
      </w:r>
      <w:r w:rsidRPr="00F67CEC">
        <w:t xml:space="preserve">  In order to comply with the local radio ownership rule, the </w:t>
      </w:r>
      <w:r>
        <w:t xml:space="preserve">Radio </w:t>
      </w:r>
      <w:r w:rsidRPr="00F67CEC">
        <w:t>Applicants have filed two Divestiture Applications seeking consent to the assignment of the licenses of Stations WPYO(FM), Maitland, Florida and WSUN(FM), Holiday, Florida (Trust Stations), at the closing of the Transaction to the CXR Radio Station Trust (CRST).</w:t>
      </w:r>
      <w:r>
        <w:rPr>
          <w:rStyle w:val="FootnoteReference"/>
        </w:rPr>
        <w:footnoteReference w:id="122"/>
      </w:r>
      <w:bookmarkStart w:id="30" w:name="_Ref23768599"/>
      <w:bookmarkEnd w:id="29"/>
      <w:r w:rsidRPr="000105BB">
        <w:t xml:space="preserve"> </w:t>
      </w:r>
    </w:p>
    <w:p w:rsidR="00AD59BE" w:rsidP="00AD59BE" w14:paraId="7E6FD2C2" w14:textId="77777777">
      <w:pPr>
        <w:pStyle w:val="ParaNum"/>
        <w:spacing w:before="240"/>
      </w:pPr>
      <w:r w:rsidRPr="00F67CEC">
        <w:t>To ensure compliance with the local radio ownership rule, we impose a condition requiring that Cox Radio’s assignment of the Trust Stations to CRST pursuant to the Divestiture Applications occurs prior to or simultaneously with the consummation of the transfer of control.  In addition, we require CRST to assign the licenses of the Trust Stations to an unaffiliated buyer within two years and to provide the Commission with a detailed explanation of its efforts to sell such stations in the confidential report referenced in Section 4(g) of the Trust Agreement submitted with the Divestiture Applications, at six-month intervals until the stations held by CRST are sold.</w:t>
      </w:r>
      <w:bookmarkEnd w:id="30"/>
    </w:p>
    <w:p w:rsidR="00AD59BE" w:rsidP="00AD59BE" w14:paraId="22F554F7" w14:textId="77777777">
      <w:pPr>
        <w:pStyle w:val="ParaNum"/>
        <w:spacing w:before="240"/>
      </w:pPr>
      <w:r w:rsidRPr="000105BB">
        <w:rPr>
          <w:i/>
        </w:rPr>
        <w:t>Pending Applications.</w:t>
      </w:r>
      <w:r w:rsidRPr="00F67CEC">
        <w:t xml:space="preserve">  </w:t>
      </w:r>
      <w:r>
        <w:t xml:space="preserve">The Florida </w:t>
      </w:r>
      <w:r w:rsidRPr="00F67CEC">
        <w:t xml:space="preserve">stations involved in </w:t>
      </w:r>
      <w:r>
        <w:t>the Radio T</w:t>
      </w:r>
      <w:r w:rsidRPr="00F67CEC">
        <w:t>ransaction have pending license renewal applications.</w:t>
      </w:r>
      <w:r>
        <w:rPr>
          <w:rStyle w:val="FootnoteReference"/>
        </w:rPr>
        <w:footnoteReference w:id="123"/>
      </w:r>
      <w:r w:rsidRPr="00F67CEC">
        <w:t xml:space="preserve">  The Commission has granted a transfer of control application while license </w:t>
      </w:r>
      <w:r w:rsidRPr="000105BB">
        <w:rPr>
          <w:bCs/>
        </w:rPr>
        <w:t>renewal</w:t>
      </w:r>
      <w:r w:rsidRPr="00F67CEC">
        <w:t xml:space="preserve"> applications are pending provided that: (1) it is a multi-station, </w:t>
      </w:r>
      <w:r w:rsidRPr="000105BB">
        <w:rPr>
          <w:bCs/>
        </w:rPr>
        <w:t>multi</w:t>
      </w:r>
      <w:r w:rsidRPr="00F67CEC">
        <w:t>-</w:t>
      </w:r>
      <w:r w:rsidRPr="000105BB">
        <w:rPr>
          <w:bCs/>
        </w:rPr>
        <w:t>market</w:t>
      </w:r>
      <w:r w:rsidRPr="00F67CEC">
        <w:t xml:space="preserve"> </w:t>
      </w:r>
      <w:r w:rsidRPr="000105BB">
        <w:rPr>
          <w:bCs/>
        </w:rPr>
        <w:t>transaction</w:t>
      </w:r>
      <w:r w:rsidRPr="00F67CEC">
        <w:t xml:space="preserve">; (2) there are no basic qualifications issues pending against the transferor or transferee that could not be resolved in the context of the pending applications; and (3) the transferee explicitly consents to “stand in the stead” of the transferor in the </w:t>
      </w:r>
      <w:r w:rsidRPr="000105BB">
        <w:rPr>
          <w:bCs/>
        </w:rPr>
        <w:t>renewal</w:t>
      </w:r>
      <w:r w:rsidRPr="00F67CEC">
        <w:t xml:space="preserve"> proceeding.</w:t>
      </w:r>
      <w:r w:rsidRPr="00F67CEC">
        <w:rPr>
          <w:rStyle w:val="FootnoteReference"/>
        </w:rPr>
        <w:t xml:space="preserve"> </w:t>
      </w:r>
      <w:r>
        <w:rPr>
          <w:rStyle w:val="FootnoteReference"/>
        </w:rPr>
        <w:footnoteReference w:id="124"/>
      </w:r>
      <w:r w:rsidRPr="00F67CEC">
        <w:t xml:space="preserve">  In this regard, (1) </w:t>
      </w:r>
      <w:r>
        <w:t xml:space="preserve">this is a multi-station, multi-market transaction, (2) </w:t>
      </w:r>
      <w:r w:rsidRPr="00F67CEC">
        <w:t>there are no basic qualifications issues pending against either CEI or Terrier</w:t>
      </w:r>
      <w:r>
        <w:t xml:space="preserve"> Media</w:t>
      </w:r>
      <w:r w:rsidRPr="00F67CEC">
        <w:t>, and (</w:t>
      </w:r>
      <w:r>
        <w:t>3</w:t>
      </w:r>
      <w:r w:rsidRPr="00F67CEC">
        <w:t>) Terrier</w:t>
      </w:r>
      <w:r>
        <w:t xml:space="preserve"> Media</w:t>
      </w:r>
      <w:r w:rsidRPr="00F67CEC">
        <w:t xml:space="preserve"> has agreed to stand in the stead of </w:t>
      </w:r>
      <w:r>
        <w:t>Cox Radio</w:t>
      </w:r>
      <w:r w:rsidRPr="00F67CEC">
        <w:t xml:space="preserve"> with respect to the </w:t>
      </w:r>
      <w:r w:rsidRPr="000105BB">
        <w:rPr>
          <w:bCs/>
        </w:rPr>
        <w:t>renewal</w:t>
      </w:r>
      <w:r w:rsidRPr="00F67CEC">
        <w:t xml:space="preserve"> applications for the Florida stations.</w:t>
      </w:r>
      <w:r>
        <w:rPr>
          <w:rStyle w:val="FootnoteReference"/>
        </w:rPr>
        <w:footnoteReference w:id="125"/>
      </w:r>
    </w:p>
    <w:p w:rsidR="00AD59BE" w:rsidP="00AD59BE" w14:paraId="38C93E34" w14:textId="77777777">
      <w:pPr>
        <w:pStyle w:val="ParaNum"/>
        <w:spacing w:before="240"/>
      </w:pPr>
      <w:r w:rsidRPr="00F67CEC">
        <w:t>Additionally, two full-service stations with currently pending license renewal applications, WSUN(FM), Holiday, Florida, and WPYO(FM), Maitland, Florida,</w:t>
      </w:r>
      <w:r>
        <w:rPr>
          <w:rStyle w:val="FootnoteReference"/>
        </w:rPr>
        <w:footnoteReference w:id="126"/>
      </w:r>
      <w:r w:rsidRPr="00F67CEC">
        <w:t xml:space="preserve"> are being assigned to CRST.  In cases involving the assignment, as opposed to transfer, of a broadcast station’s license while the station’s license renewal is pending, the Commission has stated that, so long </w:t>
      </w:r>
      <w:r>
        <w:t xml:space="preserve">as </w:t>
      </w:r>
      <w:r w:rsidRPr="00F67CEC">
        <w:t>there is no question as to the assignor</w:t>
      </w:r>
      <w:r>
        <w:t>’</w:t>
      </w:r>
      <w:r w:rsidRPr="00F67CEC">
        <w:t>s basic qualifications, this situation is not analogous to those in which the Commission first resolves a challenge to the licensee</w:t>
      </w:r>
      <w:r>
        <w:t>’</w:t>
      </w:r>
      <w:r w:rsidRPr="00F67CEC">
        <w:t xml:space="preserve">s qualifications before acting on an application for assignment. Until </w:t>
      </w:r>
      <w:r>
        <w:t xml:space="preserve">the Commission makes a final </w:t>
      </w:r>
      <w:r w:rsidRPr="00F67CEC">
        <w:t>determination of the future use of the WSUN(FM) and WPYO(FM) frequencies, all that is assignable is the right to continue operation of those stations pending action upon their license renewal applications.</w:t>
      </w:r>
      <w:r>
        <w:rPr>
          <w:rStyle w:val="FootnoteReference"/>
        </w:rPr>
        <w:footnoteReference w:id="127"/>
      </w:r>
      <w:r w:rsidRPr="00F67CEC">
        <w:t xml:space="preserve">  </w:t>
      </w:r>
    </w:p>
    <w:p w:rsidR="00AD59BE" w:rsidP="00AD59BE" w14:paraId="1B642CC1" w14:textId="77777777">
      <w:pPr>
        <w:pStyle w:val="Heading1"/>
        <w:keepNext w:val="0"/>
        <w:suppressAutoHyphens w:val="0"/>
      </w:pPr>
      <w:r>
        <w:t>Conclusion</w:t>
      </w:r>
    </w:p>
    <w:p w:rsidR="00AD59BE" w:rsidP="00AD59BE" w14:paraId="6D15B61C" w14:textId="77777777">
      <w:pPr>
        <w:pStyle w:val="ParaNum"/>
      </w:pPr>
      <w:r w:rsidRPr="00A72EC8">
        <w:t xml:space="preserve">After reviewing the record, we conclude that grant of the </w:t>
      </w:r>
      <w:r>
        <w:t>Television and Radio Applications</w:t>
      </w:r>
      <w:r w:rsidRPr="00A72EC8">
        <w:t xml:space="preserve"> </w:t>
      </w:r>
      <w:r>
        <w:t xml:space="preserve">as amended </w:t>
      </w:r>
      <w:r w:rsidRPr="00A72EC8">
        <w:t xml:space="preserve">will comply with </w:t>
      </w:r>
      <w:r>
        <w:t>s</w:t>
      </w:r>
      <w:r w:rsidRPr="00A72EC8">
        <w:t xml:space="preserve">ection 310(d) of the Act.  We conclude that the </w:t>
      </w:r>
      <w:r>
        <w:t>A</w:t>
      </w:r>
      <w:r w:rsidRPr="00A72EC8">
        <w:t xml:space="preserve">pplicants </w:t>
      </w:r>
      <w:r>
        <w:t xml:space="preserve">for the acquisition of the stations listed in the Attachments </w:t>
      </w:r>
      <w:r w:rsidRPr="00A72EC8">
        <w:t>are fully qualified and that grant of th</w:t>
      </w:r>
      <w:r>
        <w:t>ose</w:t>
      </w:r>
      <w:r w:rsidRPr="00A72EC8">
        <w:t xml:space="preserve"> applications</w:t>
      </w:r>
      <w:r>
        <w:t>, as conditioned,</w:t>
      </w:r>
      <w:r w:rsidRPr="00A72EC8">
        <w:t xml:space="preserve"> will serve the public interest, convenience, and necessity</w:t>
      </w:r>
      <w:r>
        <w:t>.</w:t>
      </w:r>
      <w:r w:rsidRPr="005B3BDB">
        <w:t xml:space="preserve"> </w:t>
      </w:r>
    </w:p>
    <w:p w:rsidR="00AD59BE" w:rsidP="00AD59BE" w14:paraId="74F853BE" w14:textId="77777777">
      <w:pPr>
        <w:pStyle w:val="Heading1"/>
        <w:keepNext w:val="0"/>
        <w:suppressAutoHyphens w:val="0"/>
      </w:pPr>
      <w:r w:rsidRPr="00407921">
        <w:t>ORDERING CLAUSES</w:t>
      </w:r>
    </w:p>
    <w:p w:rsidR="00AD59BE" w:rsidRPr="000105BB" w:rsidP="00AD59BE" w14:paraId="75B19EB9" w14:textId="77777777">
      <w:pPr>
        <w:pStyle w:val="ParaNum"/>
      </w:pPr>
      <w:r>
        <w:t xml:space="preserve">Accordingly, </w:t>
      </w:r>
      <w:r w:rsidRPr="000105BB">
        <w:rPr>
          <w:b/>
        </w:rPr>
        <w:t>IT IS ORDERED</w:t>
      </w:r>
      <w:r>
        <w:t xml:space="preserve"> that the petitions to deny filed by Darryl Beauford and by Common Cause, Common Cause Ohio, and United Church of Christ, OC Inc. </w:t>
      </w:r>
      <w:r w:rsidRPr="000105BB">
        <w:rPr>
          <w:b/>
        </w:rPr>
        <w:t>ARE DENIED</w:t>
      </w:r>
      <w:r>
        <w:t>.</w:t>
      </w:r>
      <w:r w:rsidRPr="000105BB">
        <w:rPr>
          <w:b/>
        </w:rPr>
        <w:t xml:space="preserve"> </w:t>
      </w:r>
    </w:p>
    <w:p w:rsidR="00AD59BE" w:rsidP="00AD59BE" w14:paraId="3A232567" w14:textId="77777777">
      <w:pPr>
        <w:pStyle w:val="ParaNum"/>
      </w:pPr>
      <w:r w:rsidRPr="000105BB">
        <w:rPr>
          <w:b/>
        </w:rPr>
        <w:t>IT IS FURTHER ORDERED</w:t>
      </w:r>
      <w:r>
        <w:t xml:space="preserve"> that the informal objection filed by American Television Alliance</w:t>
      </w:r>
      <w:r w:rsidRPr="000105BB">
        <w:rPr>
          <w:b/>
        </w:rPr>
        <w:t xml:space="preserve"> IS DENIED</w:t>
      </w:r>
      <w:r>
        <w:t>.</w:t>
      </w:r>
      <w:bookmarkStart w:id="32" w:name="_Hlk15467516"/>
    </w:p>
    <w:p w:rsidR="00AD59BE" w:rsidP="00AD59BE" w14:paraId="715EC68B" w14:textId="77777777">
      <w:pPr>
        <w:pStyle w:val="ParaNum"/>
      </w:pPr>
      <w:r w:rsidRPr="000105BB">
        <w:rPr>
          <w:b/>
        </w:rPr>
        <w:t>IT IS FURTHER ORDERED</w:t>
      </w:r>
      <w:bookmarkEnd w:id="32"/>
      <w:r>
        <w:t xml:space="preserve"> that the applications in Attachments A and B seeking consent to (1) the transfer of control of certain license subsidiaries of </w:t>
      </w:r>
      <w:bookmarkStart w:id="33" w:name="_Hlk15467637"/>
      <w:r>
        <w:t>NBI Holdings, LLC to Terrier Media Buyer, LLC; (2) the transfer of control of certain license subsidiaries of Cox Enterprises, Inc. to Terrier Media Buyer, LLC; and (3) the assignment of certain licenses owned by subsidiaries of Cox Enterprises, Inc. to Camelot Radio Buyer, LLC,</w:t>
      </w:r>
      <w:bookmarkStart w:id="34" w:name="_Hlk15467624"/>
      <w:bookmarkEnd w:id="33"/>
      <w:r>
        <w:t xml:space="preserve"> </w:t>
      </w:r>
      <w:bookmarkStart w:id="35" w:name="_Hlk15301488"/>
      <w:bookmarkEnd w:id="34"/>
      <w:r>
        <w:t xml:space="preserve">pursuant to section 310(d) of the Communications Act of 1934, as amended, 47 U.S.C. § 310(d), </w:t>
      </w:r>
      <w:r w:rsidRPr="000105BB">
        <w:rPr>
          <w:b/>
        </w:rPr>
        <w:t>ARE GRANTED</w:t>
      </w:r>
      <w:bookmarkEnd w:id="35"/>
      <w:r>
        <w:t>, subject to the following conditions:</w:t>
      </w:r>
      <w:r w:rsidRPr="0007448A">
        <w:t xml:space="preserve"> </w:t>
      </w:r>
    </w:p>
    <w:p w:rsidR="00AD59BE" w:rsidP="00AD59BE" w14:paraId="5BF3B270" w14:textId="77777777">
      <w:pPr>
        <w:pStyle w:val="ListParagraph"/>
        <w:widowControl w:val="0"/>
        <w:numPr>
          <w:ilvl w:val="0"/>
          <w:numId w:val="7"/>
        </w:numPr>
        <w:spacing w:after="120" w:line="240" w:lineRule="auto"/>
        <w:ind w:left="2160"/>
        <w:contextualSpacing w:val="0"/>
        <w:rPr>
          <w:rFonts w:ascii="Times New Roman" w:hAnsi="Times New Roman"/>
        </w:rPr>
      </w:pPr>
      <w:bookmarkStart w:id="36" w:name="_Hlk24721064"/>
      <w:r>
        <w:rPr>
          <w:rFonts w:ascii="Times New Roman" w:hAnsi="Times New Roman"/>
        </w:rPr>
        <w:t xml:space="preserve">Fulfillment of Applicants’ </w:t>
      </w:r>
      <w:r w:rsidRPr="004C3310">
        <w:rPr>
          <w:rFonts w:ascii="Times New Roman" w:hAnsi="Times New Roman"/>
        </w:rPr>
        <w:t>representations set forth in the Television Applicants’ October 29, 2019, amendment</w:t>
      </w:r>
      <w:r>
        <w:rPr>
          <w:rFonts w:ascii="Times New Roman" w:hAnsi="Times New Roman"/>
        </w:rPr>
        <w:t xml:space="preserve"> with regard to Cox’s elimination of its right to designate a member to the board of directors of Terrier Holdings prior to or at consummation.</w:t>
      </w:r>
    </w:p>
    <w:p w:rsidR="00AD59BE" w:rsidRPr="00FA3141" w:rsidP="00AD59BE" w14:paraId="2F115AEA" w14:textId="77777777">
      <w:pPr>
        <w:pStyle w:val="ListParagraph"/>
        <w:widowControl w:val="0"/>
        <w:numPr>
          <w:ilvl w:val="0"/>
          <w:numId w:val="7"/>
        </w:numPr>
        <w:spacing w:after="120" w:line="240" w:lineRule="auto"/>
        <w:ind w:left="2160"/>
        <w:contextualSpacing w:val="0"/>
      </w:pPr>
      <w:r>
        <w:rPr>
          <w:rFonts w:ascii="Times New Roman" w:hAnsi="Times New Roman"/>
        </w:rPr>
        <w:t>S</w:t>
      </w:r>
      <w:r w:rsidRPr="00CF4007">
        <w:rPr>
          <w:rFonts w:ascii="Times New Roman" w:hAnsi="Times New Roman"/>
        </w:rPr>
        <w:t>ubmission</w:t>
      </w:r>
      <w:r w:rsidRPr="004C3310">
        <w:rPr>
          <w:rFonts w:ascii="Times New Roman" w:hAnsi="Times New Roman"/>
        </w:rPr>
        <w:t xml:space="preserve"> within 30 days of grant all formative documents or contracts identifying Cox’s minority investor protections in Terrier Media, Terrier Holdings, and their affiliates</w:t>
      </w:r>
      <w:r>
        <w:rPr>
          <w:rFonts w:ascii="Times New Roman" w:hAnsi="Times New Roman"/>
        </w:rPr>
        <w:t>.</w:t>
      </w:r>
    </w:p>
    <w:p w:rsidR="00AD59BE" w:rsidP="00AD59BE" w14:paraId="47D98FE2" w14:textId="77777777">
      <w:pPr>
        <w:pStyle w:val="ListParagraph"/>
        <w:widowControl w:val="0"/>
        <w:numPr>
          <w:ilvl w:val="0"/>
          <w:numId w:val="7"/>
        </w:numPr>
        <w:spacing w:after="120" w:line="240" w:lineRule="auto"/>
        <w:ind w:left="2160"/>
        <w:contextualSpacing w:val="0"/>
        <w:rPr>
          <w:rFonts w:ascii="Times New Roman" w:hAnsi="Times New Roman"/>
        </w:rPr>
      </w:pPr>
      <w:r w:rsidRPr="004C3310">
        <w:rPr>
          <w:rFonts w:ascii="Times New Roman" w:hAnsi="Times New Roman"/>
        </w:rPr>
        <w:t>AGM’s certification that its interest in New Media Investment Group, Inc., is nonattributable</w:t>
      </w:r>
      <w:r w:rsidRPr="004C3310">
        <w:rPr>
          <w:rFonts w:ascii="Times New Roman" w:hAnsi="Times New Roman"/>
          <w:i/>
        </w:rPr>
        <w:t>.</w:t>
      </w:r>
      <w:r w:rsidRPr="004C3310">
        <w:rPr>
          <w:rFonts w:ascii="Times New Roman" w:hAnsi="Times New Roman"/>
        </w:rPr>
        <w:t xml:space="preserve"> </w:t>
      </w:r>
    </w:p>
    <w:p w:rsidR="00AD59BE" w:rsidRPr="00CF4007" w:rsidP="00AD59BE" w14:paraId="0071B8E2" w14:textId="77777777">
      <w:pPr>
        <w:pStyle w:val="ListParagraph"/>
        <w:widowControl w:val="0"/>
        <w:numPr>
          <w:ilvl w:val="0"/>
          <w:numId w:val="7"/>
        </w:numPr>
        <w:spacing w:after="120" w:line="240" w:lineRule="auto"/>
        <w:ind w:left="2160"/>
        <w:contextualSpacing w:val="0"/>
        <w:rPr>
          <w:rFonts w:ascii="Times New Roman" w:hAnsi="Times New Roman"/>
        </w:rPr>
      </w:pPr>
      <w:r>
        <w:rPr>
          <w:rFonts w:ascii="Times New Roman" w:hAnsi="Times New Roman"/>
        </w:rPr>
        <w:t>M</w:t>
      </w:r>
      <w:r w:rsidRPr="00CF4007">
        <w:rPr>
          <w:rFonts w:ascii="Times New Roman" w:hAnsi="Times New Roman"/>
        </w:rPr>
        <w:t>odif</w:t>
      </w:r>
      <w:r>
        <w:rPr>
          <w:rFonts w:ascii="Times New Roman" w:hAnsi="Times New Roman"/>
        </w:rPr>
        <w:t>ication of</w:t>
      </w:r>
      <w:r w:rsidRPr="00CF4007">
        <w:rPr>
          <w:rFonts w:ascii="Times New Roman" w:hAnsi="Times New Roman"/>
        </w:rPr>
        <w:t xml:space="preserve"> the publication schedule of the three daily newspapers in Ohio consistent with the representations made in the</w:t>
      </w:r>
      <w:r>
        <w:rPr>
          <w:rFonts w:ascii="Times New Roman" w:hAnsi="Times New Roman"/>
        </w:rPr>
        <w:t xml:space="preserve"> </w:t>
      </w:r>
      <w:r w:rsidRPr="0020009A">
        <w:rPr>
          <w:rFonts w:ascii="Times New Roman" w:hAnsi="Times New Roman"/>
        </w:rPr>
        <w:t>Television Applicants’</w:t>
      </w:r>
      <w:r w:rsidRPr="00CF4007">
        <w:rPr>
          <w:rFonts w:ascii="Times New Roman" w:hAnsi="Times New Roman"/>
        </w:rPr>
        <w:t xml:space="preserve"> October </w:t>
      </w:r>
      <w:r>
        <w:rPr>
          <w:rFonts w:ascii="Times New Roman" w:hAnsi="Times New Roman"/>
        </w:rPr>
        <w:t xml:space="preserve">29, </w:t>
      </w:r>
      <w:r w:rsidRPr="00CF4007">
        <w:rPr>
          <w:rFonts w:ascii="Times New Roman" w:hAnsi="Times New Roman"/>
        </w:rPr>
        <w:t>2019</w:t>
      </w:r>
      <w:r>
        <w:rPr>
          <w:rFonts w:ascii="Times New Roman" w:hAnsi="Times New Roman"/>
        </w:rPr>
        <w:t>,</w:t>
      </w:r>
      <w:r w:rsidRPr="00CF4007">
        <w:rPr>
          <w:rFonts w:ascii="Times New Roman" w:hAnsi="Times New Roman"/>
        </w:rPr>
        <w:t xml:space="preserve"> Amendment</w:t>
      </w:r>
      <w:r>
        <w:rPr>
          <w:rFonts w:ascii="Times New Roman" w:hAnsi="Times New Roman"/>
        </w:rPr>
        <w:t xml:space="preserve"> within 30 days of consummation</w:t>
      </w:r>
      <w:r>
        <w:t>.</w:t>
      </w:r>
    </w:p>
    <w:p w:rsidR="00AD59BE" w:rsidRPr="00CF4007" w:rsidP="00AD59BE" w14:paraId="25CE592C" w14:textId="77777777">
      <w:pPr>
        <w:pStyle w:val="ListParagraph"/>
        <w:widowControl w:val="0"/>
        <w:numPr>
          <w:ilvl w:val="0"/>
          <w:numId w:val="7"/>
        </w:numPr>
        <w:spacing w:after="120" w:line="240" w:lineRule="auto"/>
        <w:ind w:left="2160"/>
        <w:contextualSpacing w:val="0"/>
        <w:rPr>
          <w:rFonts w:ascii="Times New Roman" w:hAnsi="Times New Roman"/>
        </w:rPr>
      </w:pPr>
      <w:r>
        <w:rPr>
          <w:rFonts w:ascii="Times New Roman" w:hAnsi="Times New Roman"/>
        </w:rPr>
        <w:t>S</w:t>
      </w:r>
      <w:r w:rsidRPr="0025034E">
        <w:rPr>
          <w:rFonts w:ascii="Times New Roman" w:hAnsi="Times New Roman"/>
        </w:rPr>
        <w:t>urrender</w:t>
      </w:r>
      <w:r>
        <w:rPr>
          <w:rFonts w:ascii="Times New Roman" w:hAnsi="Times New Roman"/>
        </w:rPr>
        <w:t>,</w:t>
      </w:r>
      <w:r w:rsidRPr="0025034E">
        <w:rPr>
          <w:rFonts w:ascii="Times New Roman" w:hAnsi="Times New Roman"/>
        </w:rPr>
        <w:t xml:space="preserve"> </w:t>
      </w:r>
      <w:r>
        <w:rPr>
          <w:rFonts w:ascii="Times New Roman" w:hAnsi="Times New Roman"/>
        </w:rPr>
        <w:t xml:space="preserve">within 30 days of consummation, </w:t>
      </w:r>
      <w:r w:rsidRPr="0025034E">
        <w:rPr>
          <w:rFonts w:ascii="Times New Roman" w:hAnsi="Times New Roman"/>
        </w:rPr>
        <w:t xml:space="preserve">licenses for </w:t>
      </w:r>
      <w:r>
        <w:rPr>
          <w:rFonts w:ascii="Times New Roman" w:hAnsi="Times New Roman"/>
        </w:rPr>
        <w:t xml:space="preserve">one of the Northwest stations in </w:t>
      </w:r>
      <w:r w:rsidRPr="0025034E">
        <w:rPr>
          <w:rFonts w:ascii="Times New Roman" w:hAnsi="Times New Roman"/>
        </w:rPr>
        <w:t>Syracuse</w:t>
      </w:r>
      <w:r>
        <w:rPr>
          <w:rFonts w:ascii="Times New Roman" w:hAnsi="Times New Roman"/>
        </w:rPr>
        <w:t>, New York,</w:t>
      </w:r>
      <w:r w:rsidRPr="0025034E">
        <w:rPr>
          <w:rFonts w:ascii="Times New Roman" w:hAnsi="Times New Roman"/>
        </w:rPr>
        <w:t xml:space="preserve"> and Yuma</w:t>
      </w:r>
      <w:r>
        <w:rPr>
          <w:rFonts w:ascii="Times New Roman" w:hAnsi="Times New Roman"/>
        </w:rPr>
        <w:t>, Arizona,</w:t>
      </w:r>
      <w:r w:rsidRPr="0025034E">
        <w:rPr>
          <w:rFonts w:ascii="Times New Roman" w:hAnsi="Times New Roman"/>
        </w:rPr>
        <w:t xml:space="preserve"> consistent with the representations made in the </w:t>
      </w:r>
      <w:r w:rsidRPr="0020009A">
        <w:rPr>
          <w:rFonts w:ascii="Times New Roman" w:hAnsi="Times New Roman"/>
        </w:rPr>
        <w:t xml:space="preserve">Television Applicants’ </w:t>
      </w:r>
      <w:r w:rsidRPr="0025034E">
        <w:rPr>
          <w:rFonts w:ascii="Times New Roman" w:hAnsi="Times New Roman"/>
        </w:rPr>
        <w:t>October</w:t>
      </w:r>
      <w:r>
        <w:rPr>
          <w:rFonts w:ascii="Times New Roman" w:hAnsi="Times New Roman"/>
        </w:rPr>
        <w:t xml:space="preserve"> 29,</w:t>
      </w:r>
      <w:r w:rsidRPr="0025034E">
        <w:rPr>
          <w:rFonts w:ascii="Times New Roman" w:hAnsi="Times New Roman"/>
        </w:rPr>
        <w:t xml:space="preserve"> 2019</w:t>
      </w:r>
      <w:r>
        <w:rPr>
          <w:rFonts w:ascii="Times New Roman" w:hAnsi="Times New Roman"/>
        </w:rPr>
        <w:t>,</w:t>
      </w:r>
      <w:r w:rsidRPr="0025034E">
        <w:rPr>
          <w:rFonts w:ascii="Times New Roman" w:hAnsi="Times New Roman"/>
        </w:rPr>
        <w:t xml:space="preserve"> Amendment</w:t>
      </w:r>
      <w:r>
        <w:rPr>
          <w:rFonts w:ascii="Times New Roman" w:hAnsi="Times New Roman"/>
        </w:rPr>
        <w:t xml:space="preserve"> .</w:t>
      </w:r>
    </w:p>
    <w:bookmarkEnd w:id="36"/>
    <w:p w:rsidR="00AD59BE" w:rsidRPr="00F67CEC" w:rsidP="00AD59BE" w14:paraId="783FA0C2" w14:textId="77777777">
      <w:pPr>
        <w:pStyle w:val="ParaNum"/>
      </w:pPr>
      <w:r w:rsidRPr="00904586">
        <w:rPr>
          <w:b/>
        </w:rPr>
        <w:t>IT IS FURTHER ORDERED</w:t>
      </w:r>
      <w:r>
        <w:t xml:space="preserve"> that </w:t>
      </w:r>
      <w:r w:rsidRPr="00F67CEC">
        <w:t xml:space="preserve">the applications for </w:t>
      </w:r>
      <w:r>
        <w:t>consent</w:t>
      </w:r>
      <w:r w:rsidRPr="00F67CEC">
        <w:t xml:space="preserve"> to the transfer of control of Cox Radio, Inc. from Cox Enterprises, Inc. to Terrier Media Buyer, Inc., and for consent to the assignment of licenses from Cox Radio, Inc. to CXR Radio, LLC, listed in </w:t>
      </w:r>
      <w:r>
        <w:t>Attachments C and D</w:t>
      </w:r>
      <w:r w:rsidRPr="00F67CEC">
        <w:t xml:space="preserve">, </w:t>
      </w:r>
      <w:r w:rsidRPr="00904586">
        <w:rPr>
          <w:b/>
        </w:rPr>
        <w:t>ARE GRANTED</w:t>
      </w:r>
      <w:r>
        <w:rPr>
          <w:b/>
        </w:rPr>
        <w:t>,</w:t>
      </w:r>
      <w:r w:rsidRPr="00F67CEC">
        <w:t xml:space="preserve"> subject to the following conditions:</w:t>
      </w:r>
    </w:p>
    <w:p w:rsidR="00AD59BE" w:rsidRPr="00F15113" w:rsidP="00AD59BE" w14:paraId="3C072B86" w14:textId="77777777">
      <w:pPr>
        <w:pStyle w:val="ListParagraph"/>
        <w:widowControl w:val="0"/>
        <w:numPr>
          <w:ilvl w:val="0"/>
          <w:numId w:val="8"/>
        </w:numPr>
        <w:spacing w:after="120" w:line="240" w:lineRule="auto"/>
        <w:contextualSpacing w:val="0"/>
        <w:rPr>
          <w:rFonts w:ascii="Times New Roman" w:hAnsi="Times New Roman"/>
        </w:rPr>
      </w:pPr>
      <w:r w:rsidRPr="00F15113">
        <w:rPr>
          <w:rFonts w:ascii="Times New Roman" w:hAnsi="Times New Roman"/>
        </w:rPr>
        <w:t xml:space="preserve">The representations set forth in the Radio Applicants’ October 29, 2019, amendment and AGM’s certification that its interest in New Media Investment Group, Inc., is nonattributable. </w:t>
      </w:r>
    </w:p>
    <w:p w:rsidR="00AD59BE" w:rsidP="00AD59BE" w14:paraId="7A1D8B45" w14:textId="77777777">
      <w:pPr>
        <w:pStyle w:val="ListParagraph"/>
        <w:widowControl w:val="0"/>
        <w:numPr>
          <w:ilvl w:val="0"/>
          <w:numId w:val="8"/>
        </w:numPr>
        <w:spacing w:after="120" w:line="240" w:lineRule="auto"/>
        <w:contextualSpacing w:val="0"/>
        <w:rPr>
          <w:rFonts w:ascii="Times New Roman" w:hAnsi="Times New Roman"/>
        </w:rPr>
      </w:pPr>
      <w:r w:rsidRPr="004D4C44">
        <w:rPr>
          <w:rFonts w:ascii="Times New Roman" w:hAnsi="Times New Roman"/>
        </w:rPr>
        <w:t xml:space="preserve">The </w:t>
      </w:r>
      <w:r>
        <w:rPr>
          <w:rFonts w:ascii="Times New Roman" w:hAnsi="Times New Roman"/>
        </w:rPr>
        <w:t>T</w:t>
      </w:r>
      <w:r w:rsidRPr="004D4C44">
        <w:rPr>
          <w:rFonts w:ascii="Times New Roman" w:hAnsi="Times New Roman"/>
        </w:rPr>
        <w:t xml:space="preserve">ransaction approved in Application Nos. BALH-20190702ADS-ADU must be consummated prior to or concurrently with the </w:t>
      </w:r>
      <w:r>
        <w:rPr>
          <w:rFonts w:ascii="Times New Roman" w:hAnsi="Times New Roman"/>
        </w:rPr>
        <w:t>T</w:t>
      </w:r>
      <w:r w:rsidRPr="004D4C44">
        <w:rPr>
          <w:rFonts w:ascii="Times New Roman" w:hAnsi="Times New Roman"/>
        </w:rPr>
        <w:t xml:space="preserve">ransaction proposed in BTCH-20190702ADP-ADR. </w:t>
      </w:r>
    </w:p>
    <w:p w:rsidR="00AD59BE" w:rsidRPr="00485936" w:rsidP="00AD59BE" w14:paraId="5A74BCDE" w14:textId="77777777">
      <w:pPr>
        <w:pStyle w:val="ListParagraph"/>
        <w:widowControl w:val="0"/>
        <w:numPr>
          <w:ilvl w:val="0"/>
          <w:numId w:val="8"/>
        </w:numPr>
        <w:spacing w:after="120" w:line="240" w:lineRule="auto"/>
        <w:contextualSpacing w:val="0"/>
        <w:rPr>
          <w:rFonts w:ascii="Times New Roman" w:hAnsi="Times New Roman"/>
        </w:rPr>
      </w:pPr>
      <w:r w:rsidRPr="00485936">
        <w:rPr>
          <w:rFonts w:ascii="Times New Roman" w:hAnsi="Times New Roman"/>
        </w:rPr>
        <w:t>The Transaction approved in Application Nos. BALH-20190702ADV must be consummated prior to or concurrently with the Transaction proposed in BTCH</w:t>
      </w:r>
      <w:r>
        <w:rPr>
          <w:rFonts w:ascii="Times New Roman" w:hAnsi="Times New Roman"/>
        </w:rPr>
        <w:noBreakHyphen/>
      </w:r>
      <w:r w:rsidRPr="00485936">
        <w:rPr>
          <w:rFonts w:ascii="Times New Roman" w:hAnsi="Times New Roman"/>
        </w:rPr>
        <w:t xml:space="preserve">20190702ADO. </w:t>
      </w:r>
    </w:p>
    <w:p w:rsidR="00AD59BE" w:rsidP="00AD59BE" w14:paraId="4B7E7294" w14:textId="77777777">
      <w:pPr>
        <w:pStyle w:val="ParaNum"/>
        <w:numPr>
          <w:ilvl w:val="0"/>
          <w:numId w:val="8"/>
        </w:numPr>
        <w:rPr>
          <w:szCs w:val="22"/>
        </w:rPr>
      </w:pPr>
      <w:r w:rsidRPr="00F67CEC">
        <w:rPr>
          <w:szCs w:val="22"/>
        </w:rPr>
        <w:t>The licenses and authorizations issued by the Commission for Stations WSUN(FM), Holiday, Florida, Facility ID No. 67136, WSUN-FM3, St. Petersburg, Florida, Facility ID No. 198549, and WSUN-FM4, Pinellas Park, Florida, Facility ID No. 198705, must be assigned by CXR Radio, LLC, pursuant to a long-form assignment of license application to an unrelated third party within two years after its acquisition of the assets of the Station, and CXR Radio LLC must submit (to the attention of the Chief, Audio Division, Media Bureau), every six months after its acquisition of such assets, a report describing the efforts to market those assets to third parties.</w:t>
      </w:r>
    </w:p>
    <w:p w:rsidR="00AD59BE" w:rsidRPr="008C3A22" w:rsidP="00AD59BE" w14:paraId="4CFE811D" w14:textId="77777777">
      <w:pPr>
        <w:pStyle w:val="ParaNum"/>
        <w:numPr>
          <w:ilvl w:val="0"/>
          <w:numId w:val="8"/>
        </w:numPr>
        <w:contextualSpacing/>
      </w:pPr>
      <w:r w:rsidRPr="00F67CEC">
        <w:rPr>
          <w:szCs w:val="22"/>
        </w:rPr>
        <w:t>The licenses and authorizations issued by the Commission for Station WPYO(FM), Maitland, Florida, Facility ID No. 1186, must be assigned by CXR Radio, LLC, pursuant to a long-form assignment of license application to an unrelated third party within two years after its acquisition of the assets of the Station, and CXR Radio LLC must submit (to the attention of the Chief, Audio Division, Media Bureau), every six months after its acquisition of such assets, a report describing the efforts to market those assets to third parties.</w:t>
      </w:r>
    </w:p>
    <w:p w:rsidR="00AD59BE" w:rsidP="00AD59BE" w14:paraId="5AAC1E35" w14:textId="77777777">
      <w:pPr>
        <w:pStyle w:val="ListParagraph"/>
        <w:widowControl w:val="0"/>
        <w:numPr>
          <w:ilvl w:val="0"/>
          <w:numId w:val="8"/>
        </w:numPr>
        <w:spacing w:after="120" w:line="240" w:lineRule="auto"/>
        <w:rPr>
          <w:rFonts w:ascii="Times New Roman" w:hAnsi="Times New Roman"/>
        </w:rPr>
      </w:pPr>
      <w:r w:rsidRPr="008C3A22">
        <w:rPr>
          <w:rFonts w:ascii="Times New Roman" w:hAnsi="Times New Roman"/>
        </w:rPr>
        <w:t>In the cases of WSUN(FM), Holiday, Florida and WPYO(FM), Maitland, Florida, our consent herein granted goes only to the assignment of those stations' continuing authorization to operate, pursuant to 47 U.S.C. Section 307(c)(3) during the pendency of their applications for license renewal (</w:t>
      </w:r>
      <w:r w:rsidRPr="008C6B60">
        <w:rPr>
          <w:rFonts w:ascii="Times New Roman" w:hAnsi="Times New Roman"/>
        </w:rPr>
        <w:t xml:space="preserve">File Nos. </w:t>
      </w:r>
      <w:r w:rsidRPr="0002249C">
        <w:rPr>
          <w:rFonts w:ascii="Times New Roman" w:hAnsi="Times New Roman"/>
        </w:rPr>
        <w:t>82746</w:t>
      </w:r>
      <w:r>
        <w:rPr>
          <w:rFonts w:ascii="Times New Roman" w:hAnsi="Times New Roman"/>
        </w:rPr>
        <w:t xml:space="preserve"> </w:t>
      </w:r>
      <w:r w:rsidRPr="008C6B60">
        <w:rPr>
          <w:rFonts w:ascii="Times New Roman" w:hAnsi="Times New Roman"/>
        </w:rPr>
        <w:t xml:space="preserve">and </w:t>
      </w:r>
      <w:r w:rsidRPr="0002249C">
        <w:rPr>
          <w:rFonts w:ascii="Times New Roman" w:hAnsi="Times New Roman"/>
        </w:rPr>
        <w:t>82847, respectively</w:t>
      </w:r>
      <w:r w:rsidRPr="008C3A22">
        <w:rPr>
          <w:rFonts w:ascii="Times New Roman" w:hAnsi="Times New Roman"/>
        </w:rPr>
        <w:t>).</w:t>
      </w:r>
    </w:p>
    <w:p w:rsidR="00AD59BE" w:rsidP="00AD59BE" w14:paraId="180FCDF1" w14:textId="77777777">
      <w:pPr>
        <w:pStyle w:val="ParaNum"/>
        <w:numPr>
          <w:ilvl w:val="0"/>
          <w:numId w:val="8"/>
        </w:numPr>
        <w:contextualSpacing/>
      </w:pPr>
      <w:r w:rsidRPr="005254E9">
        <w:t xml:space="preserve">The </w:t>
      </w:r>
      <w:r w:rsidRPr="001E4B67">
        <w:rPr>
          <w:szCs w:val="22"/>
        </w:rPr>
        <w:t>construction</w:t>
      </w:r>
      <w:r w:rsidRPr="005254E9">
        <w:t xml:space="preserve"> permit for K222DG, Fac</w:t>
      </w:r>
      <w:r>
        <w:t>ility</w:t>
      </w:r>
      <w:r w:rsidRPr="005254E9">
        <w:t xml:space="preserve"> I</w:t>
      </w:r>
      <w:r>
        <w:t>D No.</w:t>
      </w:r>
      <w:r w:rsidRPr="005254E9">
        <w:t xml:space="preserve"> 202417 expires on May </w:t>
      </w:r>
      <w:r w:rsidRPr="005254E9">
        <w:t xml:space="preserve">16, 2021.  Commission rules which became effective on February 16, 1999, have a bearing on this construction permit.  </w:t>
      </w:r>
      <w:r w:rsidRPr="005254E9">
        <w:rPr>
          <w:i/>
        </w:rPr>
        <w:t>See</w:t>
      </w:r>
      <w:r w:rsidRPr="005254E9">
        <w:t xml:space="preserve"> </w:t>
      </w:r>
      <w:r w:rsidRPr="005254E9">
        <w:rPr>
          <w:i/>
        </w:rPr>
        <w:t>Streamlining of Mass Media Applications</w:t>
      </w:r>
      <w:r w:rsidRPr="005254E9">
        <w:t>, Report and Order, MM Docket No. 98-43, 13 FCC Rcd 23056 (1999).  Pursuant to these rules, consummation of the transfer consented to herein will not extend the expiration date of the permit.  This construction permit will be subject to automatic forfeiture unless construction is complete and an application for license to cover is filed prior to expiration.</w:t>
      </w:r>
      <w:r>
        <w:t xml:space="preserve">  </w:t>
      </w:r>
    </w:p>
    <w:p w:rsidR="00AD59BE" w:rsidRPr="008C3A22" w:rsidP="00AD59BE" w14:paraId="315C659A" w14:textId="77777777">
      <w:pPr>
        <w:pStyle w:val="ListParagraph"/>
        <w:widowControl w:val="0"/>
        <w:numPr>
          <w:ilvl w:val="0"/>
          <w:numId w:val="8"/>
        </w:numPr>
        <w:spacing w:after="120" w:line="240" w:lineRule="auto"/>
        <w:rPr>
          <w:rFonts w:ascii="Times New Roman" w:hAnsi="Times New Roman"/>
        </w:rPr>
      </w:pPr>
      <w:r w:rsidRPr="005254E9">
        <w:rPr>
          <w:rFonts w:ascii="Times New Roman" w:hAnsi="Times New Roman"/>
        </w:rPr>
        <w:t xml:space="preserve">The FM Translator Licensee must notify the Federal Communications Commission, Office of the Secretary, 445 12th Street, S.W., Washington, DC 20554 of any change in the station that will be rebroadcast. The parties should also notify Robert Gates via email at Robert.Gates@fcc.gov.  </w:t>
      </w:r>
      <w:r w:rsidRPr="005254E9">
        <w:rPr>
          <w:rFonts w:ascii="Times New Roman" w:hAnsi="Times New Roman"/>
          <w:i/>
        </w:rPr>
        <w:t>See</w:t>
      </w:r>
      <w:r w:rsidRPr="005254E9">
        <w:rPr>
          <w:rFonts w:ascii="Times New Roman" w:hAnsi="Times New Roman"/>
        </w:rPr>
        <w:t xml:space="preserve"> 47 C.F.R. §</w:t>
      </w:r>
      <w:r>
        <w:rPr>
          <w:rFonts w:ascii="Times New Roman" w:hAnsi="Times New Roman"/>
        </w:rPr>
        <w:t xml:space="preserve"> </w:t>
      </w:r>
      <w:r w:rsidRPr="005254E9">
        <w:rPr>
          <w:rFonts w:ascii="Times New Roman" w:hAnsi="Times New Roman"/>
        </w:rPr>
        <w:t>74.1284.</w:t>
      </w:r>
    </w:p>
    <w:p w:rsidR="00AD59BE" w:rsidRPr="0006030A" w:rsidP="00AD59BE" w14:paraId="40B290A0" w14:textId="77777777">
      <w:pPr>
        <w:pStyle w:val="ParaNum"/>
      </w:pPr>
      <w:r>
        <w:t>These actions are taken pursuant to section 0.61 and 0.283 of the Commission’s rules, 47 CFR §§ 0.61, 0.283, and sections 4(i) and (j), and 310(d) of the Communications Act of 1934, as amended, 47 U.S.C. § 154(i), 154(j), 310(d).</w:t>
      </w:r>
      <w:r w:rsidRPr="005B3BDB">
        <w:rPr>
          <w:spacing w:val="-2"/>
          <w:szCs w:val="22"/>
        </w:rPr>
        <w:t xml:space="preserve"> </w:t>
      </w:r>
    </w:p>
    <w:p w:rsidR="00AD59BE" w:rsidP="00AD59BE" w14:paraId="1D630F23" w14:textId="77777777">
      <w:r>
        <w:tab/>
      </w:r>
      <w:r>
        <w:tab/>
      </w:r>
      <w:r>
        <w:tab/>
      </w:r>
      <w:r>
        <w:tab/>
      </w:r>
      <w:r>
        <w:tab/>
      </w:r>
      <w:r>
        <w:tab/>
        <w:t>FEDERAL COMMUNICATIONS COMMISSION</w:t>
      </w:r>
    </w:p>
    <w:p w:rsidR="00AD59BE" w:rsidP="00AD59BE" w14:paraId="7C48705A" w14:textId="77777777"/>
    <w:p w:rsidR="00AD59BE" w:rsidP="00AD59BE" w14:paraId="020B2735" w14:textId="77777777"/>
    <w:p w:rsidR="00AD59BE" w:rsidP="00AD59BE" w14:paraId="00EBCF22" w14:textId="77777777"/>
    <w:p w:rsidR="00AD59BE" w:rsidP="00AD59BE" w14:paraId="71760BA4" w14:textId="77777777"/>
    <w:p w:rsidR="00AD59BE" w:rsidP="00AD59BE" w14:paraId="58A97D92" w14:textId="77777777">
      <w:r>
        <w:tab/>
      </w:r>
      <w:r>
        <w:tab/>
      </w:r>
      <w:r>
        <w:tab/>
      </w:r>
      <w:r>
        <w:tab/>
      </w:r>
      <w:r>
        <w:tab/>
      </w:r>
      <w:r>
        <w:tab/>
        <w:t>Michelle M. Carey</w:t>
      </w:r>
    </w:p>
    <w:p w:rsidR="00AD59BE" w:rsidP="00AD59BE" w14:paraId="79431F87" w14:textId="77777777">
      <w:r>
        <w:tab/>
      </w:r>
      <w:r>
        <w:tab/>
      </w:r>
      <w:r>
        <w:tab/>
      </w:r>
      <w:r>
        <w:tab/>
      </w:r>
      <w:r>
        <w:tab/>
      </w:r>
      <w:r>
        <w:tab/>
        <w:t>Chief, Media Bureau</w:t>
      </w:r>
    </w:p>
    <w:p w:rsidR="00AD59BE" w:rsidP="00AD59BE" w14:paraId="1F1D87EA" w14:textId="77777777">
      <w:pPr>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AD59BE" w:rsidP="00AD59BE" w14:paraId="4AF3D7E0" w14:textId="77777777">
      <w:pPr>
        <w:keepNext/>
        <w:widowControl/>
        <w:jc w:val="center"/>
        <w:rPr>
          <w:b/>
          <w:szCs w:val="22"/>
        </w:rPr>
      </w:pPr>
      <w:r>
        <w:rPr>
          <w:b/>
          <w:szCs w:val="22"/>
          <w:u w:val="single"/>
        </w:rPr>
        <w:t>Attachment</w:t>
      </w:r>
      <w:r>
        <w:rPr>
          <w:b/>
          <w:snapToGrid/>
          <w:szCs w:val="22"/>
          <w:u w:val="single"/>
        </w:rPr>
        <w:t xml:space="preserve"> A – </w:t>
      </w:r>
      <w:r w:rsidRPr="00F802BC">
        <w:rPr>
          <w:b/>
          <w:szCs w:val="22"/>
          <w:u w:val="single"/>
        </w:rPr>
        <w:t>NBI Holdings LLC</w:t>
      </w:r>
    </w:p>
    <w:p w:rsidR="00AD59BE" w:rsidP="00AD59BE" w14:paraId="07AD8B3D" w14:textId="77777777">
      <w:pPr>
        <w:keepNext/>
        <w:widowControl/>
        <w:jc w:val="center"/>
        <w:rPr>
          <w:b/>
          <w:szCs w:val="22"/>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990"/>
        <w:gridCol w:w="2070"/>
        <w:gridCol w:w="2430"/>
        <w:gridCol w:w="2768"/>
      </w:tblGrid>
      <w:tr w14:paraId="2DD31E0B" w14:textId="77777777" w:rsidTr="000B0BDF">
        <w:tblPrEx>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27C354FD" w14:textId="77777777">
            <w:pPr>
              <w:pStyle w:val="ParaNum"/>
              <w:numPr>
                <w:ilvl w:val="0"/>
                <w:numId w:val="0"/>
              </w:numPr>
              <w:tabs>
                <w:tab w:val="left" w:pos="720"/>
              </w:tabs>
              <w:jc w:val="center"/>
              <w:rPr>
                <w:b/>
                <w:szCs w:val="22"/>
              </w:rPr>
            </w:pPr>
            <w:r>
              <w:rPr>
                <w:b/>
                <w:szCs w:val="22"/>
              </w:rPr>
              <w:t>Call Sign</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0BA03FBC" w14:textId="77777777">
            <w:pPr>
              <w:pStyle w:val="ParaNum"/>
              <w:numPr>
                <w:ilvl w:val="0"/>
                <w:numId w:val="0"/>
              </w:numPr>
              <w:tabs>
                <w:tab w:val="left" w:pos="720"/>
              </w:tabs>
              <w:jc w:val="center"/>
              <w:rPr>
                <w:b/>
                <w:szCs w:val="22"/>
              </w:rPr>
            </w:pPr>
            <w:r>
              <w:rPr>
                <w:b/>
                <w:szCs w:val="22"/>
              </w:rPr>
              <w:t>Facility ID No.</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1DB9D043" w14:textId="77777777">
            <w:pPr>
              <w:pStyle w:val="ParaNum"/>
              <w:numPr>
                <w:ilvl w:val="0"/>
                <w:numId w:val="0"/>
              </w:numPr>
              <w:tabs>
                <w:tab w:val="left" w:pos="720"/>
              </w:tabs>
              <w:jc w:val="center"/>
              <w:rPr>
                <w:b/>
                <w:szCs w:val="22"/>
              </w:rPr>
            </w:pPr>
            <w:r>
              <w:rPr>
                <w:b/>
                <w:szCs w:val="22"/>
              </w:rPr>
              <w:t>Community of License</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7C776052" w14:textId="77777777">
            <w:pPr>
              <w:pStyle w:val="ParaNum"/>
              <w:numPr>
                <w:ilvl w:val="0"/>
                <w:numId w:val="0"/>
              </w:numPr>
              <w:tabs>
                <w:tab w:val="left" w:pos="720"/>
              </w:tabs>
              <w:jc w:val="center"/>
              <w:rPr>
                <w:b/>
                <w:szCs w:val="22"/>
              </w:rPr>
            </w:pPr>
            <w:r>
              <w:rPr>
                <w:b/>
                <w:szCs w:val="22"/>
              </w:rPr>
              <w:t>Licensee</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0AB71CA8" w14:textId="77777777">
            <w:pPr>
              <w:pStyle w:val="ParaNum"/>
              <w:numPr>
                <w:ilvl w:val="0"/>
                <w:numId w:val="0"/>
              </w:numPr>
              <w:tabs>
                <w:tab w:val="left" w:pos="720"/>
              </w:tabs>
              <w:jc w:val="center"/>
              <w:rPr>
                <w:b/>
                <w:szCs w:val="22"/>
              </w:rPr>
            </w:pPr>
            <w:r>
              <w:rPr>
                <w:b/>
                <w:szCs w:val="22"/>
              </w:rPr>
              <w:t>Application File Nos.</w:t>
            </w:r>
          </w:p>
        </w:tc>
      </w:tr>
      <w:tr w14:paraId="6C706226"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tcPr>
          <w:p w:rsidR="00AD59BE" w:rsidP="000B0BDF" w14:paraId="17344AA4" w14:textId="77777777">
            <w:pPr>
              <w:autoSpaceDE w:val="0"/>
              <w:autoSpaceDN w:val="0"/>
              <w:adjustRightInd w:val="0"/>
              <w:rPr>
                <w:szCs w:val="22"/>
              </w:rPr>
            </w:pPr>
            <w:r>
              <w:rPr>
                <w:szCs w:val="22"/>
              </w:rPr>
              <w:t xml:space="preserve">WSYT(TV) </w:t>
            </w:r>
          </w:p>
          <w:p w:rsidR="00AD59BE" w:rsidP="000B0BDF" w14:paraId="4C20235C" w14:textId="77777777">
            <w:pPr>
              <w:pStyle w:val="ParaNum"/>
              <w:numPr>
                <w:ilvl w:val="0"/>
                <w:numId w:val="0"/>
              </w:numPr>
              <w:tabs>
                <w:tab w:val="left" w:pos="720"/>
              </w:tabs>
              <w:spacing w:after="0"/>
              <w:rPr>
                <w:szCs w:val="22"/>
              </w:rPr>
            </w:pP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07F95997" w14:textId="77777777">
            <w:pPr>
              <w:pStyle w:val="ParaNum"/>
              <w:numPr>
                <w:ilvl w:val="0"/>
                <w:numId w:val="0"/>
              </w:numPr>
              <w:tabs>
                <w:tab w:val="left" w:pos="720"/>
              </w:tabs>
              <w:spacing w:after="0"/>
              <w:rPr>
                <w:szCs w:val="22"/>
              </w:rPr>
            </w:pPr>
            <w:r>
              <w:rPr>
                <w:szCs w:val="22"/>
              </w:rPr>
              <w:t>40758</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03EEAF2E" w14:textId="77777777">
            <w:pPr>
              <w:pStyle w:val="ParaNum"/>
              <w:numPr>
                <w:ilvl w:val="0"/>
                <w:numId w:val="0"/>
              </w:numPr>
              <w:tabs>
                <w:tab w:val="left" w:pos="720"/>
              </w:tabs>
              <w:spacing w:after="0"/>
              <w:ind w:hanging="17"/>
              <w:rPr>
                <w:szCs w:val="22"/>
              </w:rPr>
            </w:pPr>
            <w:r>
              <w:rPr>
                <w:szCs w:val="22"/>
              </w:rPr>
              <w:t>Syracuse, NY</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76C32976" w14:textId="77777777">
            <w:pPr>
              <w:pStyle w:val="ParaNum"/>
              <w:numPr>
                <w:ilvl w:val="0"/>
                <w:numId w:val="0"/>
              </w:numPr>
              <w:tabs>
                <w:tab w:val="left" w:pos="720"/>
              </w:tabs>
              <w:spacing w:after="0"/>
              <w:ind w:hanging="17"/>
              <w:rPr>
                <w:szCs w:val="22"/>
              </w:rPr>
            </w:pPr>
            <w:r>
              <w:rPr>
                <w:szCs w:val="22"/>
              </w:rPr>
              <w:t>Bristlecone Broadcasting LLC</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381A8516" w14:textId="77777777">
            <w:pPr>
              <w:pStyle w:val="ParaNum"/>
              <w:numPr>
                <w:ilvl w:val="0"/>
                <w:numId w:val="0"/>
              </w:numPr>
              <w:tabs>
                <w:tab w:val="left" w:pos="720"/>
              </w:tabs>
              <w:spacing w:after="0"/>
              <w:rPr>
                <w:szCs w:val="22"/>
              </w:rPr>
            </w:pPr>
            <w:r>
              <w:rPr>
                <w:szCs w:val="22"/>
              </w:rPr>
              <w:t>BTCCDT‐20190304ABL</w:t>
            </w:r>
          </w:p>
        </w:tc>
      </w:tr>
      <w:tr w14:paraId="53740AEF"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2E723EBF" w14:textId="77777777">
            <w:pPr>
              <w:autoSpaceDE w:val="0"/>
              <w:autoSpaceDN w:val="0"/>
              <w:adjustRightInd w:val="0"/>
              <w:rPr>
                <w:szCs w:val="22"/>
              </w:rPr>
            </w:pPr>
            <w:r>
              <w:rPr>
                <w:kern w:val="0"/>
                <w:szCs w:val="22"/>
              </w:rPr>
              <w:t>W16AX‐D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6FDDF170" w14:textId="77777777">
            <w:pPr>
              <w:pStyle w:val="ParaNum"/>
              <w:numPr>
                <w:ilvl w:val="0"/>
                <w:numId w:val="0"/>
              </w:numPr>
              <w:tabs>
                <w:tab w:val="left" w:pos="720"/>
              </w:tabs>
              <w:spacing w:after="0"/>
              <w:rPr>
                <w:szCs w:val="22"/>
              </w:rPr>
            </w:pPr>
            <w:r>
              <w:rPr>
                <w:szCs w:val="22"/>
              </w:rPr>
              <w:t>15567</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30843D8A" w14:textId="77777777">
            <w:pPr>
              <w:pStyle w:val="ParaNum"/>
              <w:numPr>
                <w:ilvl w:val="0"/>
                <w:numId w:val="0"/>
              </w:numPr>
              <w:tabs>
                <w:tab w:val="left" w:pos="720"/>
              </w:tabs>
              <w:spacing w:after="0"/>
              <w:ind w:hanging="17"/>
              <w:rPr>
                <w:szCs w:val="22"/>
              </w:rPr>
            </w:pPr>
            <w:r>
              <w:rPr>
                <w:szCs w:val="22"/>
              </w:rPr>
              <w:t>Ithaca, NY</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5C39A7AE" w14:textId="77777777">
            <w:pPr>
              <w:pStyle w:val="ParaNum"/>
              <w:numPr>
                <w:ilvl w:val="0"/>
                <w:numId w:val="0"/>
              </w:numPr>
              <w:tabs>
                <w:tab w:val="left" w:pos="720"/>
              </w:tabs>
              <w:spacing w:after="0"/>
              <w:ind w:hanging="17"/>
              <w:rPr>
                <w:szCs w:val="22"/>
              </w:rPr>
            </w:pPr>
            <w:r>
              <w:rPr>
                <w:szCs w:val="22"/>
              </w:rPr>
              <w:t>Bristlecone Broadcasting LLC</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2AE2A22B" w14:textId="77777777">
            <w:pPr>
              <w:pStyle w:val="ParaNum"/>
              <w:numPr>
                <w:ilvl w:val="0"/>
                <w:numId w:val="0"/>
              </w:numPr>
              <w:tabs>
                <w:tab w:val="left" w:pos="720"/>
              </w:tabs>
              <w:spacing w:after="0"/>
              <w:rPr>
                <w:szCs w:val="22"/>
              </w:rPr>
            </w:pPr>
            <w:r>
              <w:rPr>
                <w:szCs w:val="22"/>
              </w:rPr>
              <w:t>BTCCDT‐20190304ABM</w:t>
            </w:r>
          </w:p>
        </w:tc>
      </w:tr>
      <w:tr w14:paraId="7C36DA16"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25D45F53" w14:textId="77777777">
            <w:pPr>
              <w:autoSpaceDE w:val="0"/>
              <w:autoSpaceDN w:val="0"/>
              <w:adjustRightInd w:val="0"/>
              <w:rPr>
                <w:kern w:val="0"/>
                <w:szCs w:val="22"/>
              </w:rPr>
            </w:pPr>
            <w:r>
              <w:rPr>
                <w:szCs w:val="22"/>
              </w:rPr>
              <w:t>WNYS‐TV</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5F59A73A" w14:textId="77777777">
            <w:pPr>
              <w:pStyle w:val="ParaNum"/>
              <w:numPr>
                <w:ilvl w:val="0"/>
                <w:numId w:val="0"/>
              </w:numPr>
              <w:tabs>
                <w:tab w:val="left" w:pos="720"/>
              </w:tabs>
              <w:spacing w:after="0"/>
              <w:rPr>
                <w:szCs w:val="22"/>
              </w:rPr>
            </w:pPr>
            <w:r>
              <w:rPr>
                <w:szCs w:val="22"/>
              </w:rPr>
              <w:t>58725</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0D713F21" w14:textId="77777777">
            <w:pPr>
              <w:pStyle w:val="ParaNum"/>
              <w:numPr>
                <w:ilvl w:val="0"/>
                <w:numId w:val="0"/>
              </w:numPr>
              <w:tabs>
                <w:tab w:val="left" w:pos="720"/>
              </w:tabs>
              <w:spacing w:after="0"/>
              <w:ind w:hanging="17"/>
              <w:rPr>
                <w:szCs w:val="22"/>
              </w:rPr>
            </w:pPr>
            <w:r>
              <w:rPr>
                <w:szCs w:val="22"/>
              </w:rPr>
              <w:t>Syracuse, NY</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4C8F8D69" w14:textId="77777777">
            <w:pPr>
              <w:pStyle w:val="ParaNum"/>
              <w:numPr>
                <w:ilvl w:val="0"/>
                <w:numId w:val="0"/>
              </w:numPr>
              <w:tabs>
                <w:tab w:val="left" w:pos="720"/>
              </w:tabs>
              <w:spacing w:after="0"/>
              <w:ind w:hanging="17"/>
              <w:rPr>
                <w:szCs w:val="22"/>
              </w:rPr>
            </w:pPr>
            <w:r>
              <w:rPr>
                <w:szCs w:val="22"/>
              </w:rPr>
              <w:t>Syracuse Broadcasting</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3A30C65E" w14:textId="77777777">
            <w:pPr>
              <w:pStyle w:val="ParaNum"/>
              <w:numPr>
                <w:ilvl w:val="0"/>
                <w:numId w:val="0"/>
              </w:numPr>
              <w:tabs>
                <w:tab w:val="left" w:pos="720"/>
              </w:tabs>
              <w:spacing w:after="0"/>
              <w:rPr>
                <w:szCs w:val="22"/>
              </w:rPr>
            </w:pPr>
            <w:r>
              <w:rPr>
                <w:szCs w:val="22"/>
              </w:rPr>
              <w:t>BTCCDT‐20190304ABP</w:t>
            </w:r>
          </w:p>
        </w:tc>
      </w:tr>
      <w:tr w14:paraId="5F07ECA8"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5F598B4E" w14:textId="77777777">
            <w:pPr>
              <w:autoSpaceDE w:val="0"/>
              <w:autoSpaceDN w:val="0"/>
              <w:adjustRightInd w:val="0"/>
              <w:rPr>
                <w:szCs w:val="22"/>
              </w:rPr>
            </w:pPr>
            <w:r>
              <w:rPr>
                <w:szCs w:val="22"/>
              </w:rPr>
              <w:t>WICZ‐TV</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09421F5B" w14:textId="77777777">
            <w:pPr>
              <w:pStyle w:val="ParaNum"/>
              <w:numPr>
                <w:ilvl w:val="0"/>
                <w:numId w:val="0"/>
              </w:numPr>
              <w:tabs>
                <w:tab w:val="left" w:pos="720"/>
              </w:tabs>
              <w:spacing w:after="0"/>
              <w:rPr>
                <w:szCs w:val="22"/>
              </w:rPr>
            </w:pPr>
            <w:r>
              <w:rPr>
                <w:szCs w:val="22"/>
              </w:rPr>
              <w:t>62210</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48B9AEBD" w14:textId="77777777">
            <w:pPr>
              <w:pStyle w:val="ParaNum"/>
              <w:numPr>
                <w:ilvl w:val="0"/>
                <w:numId w:val="0"/>
              </w:numPr>
              <w:tabs>
                <w:tab w:val="left" w:pos="720"/>
              </w:tabs>
              <w:spacing w:after="0"/>
              <w:ind w:hanging="17"/>
              <w:rPr>
                <w:szCs w:val="22"/>
              </w:rPr>
            </w:pPr>
            <w:r>
              <w:rPr>
                <w:szCs w:val="22"/>
              </w:rPr>
              <w:t>Syracuse, NY</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167169D8" w14:textId="77777777">
            <w:pPr>
              <w:pStyle w:val="ParaNum"/>
              <w:numPr>
                <w:ilvl w:val="0"/>
                <w:numId w:val="0"/>
              </w:numPr>
              <w:tabs>
                <w:tab w:val="left" w:pos="720"/>
              </w:tabs>
              <w:spacing w:after="0"/>
              <w:ind w:hanging="17"/>
              <w:rPr>
                <w:szCs w:val="22"/>
              </w:rPr>
            </w:pPr>
            <w:r>
              <w:rPr>
                <w:szCs w:val="22"/>
              </w:rPr>
              <w:t>Stainless Broadcasting</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17F64D80" w14:textId="77777777">
            <w:pPr>
              <w:pStyle w:val="ParaNum"/>
              <w:numPr>
                <w:ilvl w:val="0"/>
                <w:numId w:val="0"/>
              </w:numPr>
              <w:tabs>
                <w:tab w:val="left" w:pos="720"/>
              </w:tabs>
              <w:spacing w:after="0"/>
              <w:rPr>
                <w:szCs w:val="22"/>
              </w:rPr>
            </w:pPr>
            <w:r>
              <w:rPr>
                <w:szCs w:val="22"/>
              </w:rPr>
              <w:t>BTCCDT‐20190304ABR</w:t>
            </w:r>
          </w:p>
        </w:tc>
      </w:tr>
      <w:tr w14:paraId="4885AF1C"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4E0EDBF9" w14:textId="77777777">
            <w:pPr>
              <w:autoSpaceDE w:val="0"/>
              <w:autoSpaceDN w:val="0"/>
              <w:adjustRightInd w:val="0"/>
              <w:rPr>
                <w:szCs w:val="22"/>
              </w:rPr>
            </w:pPr>
            <w:r>
              <w:rPr>
                <w:szCs w:val="22"/>
              </w:rPr>
              <w:t>WBPN‐LP</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2B19AB5C" w14:textId="77777777">
            <w:pPr>
              <w:pStyle w:val="ParaNum"/>
              <w:numPr>
                <w:ilvl w:val="0"/>
                <w:numId w:val="0"/>
              </w:numPr>
              <w:tabs>
                <w:tab w:val="left" w:pos="720"/>
              </w:tabs>
              <w:spacing w:after="0"/>
              <w:rPr>
                <w:szCs w:val="22"/>
              </w:rPr>
            </w:pPr>
            <w:r>
              <w:rPr>
                <w:szCs w:val="22"/>
              </w:rPr>
              <w:t>74020</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12CFC257" w14:textId="77777777">
            <w:pPr>
              <w:pStyle w:val="ParaNum"/>
              <w:numPr>
                <w:ilvl w:val="0"/>
                <w:numId w:val="0"/>
              </w:numPr>
              <w:tabs>
                <w:tab w:val="left" w:pos="720"/>
              </w:tabs>
              <w:spacing w:after="0"/>
              <w:ind w:hanging="17"/>
              <w:rPr>
                <w:szCs w:val="22"/>
              </w:rPr>
            </w:pPr>
            <w:r>
              <w:rPr>
                <w:szCs w:val="22"/>
              </w:rPr>
              <w:t>Binghamton, NY</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475F35E2" w14:textId="77777777">
            <w:pPr>
              <w:pStyle w:val="ParaNum"/>
              <w:numPr>
                <w:ilvl w:val="0"/>
                <w:numId w:val="0"/>
              </w:numPr>
              <w:tabs>
                <w:tab w:val="left" w:pos="720"/>
              </w:tabs>
              <w:spacing w:after="0"/>
              <w:ind w:hanging="17"/>
              <w:rPr>
                <w:szCs w:val="22"/>
              </w:rPr>
            </w:pPr>
            <w:r>
              <w:rPr>
                <w:szCs w:val="22"/>
              </w:rPr>
              <w:t>Stainless Broadcasting</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2AA2F45F" w14:textId="77777777">
            <w:pPr>
              <w:pStyle w:val="ParaNum"/>
              <w:numPr>
                <w:ilvl w:val="0"/>
                <w:numId w:val="0"/>
              </w:numPr>
              <w:tabs>
                <w:tab w:val="left" w:pos="720"/>
              </w:tabs>
              <w:spacing w:after="0"/>
              <w:rPr>
                <w:szCs w:val="22"/>
              </w:rPr>
            </w:pPr>
            <w:r>
              <w:rPr>
                <w:szCs w:val="22"/>
              </w:rPr>
              <w:t>BTC(DTL)‐20190304ABS</w:t>
            </w:r>
          </w:p>
        </w:tc>
      </w:tr>
      <w:tr w14:paraId="52E4C3DD"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4B9BB3C4" w14:textId="77777777">
            <w:pPr>
              <w:autoSpaceDE w:val="0"/>
              <w:autoSpaceDN w:val="0"/>
              <w:adjustRightInd w:val="0"/>
              <w:rPr>
                <w:szCs w:val="22"/>
              </w:rPr>
            </w:pPr>
            <w:r>
              <w:rPr>
                <w:szCs w:val="22"/>
              </w:rPr>
              <w:t>WBPN‐LD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2F4C43F1" w14:textId="77777777">
            <w:pPr>
              <w:pStyle w:val="ParaNum"/>
              <w:numPr>
                <w:ilvl w:val="0"/>
                <w:numId w:val="0"/>
              </w:numPr>
              <w:tabs>
                <w:tab w:val="left" w:pos="720"/>
              </w:tabs>
              <w:spacing w:after="0"/>
              <w:rPr>
                <w:szCs w:val="22"/>
              </w:rPr>
            </w:pPr>
            <w:r>
              <w:rPr>
                <w:szCs w:val="22"/>
              </w:rPr>
              <w:t>168092</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1BD730F2" w14:textId="77777777">
            <w:pPr>
              <w:pStyle w:val="ParaNum"/>
              <w:numPr>
                <w:ilvl w:val="0"/>
                <w:numId w:val="0"/>
              </w:numPr>
              <w:tabs>
                <w:tab w:val="left" w:pos="720"/>
              </w:tabs>
              <w:spacing w:after="0"/>
              <w:ind w:hanging="17"/>
              <w:rPr>
                <w:szCs w:val="22"/>
              </w:rPr>
            </w:pPr>
            <w:r>
              <w:rPr>
                <w:szCs w:val="22"/>
              </w:rPr>
              <w:t>Binghamton, NY</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297D76D4" w14:textId="77777777">
            <w:pPr>
              <w:pStyle w:val="ParaNum"/>
              <w:numPr>
                <w:ilvl w:val="0"/>
                <w:numId w:val="0"/>
              </w:numPr>
              <w:tabs>
                <w:tab w:val="left" w:pos="720"/>
              </w:tabs>
              <w:spacing w:after="0"/>
              <w:ind w:hanging="17"/>
              <w:rPr>
                <w:szCs w:val="22"/>
              </w:rPr>
            </w:pPr>
            <w:r>
              <w:rPr>
                <w:szCs w:val="22"/>
              </w:rPr>
              <w:t>Stainless Broadcasting</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4D445E5C" w14:textId="77777777">
            <w:pPr>
              <w:pStyle w:val="ParaNum"/>
              <w:numPr>
                <w:ilvl w:val="0"/>
                <w:numId w:val="0"/>
              </w:numPr>
              <w:tabs>
                <w:tab w:val="left" w:pos="720"/>
              </w:tabs>
              <w:spacing w:after="0"/>
              <w:rPr>
                <w:szCs w:val="22"/>
              </w:rPr>
            </w:pPr>
            <w:r>
              <w:rPr>
                <w:szCs w:val="22"/>
              </w:rPr>
              <w:t>BTC(DTL)‐20190304ABT</w:t>
            </w:r>
          </w:p>
        </w:tc>
      </w:tr>
      <w:tr w14:paraId="7DAA14AA"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2D3AEA53" w14:textId="77777777">
            <w:pPr>
              <w:autoSpaceDE w:val="0"/>
              <w:autoSpaceDN w:val="0"/>
              <w:adjustRightInd w:val="0"/>
              <w:rPr>
                <w:szCs w:val="22"/>
              </w:rPr>
            </w:pPr>
            <w:r>
              <w:rPr>
                <w:szCs w:val="22"/>
              </w:rPr>
              <w:t>KAYU‐TV</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483C415A" w14:textId="77777777">
            <w:pPr>
              <w:pStyle w:val="ParaNum"/>
              <w:numPr>
                <w:ilvl w:val="0"/>
                <w:numId w:val="0"/>
              </w:numPr>
              <w:tabs>
                <w:tab w:val="left" w:pos="720"/>
              </w:tabs>
              <w:spacing w:after="0"/>
              <w:rPr>
                <w:szCs w:val="22"/>
              </w:rPr>
            </w:pPr>
            <w:r>
              <w:rPr>
                <w:szCs w:val="22"/>
              </w:rPr>
              <w:t>58684</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4AA3F34F" w14:textId="77777777">
            <w:pPr>
              <w:pStyle w:val="ParaNum"/>
              <w:numPr>
                <w:ilvl w:val="0"/>
                <w:numId w:val="0"/>
              </w:numPr>
              <w:tabs>
                <w:tab w:val="left" w:pos="720"/>
              </w:tabs>
              <w:spacing w:after="0"/>
              <w:ind w:hanging="17"/>
              <w:rPr>
                <w:szCs w:val="22"/>
              </w:rPr>
            </w:pPr>
            <w:r>
              <w:rPr>
                <w:szCs w:val="22"/>
              </w:rPr>
              <w:t>Spokane, WA</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0EBA00D5" w14:textId="77777777">
            <w:pPr>
              <w:pStyle w:val="ParaNum"/>
              <w:numPr>
                <w:ilvl w:val="0"/>
                <w:numId w:val="0"/>
              </w:numPr>
              <w:tabs>
                <w:tab w:val="left" w:pos="720"/>
              </w:tabs>
              <w:spacing w:after="0"/>
              <w:ind w:hanging="17"/>
              <w:rPr>
                <w:szCs w:val="22"/>
              </w:rPr>
            </w:pPr>
            <w:r>
              <w:rPr>
                <w:szCs w:val="22"/>
              </w:rPr>
              <w:t>Mountain Licenses, L.P.</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10BEAAC5" w14:textId="77777777">
            <w:pPr>
              <w:pStyle w:val="ParaNum"/>
              <w:numPr>
                <w:ilvl w:val="0"/>
                <w:numId w:val="0"/>
              </w:numPr>
              <w:tabs>
                <w:tab w:val="left" w:pos="720"/>
              </w:tabs>
              <w:spacing w:after="0"/>
              <w:rPr>
                <w:szCs w:val="22"/>
              </w:rPr>
            </w:pPr>
            <w:r>
              <w:rPr>
                <w:szCs w:val="22"/>
              </w:rPr>
              <w:t>BTCCDT‐20190304ADU</w:t>
            </w:r>
          </w:p>
        </w:tc>
      </w:tr>
      <w:tr w14:paraId="13F03A29"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00E7BA71" w14:textId="77777777">
            <w:pPr>
              <w:autoSpaceDE w:val="0"/>
              <w:autoSpaceDN w:val="0"/>
              <w:adjustRightInd w:val="0"/>
              <w:rPr>
                <w:szCs w:val="22"/>
              </w:rPr>
            </w:pPr>
            <w:r>
              <w:rPr>
                <w:szCs w:val="22"/>
              </w:rPr>
              <w:t>K09UP‐D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54E83E1E" w14:textId="77777777">
            <w:pPr>
              <w:pStyle w:val="ParaNum"/>
              <w:numPr>
                <w:ilvl w:val="0"/>
                <w:numId w:val="0"/>
              </w:numPr>
              <w:tabs>
                <w:tab w:val="left" w:pos="720"/>
              </w:tabs>
              <w:spacing w:after="0"/>
              <w:rPr>
                <w:szCs w:val="22"/>
              </w:rPr>
            </w:pPr>
            <w:r>
              <w:rPr>
                <w:szCs w:val="22"/>
              </w:rPr>
              <w:t>58691</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6CA3E029" w14:textId="77777777">
            <w:pPr>
              <w:pStyle w:val="ParaNum"/>
              <w:numPr>
                <w:ilvl w:val="0"/>
                <w:numId w:val="0"/>
              </w:numPr>
              <w:tabs>
                <w:tab w:val="left" w:pos="720"/>
              </w:tabs>
              <w:spacing w:after="0"/>
              <w:ind w:hanging="17"/>
              <w:rPr>
                <w:szCs w:val="22"/>
              </w:rPr>
            </w:pPr>
            <w:r>
              <w:rPr>
                <w:szCs w:val="22"/>
              </w:rPr>
              <w:t>Colville, WA</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65DB7356" w14:textId="77777777">
            <w:pPr>
              <w:pStyle w:val="ParaNum"/>
              <w:numPr>
                <w:ilvl w:val="0"/>
                <w:numId w:val="0"/>
              </w:numPr>
              <w:tabs>
                <w:tab w:val="left" w:pos="720"/>
              </w:tabs>
              <w:spacing w:after="0"/>
              <w:ind w:hanging="17"/>
              <w:rPr>
                <w:szCs w:val="22"/>
              </w:rPr>
            </w:pPr>
            <w:r>
              <w:rPr>
                <w:szCs w:val="22"/>
              </w:rPr>
              <w:t>Mountain Licenses, L.P.</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2EE4A08E" w14:textId="77777777">
            <w:pPr>
              <w:pStyle w:val="ParaNum"/>
              <w:numPr>
                <w:ilvl w:val="0"/>
                <w:numId w:val="0"/>
              </w:numPr>
              <w:tabs>
                <w:tab w:val="left" w:pos="720"/>
              </w:tabs>
              <w:spacing w:after="0"/>
              <w:rPr>
                <w:szCs w:val="22"/>
              </w:rPr>
            </w:pPr>
            <w:r>
              <w:rPr>
                <w:szCs w:val="22"/>
              </w:rPr>
              <w:t>BTC(DTL)‐20190304ADZ</w:t>
            </w:r>
          </w:p>
        </w:tc>
      </w:tr>
      <w:tr w14:paraId="3ADD4827"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01F3F0D1" w14:textId="77777777">
            <w:pPr>
              <w:autoSpaceDE w:val="0"/>
              <w:autoSpaceDN w:val="0"/>
              <w:adjustRightInd w:val="0"/>
              <w:rPr>
                <w:szCs w:val="22"/>
              </w:rPr>
            </w:pPr>
            <w:r>
              <w:rPr>
                <w:szCs w:val="22"/>
              </w:rPr>
              <w:t>K18LH-D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066A4511" w14:textId="77777777">
            <w:pPr>
              <w:pStyle w:val="ParaNum"/>
              <w:numPr>
                <w:ilvl w:val="0"/>
                <w:numId w:val="0"/>
              </w:numPr>
              <w:tabs>
                <w:tab w:val="left" w:pos="720"/>
              </w:tabs>
              <w:spacing w:after="0"/>
              <w:rPr>
                <w:szCs w:val="22"/>
              </w:rPr>
            </w:pPr>
            <w:r>
              <w:rPr>
                <w:szCs w:val="22"/>
              </w:rPr>
              <w:t>198068</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35E84710" w14:textId="77777777">
            <w:pPr>
              <w:pStyle w:val="ParaNum"/>
              <w:numPr>
                <w:ilvl w:val="0"/>
                <w:numId w:val="0"/>
              </w:numPr>
              <w:tabs>
                <w:tab w:val="left" w:pos="720"/>
              </w:tabs>
              <w:spacing w:after="0"/>
              <w:ind w:hanging="17"/>
              <w:rPr>
                <w:szCs w:val="22"/>
              </w:rPr>
            </w:pPr>
            <w:r>
              <w:rPr>
                <w:szCs w:val="22"/>
              </w:rPr>
              <w:t>Lewiston, ID</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2AFB0FE4" w14:textId="77777777">
            <w:pPr>
              <w:pStyle w:val="ParaNum"/>
              <w:numPr>
                <w:ilvl w:val="0"/>
                <w:numId w:val="0"/>
              </w:numPr>
              <w:tabs>
                <w:tab w:val="left" w:pos="720"/>
              </w:tabs>
              <w:spacing w:after="0"/>
              <w:ind w:hanging="17"/>
              <w:rPr>
                <w:szCs w:val="22"/>
              </w:rPr>
            </w:pPr>
            <w:r>
              <w:rPr>
                <w:szCs w:val="22"/>
              </w:rPr>
              <w:t>Mountain Licenses, L.P.</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7C9D5546" w14:textId="77777777">
            <w:pPr>
              <w:pStyle w:val="ParaNum"/>
              <w:numPr>
                <w:ilvl w:val="0"/>
                <w:numId w:val="0"/>
              </w:numPr>
              <w:tabs>
                <w:tab w:val="left" w:pos="720"/>
              </w:tabs>
              <w:spacing w:after="0"/>
              <w:rPr>
                <w:szCs w:val="22"/>
              </w:rPr>
            </w:pPr>
            <w:r>
              <w:rPr>
                <w:szCs w:val="22"/>
              </w:rPr>
              <w:t>BTC(DTL)‐20190304AED</w:t>
            </w:r>
          </w:p>
        </w:tc>
      </w:tr>
      <w:tr w14:paraId="1693FAA3"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5625E565" w14:textId="77777777">
            <w:pPr>
              <w:autoSpaceDE w:val="0"/>
              <w:autoSpaceDN w:val="0"/>
              <w:adjustRightInd w:val="0"/>
              <w:rPr>
                <w:szCs w:val="22"/>
              </w:rPr>
            </w:pPr>
            <w:r>
              <w:rPr>
                <w:szCs w:val="22"/>
              </w:rPr>
              <w:t>K19AU-D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06DE3CBF" w14:textId="77777777">
            <w:pPr>
              <w:pStyle w:val="ParaNum"/>
              <w:numPr>
                <w:ilvl w:val="0"/>
                <w:numId w:val="0"/>
              </w:numPr>
              <w:tabs>
                <w:tab w:val="left" w:pos="720"/>
              </w:tabs>
              <w:spacing w:after="0"/>
              <w:rPr>
                <w:szCs w:val="22"/>
              </w:rPr>
            </w:pPr>
            <w:r>
              <w:rPr>
                <w:szCs w:val="22"/>
              </w:rPr>
              <w:t>58687</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16CD11D4" w14:textId="77777777">
            <w:pPr>
              <w:pStyle w:val="ParaNum"/>
              <w:numPr>
                <w:ilvl w:val="0"/>
                <w:numId w:val="0"/>
              </w:numPr>
              <w:tabs>
                <w:tab w:val="left" w:pos="720"/>
              </w:tabs>
              <w:spacing w:after="0"/>
              <w:ind w:hanging="17"/>
              <w:rPr>
                <w:szCs w:val="22"/>
              </w:rPr>
            </w:pPr>
            <w:r>
              <w:rPr>
                <w:szCs w:val="22"/>
              </w:rPr>
              <w:t>Omak, Okanogan, etc. WA</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5431AC75" w14:textId="77777777">
            <w:pPr>
              <w:pStyle w:val="ParaNum"/>
              <w:numPr>
                <w:ilvl w:val="0"/>
                <w:numId w:val="0"/>
              </w:numPr>
              <w:tabs>
                <w:tab w:val="left" w:pos="720"/>
              </w:tabs>
              <w:spacing w:after="0"/>
              <w:ind w:hanging="17"/>
              <w:rPr>
                <w:szCs w:val="22"/>
              </w:rPr>
            </w:pPr>
            <w:r>
              <w:rPr>
                <w:szCs w:val="22"/>
              </w:rPr>
              <w:t>Mountain Licenses, L.P.</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10B1F86C" w14:textId="77777777">
            <w:pPr>
              <w:pStyle w:val="ParaNum"/>
              <w:numPr>
                <w:ilvl w:val="0"/>
                <w:numId w:val="0"/>
              </w:numPr>
              <w:tabs>
                <w:tab w:val="left" w:pos="720"/>
              </w:tabs>
              <w:spacing w:after="0"/>
              <w:rPr>
                <w:szCs w:val="22"/>
              </w:rPr>
            </w:pPr>
            <w:r>
              <w:rPr>
                <w:szCs w:val="22"/>
              </w:rPr>
              <w:t>BTC(DTL)‐20190304ADX</w:t>
            </w:r>
          </w:p>
        </w:tc>
      </w:tr>
      <w:tr w14:paraId="57BA0DC1"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460309EB" w14:textId="77777777">
            <w:pPr>
              <w:autoSpaceDE w:val="0"/>
              <w:autoSpaceDN w:val="0"/>
              <w:adjustRightInd w:val="0"/>
              <w:rPr>
                <w:szCs w:val="22"/>
              </w:rPr>
            </w:pPr>
            <w:r>
              <w:rPr>
                <w:szCs w:val="22"/>
              </w:rPr>
              <w:t>K19BY-D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7DA059E1" w14:textId="77777777">
            <w:pPr>
              <w:pStyle w:val="ParaNum"/>
              <w:numPr>
                <w:ilvl w:val="0"/>
                <w:numId w:val="0"/>
              </w:numPr>
              <w:tabs>
                <w:tab w:val="left" w:pos="720"/>
              </w:tabs>
              <w:spacing w:after="0"/>
              <w:rPr>
                <w:szCs w:val="22"/>
              </w:rPr>
            </w:pPr>
            <w:r>
              <w:rPr>
                <w:szCs w:val="22"/>
              </w:rPr>
              <w:t>58696</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0BA500F5" w14:textId="77777777">
            <w:pPr>
              <w:pStyle w:val="ParaNum"/>
              <w:numPr>
                <w:ilvl w:val="0"/>
                <w:numId w:val="0"/>
              </w:numPr>
              <w:tabs>
                <w:tab w:val="left" w:pos="720"/>
              </w:tabs>
              <w:spacing w:after="0"/>
              <w:ind w:hanging="17"/>
              <w:rPr>
                <w:szCs w:val="22"/>
              </w:rPr>
            </w:pPr>
            <w:r>
              <w:rPr>
                <w:szCs w:val="22"/>
              </w:rPr>
              <w:t>Grangeville, ID</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54225FFD" w14:textId="77777777">
            <w:pPr>
              <w:pStyle w:val="ParaNum"/>
              <w:numPr>
                <w:ilvl w:val="0"/>
                <w:numId w:val="0"/>
              </w:numPr>
              <w:tabs>
                <w:tab w:val="left" w:pos="720"/>
              </w:tabs>
              <w:spacing w:after="0"/>
              <w:ind w:hanging="17"/>
              <w:rPr>
                <w:szCs w:val="22"/>
              </w:rPr>
            </w:pPr>
            <w:r>
              <w:rPr>
                <w:szCs w:val="22"/>
              </w:rPr>
              <w:t>Mountain Licenses, L.P.</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45C95476" w14:textId="77777777">
            <w:pPr>
              <w:pStyle w:val="ParaNum"/>
              <w:numPr>
                <w:ilvl w:val="0"/>
                <w:numId w:val="0"/>
              </w:numPr>
              <w:tabs>
                <w:tab w:val="left" w:pos="720"/>
              </w:tabs>
              <w:spacing w:after="0"/>
              <w:rPr>
                <w:szCs w:val="22"/>
              </w:rPr>
            </w:pPr>
            <w:r>
              <w:rPr>
                <w:szCs w:val="22"/>
              </w:rPr>
              <w:t>BTC(DTL)‐20190305AAR</w:t>
            </w:r>
          </w:p>
        </w:tc>
      </w:tr>
      <w:tr w14:paraId="787CD815"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17AE8B9E" w14:textId="77777777">
            <w:pPr>
              <w:autoSpaceDE w:val="0"/>
              <w:autoSpaceDN w:val="0"/>
              <w:adjustRightInd w:val="0"/>
              <w:rPr>
                <w:szCs w:val="22"/>
              </w:rPr>
            </w:pPr>
            <w:r>
              <w:rPr>
                <w:szCs w:val="22"/>
              </w:rPr>
              <w:t>K31AH-D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1E2EF275" w14:textId="77777777">
            <w:pPr>
              <w:pStyle w:val="ParaNum"/>
              <w:numPr>
                <w:ilvl w:val="0"/>
                <w:numId w:val="0"/>
              </w:numPr>
              <w:tabs>
                <w:tab w:val="left" w:pos="720"/>
              </w:tabs>
              <w:spacing w:after="0"/>
              <w:rPr>
                <w:szCs w:val="22"/>
              </w:rPr>
            </w:pPr>
            <w:r>
              <w:rPr>
                <w:szCs w:val="22"/>
              </w:rPr>
              <w:t>58689</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0A1845FA" w14:textId="77777777">
            <w:pPr>
              <w:pStyle w:val="ParaNum"/>
              <w:numPr>
                <w:ilvl w:val="0"/>
                <w:numId w:val="0"/>
              </w:numPr>
              <w:tabs>
                <w:tab w:val="left" w:pos="720"/>
              </w:tabs>
              <w:spacing w:after="0"/>
              <w:ind w:hanging="17"/>
              <w:rPr>
                <w:szCs w:val="22"/>
              </w:rPr>
            </w:pPr>
            <w:r>
              <w:rPr>
                <w:szCs w:val="22"/>
              </w:rPr>
              <w:t>Omak, etc. WA</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604148A2" w14:textId="77777777">
            <w:pPr>
              <w:pStyle w:val="ParaNum"/>
              <w:numPr>
                <w:ilvl w:val="0"/>
                <w:numId w:val="0"/>
              </w:numPr>
              <w:tabs>
                <w:tab w:val="left" w:pos="720"/>
              </w:tabs>
              <w:spacing w:after="0"/>
              <w:ind w:hanging="17"/>
              <w:rPr>
                <w:szCs w:val="22"/>
              </w:rPr>
            </w:pPr>
            <w:r>
              <w:rPr>
                <w:szCs w:val="22"/>
              </w:rPr>
              <w:t>Mountain Licenses, L.P.</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438C4D43" w14:textId="77777777">
            <w:pPr>
              <w:pStyle w:val="ParaNum"/>
              <w:numPr>
                <w:ilvl w:val="0"/>
                <w:numId w:val="0"/>
              </w:numPr>
              <w:tabs>
                <w:tab w:val="left" w:pos="720"/>
              </w:tabs>
              <w:spacing w:after="0"/>
              <w:rPr>
                <w:szCs w:val="22"/>
              </w:rPr>
            </w:pPr>
            <w:r>
              <w:rPr>
                <w:szCs w:val="22"/>
              </w:rPr>
              <w:t>BTC(DTL)‐20190304ADY</w:t>
            </w:r>
          </w:p>
        </w:tc>
      </w:tr>
      <w:tr w14:paraId="505EA5F9"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687A882D" w14:textId="77777777">
            <w:pPr>
              <w:autoSpaceDE w:val="0"/>
              <w:autoSpaceDN w:val="0"/>
              <w:adjustRightInd w:val="0"/>
              <w:rPr>
                <w:szCs w:val="22"/>
              </w:rPr>
            </w:pPr>
            <w:r>
              <w:rPr>
                <w:szCs w:val="22"/>
              </w:rPr>
              <w:t>K33LW-D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3FC70B93" w14:textId="77777777">
            <w:pPr>
              <w:pStyle w:val="ParaNum"/>
              <w:numPr>
                <w:ilvl w:val="0"/>
                <w:numId w:val="0"/>
              </w:numPr>
              <w:tabs>
                <w:tab w:val="left" w:pos="720"/>
              </w:tabs>
              <w:spacing w:after="0"/>
              <w:rPr>
                <w:szCs w:val="22"/>
              </w:rPr>
            </w:pPr>
            <w:r>
              <w:rPr>
                <w:szCs w:val="22"/>
              </w:rPr>
              <w:t>189692</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5213EF73" w14:textId="77777777">
            <w:pPr>
              <w:pStyle w:val="ParaNum"/>
              <w:numPr>
                <w:ilvl w:val="0"/>
                <w:numId w:val="0"/>
              </w:numPr>
              <w:tabs>
                <w:tab w:val="left" w:pos="720"/>
              </w:tabs>
              <w:spacing w:after="0"/>
              <w:ind w:hanging="17"/>
              <w:rPr>
                <w:szCs w:val="22"/>
              </w:rPr>
            </w:pPr>
            <w:r>
              <w:rPr>
                <w:szCs w:val="22"/>
              </w:rPr>
              <w:t>Sandpoint, ID</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61D601F1" w14:textId="77777777">
            <w:pPr>
              <w:pStyle w:val="ParaNum"/>
              <w:numPr>
                <w:ilvl w:val="0"/>
                <w:numId w:val="0"/>
              </w:numPr>
              <w:tabs>
                <w:tab w:val="left" w:pos="720"/>
              </w:tabs>
              <w:spacing w:after="0"/>
              <w:ind w:hanging="17"/>
              <w:rPr>
                <w:szCs w:val="22"/>
              </w:rPr>
            </w:pPr>
            <w:r>
              <w:rPr>
                <w:szCs w:val="22"/>
              </w:rPr>
              <w:t>Mountain Licenses, L.P.</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6A155B5B" w14:textId="77777777">
            <w:pPr>
              <w:pStyle w:val="ParaNum"/>
              <w:numPr>
                <w:ilvl w:val="0"/>
                <w:numId w:val="0"/>
              </w:numPr>
              <w:tabs>
                <w:tab w:val="left" w:pos="720"/>
              </w:tabs>
              <w:spacing w:after="0"/>
              <w:rPr>
                <w:szCs w:val="22"/>
              </w:rPr>
            </w:pPr>
            <w:r>
              <w:rPr>
                <w:szCs w:val="22"/>
              </w:rPr>
              <w:t>BTC(DTL)‐20190304AEG</w:t>
            </w:r>
          </w:p>
        </w:tc>
      </w:tr>
      <w:tr w14:paraId="1D6CC776"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5A121B38" w14:textId="77777777">
            <w:pPr>
              <w:autoSpaceDE w:val="0"/>
              <w:autoSpaceDN w:val="0"/>
              <w:adjustRightInd w:val="0"/>
              <w:rPr>
                <w:szCs w:val="22"/>
              </w:rPr>
            </w:pPr>
            <w:r>
              <w:rPr>
                <w:szCs w:val="22"/>
              </w:rPr>
              <w:t>K35BJ</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03AB246A" w14:textId="77777777">
            <w:pPr>
              <w:pStyle w:val="ParaNum"/>
              <w:numPr>
                <w:ilvl w:val="0"/>
                <w:numId w:val="0"/>
              </w:numPr>
              <w:tabs>
                <w:tab w:val="left" w:pos="720"/>
              </w:tabs>
              <w:spacing w:after="0"/>
              <w:rPr>
                <w:szCs w:val="22"/>
              </w:rPr>
            </w:pPr>
            <w:r>
              <w:rPr>
                <w:szCs w:val="22"/>
              </w:rPr>
              <w:t>58693</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57A0ADA7" w14:textId="77777777">
            <w:pPr>
              <w:pStyle w:val="ParaNum"/>
              <w:numPr>
                <w:ilvl w:val="0"/>
                <w:numId w:val="0"/>
              </w:numPr>
              <w:tabs>
                <w:tab w:val="left" w:pos="720"/>
              </w:tabs>
              <w:spacing w:after="0"/>
              <w:ind w:hanging="17"/>
              <w:rPr>
                <w:szCs w:val="22"/>
              </w:rPr>
            </w:pPr>
            <w:r>
              <w:rPr>
                <w:szCs w:val="22"/>
              </w:rPr>
              <w:t>Ellisford, etc. WA</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4A32D3E2" w14:textId="77777777">
            <w:pPr>
              <w:pStyle w:val="ParaNum"/>
              <w:numPr>
                <w:ilvl w:val="0"/>
                <w:numId w:val="0"/>
              </w:numPr>
              <w:tabs>
                <w:tab w:val="left" w:pos="720"/>
              </w:tabs>
              <w:spacing w:after="0"/>
              <w:ind w:hanging="17"/>
              <w:rPr>
                <w:szCs w:val="22"/>
              </w:rPr>
            </w:pPr>
            <w:r>
              <w:rPr>
                <w:szCs w:val="22"/>
              </w:rPr>
              <w:t>Mountain Licenses, L.P.</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1AF75461" w14:textId="77777777">
            <w:pPr>
              <w:pStyle w:val="ParaNum"/>
              <w:numPr>
                <w:ilvl w:val="0"/>
                <w:numId w:val="0"/>
              </w:numPr>
              <w:tabs>
                <w:tab w:val="left" w:pos="720"/>
              </w:tabs>
              <w:spacing w:after="0"/>
              <w:rPr>
                <w:szCs w:val="22"/>
              </w:rPr>
            </w:pPr>
            <w:r>
              <w:rPr>
                <w:szCs w:val="22"/>
              </w:rPr>
              <w:t>BTC(DTL)‐20190304AEA</w:t>
            </w:r>
          </w:p>
        </w:tc>
      </w:tr>
      <w:tr w14:paraId="23B727F7"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712CB283" w14:textId="77777777">
            <w:pPr>
              <w:autoSpaceDE w:val="0"/>
              <w:autoSpaceDN w:val="0"/>
              <w:adjustRightInd w:val="0"/>
              <w:rPr>
                <w:szCs w:val="22"/>
              </w:rPr>
            </w:pPr>
            <w:r>
              <w:rPr>
                <w:szCs w:val="22"/>
              </w:rPr>
              <w:t>K44CK</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5AC931B7" w14:textId="77777777">
            <w:pPr>
              <w:pStyle w:val="ParaNum"/>
              <w:numPr>
                <w:ilvl w:val="0"/>
                <w:numId w:val="0"/>
              </w:numPr>
              <w:tabs>
                <w:tab w:val="left" w:pos="720"/>
              </w:tabs>
              <w:spacing w:after="0"/>
              <w:rPr>
                <w:szCs w:val="22"/>
              </w:rPr>
            </w:pPr>
            <w:r>
              <w:rPr>
                <w:szCs w:val="22"/>
              </w:rPr>
              <w:t>58692</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7385297F" w14:textId="77777777">
            <w:pPr>
              <w:pStyle w:val="ParaNum"/>
              <w:numPr>
                <w:ilvl w:val="0"/>
                <w:numId w:val="0"/>
              </w:numPr>
              <w:tabs>
                <w:tab w:val="left" w:pos="720"/>
              </w:tabs>
              <w:spacing w:after="0"/>
              <w:ind w:hanging="17"/>
              <w:rPr>
                <w:szCs w:val="22"/>
              </w:rPr>
            </w:pPr>
            <w:r>
              <w:rPr>
                <w:szCs w:val="22"/>
              </w:rPr>
              <w:t>Chelan, WA</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5695DC2E" w14:textId="77777777">
            <w:pPr>
              <w:pStyle w:val="ParaNum"/>
              <w:numPr>
                <w:ilvl w:val="0"/>
                <w:numId w:val="0"/>
              </w:numPr>
              <w:tabs>
                <w:tab w:val="left" w:pos="720"/>
              </w:tabs>
              <w:spacing w:after="0"/>
              <w:ind w:hanging="17"/>
              <w:rPr>
                <w:szCs w:val="22"/>
              </w:rPr>
            </w:pPr>
            <w:r>
              <w:rPr>
                <w:szCs w:val="22"/>
              </w:rPr>
              <w:t>Mountain Licenses, L.P.</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4E2CB20B" w14:textId="77777777">
            <w:pPr>
              <w:pStyle w:val="ParaNum"/>
              <w:numPr>
                <w:ilvl w:val="0"/>
                <w:numId w:val="0"/>
              </w:numPr>
              <w:tabs>
                <w:tab w:val="left" w:pos="720"/>
              </w:tabs>
              <w:spacing w:after="0"/>
              <w:rPr>
                <w:szCs w:val="22"/>
              </w:rPr>
            </w:pPr>
            <w:r>
              <w:rPr>
                <w:szCs w:val="22"/>
              </w:rPr>
              <w:t>BTC(DTL)‐20190304AEE</w:t>
            </w:r>
          </w:p>
        </w:tc>
      </w:tr>
      <w:tr w14:paraId="39DB3A49"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4484EBA6" w14:textId="77777777">
            <w:pPr>
              <w:autoSpaceDE w:val="0"/>
              <w:autoSpaceDN w:val="0"/>
              <w:adjustRightInd w:val="0"/>
              <w:rPr>
                <w:szCs w:val="22"/>
              </w:rPr>
            </w:pPr>
            <w:r>
              <w:rPr>
                <w:szCs w:val="22"/>
              </w:rPr>
              <w:t>K46KE-D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3A510CA2" w14:textId="77777777">
            <w:pPr>
              <w:pStyle w:val="ParaNum"/>
              <w:numPr>
                <w:ilvl w:val="0"/>
                <w:numId w:val="0"/>
              </w:numPr>
              <w:tabs>
                <w:tab w:val="left" w:pos="720"/>
              </w:tabs>
              <w:spacing w:after="0"/>
              <w:rPr>
                <w:szCs w:val="22"/>
              </w:rPr>
            </w:pPr>
            <w:r>
              <w:rPr>
                <w:szCs w:val="22"/>
              </w:rPr>
              <w:t>168364</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525E67B6" w14:textId="77777777">
            <w:pPr>
              <w:pStyle w:val="ParaNum"/>
              <w:numPr>
                <w:ilvl w:val="0"/>
                <w:numId w:val="0"/>
              </w:numPr>
              <w:tabs>
                <w:tab w:val="left" w:pos="720"/>
              </w:tabs>
              <w:spacing w:after="0"/>
              <w:ind w:hanging="17"/>
              <w:rPr>
                <w:szCs w:val="22"/>
              </w:rPr>
            </w:pPr>
            <w:r>
              <w:rPr>
                <w:szCs w:val="22"/>
              </w:rPr>
              <w:t>Coeur d’Alene, ID</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0ABD8830" w14:textId="77777777">
            <w:pPr>
              <w:pStyle w:val="ParaNum"/>
              <w:numPr>
                <w:ilvl w:val="0"/>
                <w:numId w:val="0"/>
              </w:numPr>
              <w:tabs>
                <w:tab w:val="left" w:pos="720"/>
              </w:tabs>
              <w:spacing w:after="0"/>
              <w:ind w:hanging="17"/>
              <w:rPr>
                <w:szCs w:val="22"/>
              </w:rPr>
            </w:pPr>
            <w:r>
              <w:rPr>
                <w:szCs w:val="22"/>
              </w:rPr>
              <w:t>Mountain Licenses, L.P.</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241E4F76" w14:textId="77777777">
            <w:pPr>
              <w:pStyle w:val="ParaNum"/>
              <w:numPr>
                <w:ilvl w:val="0"/>
                <w:numId w:val="0"/>
              </w:numPr>
              <w:tabs>
                <w:tab w:val="left" w:pos="720"/>
              </w:tabs>
              <w:spacing w:after="0"/>
              <w:rPr>
                <w:szCs w:val="22"/>
              </w:rPr>
            </w:pPr>
            <w:r>
              <w:rPr>
                <w:szCs w:val="22"/>
              </w:rPr>
              <w:t>BTC(DTL)‐20190304AEC</w:t>
            </w:r>
          </w:p>
        </w:tc>
      </w:tr>
      <w:tr w14:paraId="113DA9FD"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2A57C2E2" w14:textId="77777777">
            <w:pPr>
              <w:autoSpaceDE w:val="0"/>
              <w:autoSpaceDN w:val="0"/>
              <w:adjustRightInd w:val="0"/>
              <w:rPr>
                <w:szCs w:val="22"/>
              </w:rPr>
            </w:pPr>
            <w:r>
              <w:rPr>
                <w:szCs w:val="22"/>
              </w:rPr>
              <w:t>KFFX-TV</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03DC3312" w14:textId="77777777">
            <w:pPr>
              <w:pStyle w:val="ParaNum"/>
              <w:numPr>
                <w:ilvl w:val="0"/>
                <w:numId w:val="0"/>
              </w:numPr>
              <w:tabs>
                <w:tab w:val="left" w:pos="720"/>
              </w:tabs>
              <w:spacing w:after="0"/>
              <w:rPr>
                <w:szCs w:val="22"/>
              </w:rPr>
            </w:pPr>
            <w:r>
              <w:rPr>
                <w:szCs w:val="22"/>
              </w:rPr>
              <w:t>12729</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319FDA49" w14:textId="77777777">
            <w:pPr>
              <w:pStyle w:val="ParaNum"/>
              <w:numPr>
                <w:ilvl w:val="0"/>
                <w:numId w:val="0"/>
              </w:numPr>
              <w:tabs>
                <w:tab w:val="left" w:pos="720"/>
              </w:tabs>
              <w:spacing w:after="0"/>
              <w:ind w:hanging="17"/>
              <w:rPr>
                <w:szCs w:val="22"/>
              </w:rPr>
            </w:pPr>
            <w:r>
              <w:rPr>
                <w:szCs w:val="22"/>
              </w:rPr>
              <w:t>Pendleton, OR</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5C85E474" w14:textId="77777777">
            <w:pPr>
              <w:pStyle w:val="ParaNum"/>
              <w:numPr>
                <w:ilvl w:val="0"/>
                <w:numId w:val="0"/>
              </w:numPr>
              <w:tabs>
                <w:tab w:val="left" w:pos="720"/>
              </w:tabs>
              <w:spacing w:after="0"/>
              <w:ind w:hanging="17"/>
              <w:rPr>
                <w:szCs w:val="22"/>
              </w:rPr>
            </w:pPr>
            <w:r>
              <w:rPr>
                <w:szCs w:val="22"/>
              </w:rPr>
              <w:t>Mountain Licenses, L.P.</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179A305A" w14:textId="77777777">
            <w:pPr>
              <w:pStyle w:val="ParaNum"/>
              <w:numPr>
                <w:ilvl w:val="0"/>
                <w:numId w:val="0"/>
              </w:numPr>
              <w:tabs>
                <w:tab w:val="left" w:pos="720"/>
              </w:tabs>
              <w:spacing w:after="0"/>
              <w:rPr>
                <w:szCs w:val="22"/>
              </w:rPr>
            </w:pPr>
            <w:r>
              <w:rPr>
                <w:szCs w:val="22"/>
              </w:rPr>
              <w:t>BTC(DTL)‐20190304ADV</w:t>
            </w:r>
          </w:p>
        </w:tc>
      </w:tr>
      <w:tr w14:paraId="2F75C0C7"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05AF18B8" w14:textId="77777777">
            <w:pPr>
              <w:autoSpaceDE w:val="0"/>
              <w:autoSpaceDN w:val="0"/>
              <w:adjustRightInd w:val="0"/>
              <w:rPr>
                <w:szCs w:val="22"/>
              </w:rPr>
            </w:pPr>
            <w:r>
              <w:rPr>
                <w:szCs w:val="22"/>
              </w:rPr>
              <w:t>KBWU-LD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2953FB19" w14:textId="77777777">
            <w:pPr>
              <w:pStyle w:val="ParaNum"/>
              <w:numPr>
                <w:ilvl w:val="0"/>
                <w:numId w:val="0"/>
              </w:numPr>
              <w:tabs>
                <w:tab w:val="left" w:pos="720"/>
              </w:tabs>
              <w:spacing w:after="0"/>
              <w:rPr>
                <w:szCs w:val="22"/>
              </w:rPr>
            </w:pPr>
            <w:r>
              <w:rPr>
                <w:szCs w:val="22"/>
              </w:rPr>
              <w:t>58685</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15D4C706" w14:textId="77777777">
            <w:pPr>
              <w:pStyle w:val="ParaNum"/>
              <w:numPr>
                <w:ilvl w:val="0"/>
                <w:numId w:val="0"/>
              </w:numPr>
              <w:tabs>
                <w:tab w:val="left" w:pos="720"/>
              </w:tabs>
              <w:spacing w:after="0"/>
              <w:ind w:hanging="17"/>
              <w:rPr>
                <w:szCs w:val="22"/>
              </w:rPr>
            </w:pPr>
            <w:r>
              <w:rPr>
                <w:szCs w:val="22"/>
              </w:rPr>
              <w:t>Richland, etc. WA</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1EE3FBF6" w14:textId="77777777">
            <w:pPr>
              <w:pStyle w:val="ParaNum"/>
              <w:numPr>
                <w:ilvl w:val="0"/>
                <w:numId w:val="0"/>
              </w:numPr>
              <w:tabs>
                <w:tab w:val="left" w:pos="720"/>
              </w:tabs>
              <w:spacing w:after="0"/>
              <w:ind w:hanging="17"/>
              <w:rPr>
                <w:szCs w:val="22"/>
              </w:rPr>
            </w:pPr>
            <w:r>
              <w:rPr>
                <w:szCs w:val="22"/>
              </w:rPr>
              <w:t>Mountain Licenses, L.P.</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2B45CA7C" w14:textId="77777777">
            <w:pPr>
              <w:pStyle w:val="ParaNum"/>
              <w:numPr>
                <w:ilvl w:val="0"/>
                <w:numId w:val="0"/>
              </w:numPr>
              <w:tabs>
                <w:tab w:val="left" w:pos="720"/>
              </w:tabs>
              <w:spacing w:after="0"/>
              <w:rPr>
                <w:szCs w:val="22"/>
              </w:rPr>
            </w:pPr>
            <w:r>
              <w:rPr>
                <w:szCs w:val="22"/>
              </w:rPr>
              <w:t>BTC(DTL)‐20190304ADW</w:t>
            </w:r>
          </w:p>
        </w:tc>
      </w:tr>
      <w:tr w14:paraId="138E7D35"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537161F1" w14:textId="77777777">
            <w:pPr>
              <w:autoSpaceDE w:val="0"/>
              <w:autoSpaceDN w:val="0"/>
              <w:adjustRightInd w:val="0"/>
              <w:rPr>
                <w:szCs w:val="22"/>
              </w:rPr>
            </w:pPr>
            <w:r>
              <w:rPr>
                <w:szCs w:val="22"/>
              </w:rPr>
              <w:t>KCYU-LD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3FC7379D" w14:textId="77777777">
            <w:pPr>
              <w:pStyle w:val="ParaNum"/>
              <w:numPr>
                <w:ilvl w:val="0"/>
                <w:numId w:val="0"/>
              </w:numPr>
              <w:tabs>
                <w:tab w:val="left" w:pos="720"/>
              </w:tabs>
              <w:spacing w:after="0"/>
              <w:rPr>
                <w:szCs w:val="22"/>
              </w:rPr>
            </w:pPr>
            <w:r>
              <w:rPr>
                <w:szCs w:val="22"/>
              </w:rPr>
              <w:t>58694</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58AD4C70" w14:textId="77777777">
            <w:pPr>
              <w:pStyle w:val="ParaNum"/>
              <w:numPr>
                <w:ilvl w:val="0"/>
                <w:numId w:val="0"/>
              </w:numPr>
              <w:tabs>
                <w:tab w:val="left" w:pos="720"/>
              </w:tabs>
              <w:spacing w:after="0"/>
              <w:ind w:hanging="17"/>
              <w:rPr>
                <w:szCs w:val="22"/>
              </w:rPr>
            </w:pPr>
            <w:r>
              <w:rPr>
                <w:szCs w:val="22"/>
              </w:rPr>
              <w:t>Yakima, WA</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0B5A4CB1" w14:textId="77777777">
            <w:pPr>
              <w:pStyle w:val="ParaNum"/>
              <w:numPr>
                <w:ilvl w:val="0"/>
                <w:numId w:val="0"/>
              </w:numPr>
              <w:tabs>
                <w:tab w:val="left" w:pos="720"/>
              </w:tabs>
              <w:spacing w:after="0"/>
              <w:ind w:hanging="17"/>
              <w:rPr>
                <w:szCs w:val="22"/>
              </w:rPr>
            </w:pPr>
            <w:r>
              <w:rPr>
                <w:szCs w:val="22"/>
              </w:rPr>
              <w:t>Mountain Licenses, L.P.</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223CDA46" w14:textId="77777777">
            <w:pPr>
              <w:pStyle w:val="ParaNum"/>
              <w:numPr>
                <w:ilvl w:val="0"/>
                <w:numId w:val="0"/>
              </w:numPr>
              <w:tabs>
                <w:tab w:val="left" w:pos="720"/>
              </w:tabs>
              <w:spacing w:after="0"/>
              <w:rPr>
                <w:szCs w:val="22"/>
              </w:rPr>
            </w:pPr>
            <w:r>
              <w:rPr>
                <w:szCs w:val="22"/>
              </w:rPr>
              <w:t>BTC(DTL)‐20190304AEB</w:t>
            </w:r>
          </w:p>
        </w:tc>
      </w:tr>
      <w:tr w14:paraId="4912A71E"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5C66228F" w14:textId="77777777">
            <w:pPr>
              <w:autoSpaceDE w:val="0"/>
              <w:autoSpaceDN w:val="0"/>
              <w:adjustRightInd w:val="0"/>
              <w:rPr>
                <w:szCs w:val="22"/>
              </w:rPr>
            </w:pPr>
            <w:r>
              <w:rPr>
                <w:szCs w:val="22"/>
              </w:rPr>
              <w:t>K34MZ-D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5548ACA7" w14:textId="77777777">
            <w:pPr>
              <w:pStyle w:val="ParaNum"/>
              <w:numPr>
                <w:ilvl w:val="0"/>
                <w:numId w:val="0"/>
              </w:numPr>
              <w:tabs>
                <w:tab w:val="left" w:pos="720"/>
              </w:tabs>
              <w:spacing w:after="0"/>
              <w:rPr>
                <w:szCs w:val="22"/>
              </w:rPr>
            </w:pPr>
            <w:r>
              <w:rPr>
                <w:szCs w:val="22"/>
              </w:rPr>
              <w:t>58695</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6014614D" w14:textId="77777777">
            <w:pPr>
              <w:pStyle w:val="ParaNum"/>
              <w:numPr>
                <w:ilvl w:val="0"/>
                <w:numId w:val="0"/>
              </w:numPr>
              <w:tabs>
                <w:tab w:val="left" w:pos="720"/>
              </w:tabs>
              <w:spacing w:after="0"/>
              <w:ind w:hanging="17"/>
              <w:rPr>
                <w:szCs w:val="22"/>
              </w:rPr>
            </w:pPr>
            <w:r>
              <w:rPr>
                <w:szCs w:val="22"/>
              </w:rPr>
              <w:t>Prosser, WA</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08E5B0A0" w14:textId="77777777">
            <w:pPr>
              <w:pStyle w:val="ParaNum"/>
              <w:numPr>
                <w:ilvl w:val="0"/>
                <w:numId w:val="0"/>
              </w:numPr>
              <w:tabs>
                <w:tab w:val="left" w:pos="720"/>
              </w:tabs>
              <w:spacing w:after="0"/>
              <w:ind w:hanging="17"/>
              <w:rPr>
                <w:szCs w:val="22"/>
              </w:rPr>
            </w:pPr>
            <w:r>
              <w:rPr>
                <w:szCs w:val="22"/>
              </w:rPr>
              <w:t>Mountain Licenses, L.P.</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6EB5A1F2" w14:textId="77777777">
            <w:pPr>
              <w:pStyle w:val="ParaNum"/>
              <w:numPr>
                <w:ilvl w:val="0"/>
                <w:numId w:val="0"/>
              </w:numPr>
              <w:tabs>
                <w:tab w:val="left" w:pos="720"/>
              </w:tabs>
              <w:spacing w:after="0"/>
              <w:rPr>
                <w:szCs w:val="22"/>
              </w:rPr>
            </w:pPr>
            <w:r>
              <w:rPr>
                <w:szCs w:val="22"/>
              </w:rPr>
              <w:t>BTC(DTL)‐20190304AEC</w:t>
            </w:r>
          </w:p>
        </w:tc>
      </w:tr>
      <w:tr w14:paraId="799E6EFB"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6BA1FA72" w14:textId="77777777">
            <w:pPr>
              <w:autoSpaceDE w:val="0"/>
              <w:autoSpaceDN w:val="0"/>
              <w:adjustRightInd w:val="0"/>
              <w:rPr>
                <w:szCs w:val="22"/>
              </w:rPr>
            </w:pPr>
            <w:r>
              <w:rPr>
                <w:szCs w:val="22"/>
              </w:rPr>
              <w:t>KMVU-DT</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4011CB5E" w14:textId="77777777">
            <w:pPr>
              <w:pStyle w:val="ParaNum"/>
              <w:numPr>
                <w:ilvl w:val="0"/>
                <w:numId w:val="0"/>
              </w:numPr>
              <w:tabs>
                <w:tab w:val="left" w:pos="720"/>
              </w:tabs>
              <w:spacing w:after="0"/>
              <w:rPr>
                <w:szCs w:val="22"/>
              </w:rPr>
            </w:pPr>
            <w:r>
              <w:rPr>
                <w:szCs w:val="22"/>
              </w:rPr>
              <w:t>32958</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05B3BAFB" w14:textId="77777777">
            <w:pPr>
              <w:pStyle w:val="ParaNum"/>
              <w:numPr>
                <w:ilvl w:val="0"/>
                <w:numId w:val="0"/>
              </w:numPr>
              <w:tabs>
                <w:tab w:val="left" w:pos="720"/>
              </w:tabs>
              <w:spacing w:after="0"/>
              <w:ind w:hanging="17"/>
              <w:rPr>
                <w:szCs w:val="22"/>
              </w:rPr>
            </w:pPr>
            <w:r>
              <w:rPr>
                <w:szCs w:val="22"/>
              </w:rPr>
              <w:t>Medford, OR</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5B18DCE3" w14:textId="77777777">
            <w:pPr>
              <w:pStyle w:val="ParaNum"/>
              <w:numPr>
                <w:ilvl w:val="0"/>
                <w:numId w:val="0"/>
              </w:numPr>
              <w:tabs>
                <w:tab w:val="left" w:pos="720"/>
              </w:tabs>
              <w:spacing w:after="0"/>
              <w:ind w:hanging="17"/>
              <w:rPr>
                <w:szCs w:val="22"/>
              </w:rPr>
            </w:pPr>
            <w:r>
              <w:rPr>
                <w:szCs w:val="22"/>
              </w:rPr>
              <w:t>Broadcasting Licenses, L.P.</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63DEE906" w14:textId="77777777">
            <w:pPr>
              <w:pStyle w:val="ParaNum"/>
              <w:numPr>
                <w:ilvl w:val="0"/>
                <w:numId w:val="0"/>
              </w:numPr>
              <w:tabs>
                <w:tab w:val="left" w:pos="720"/>
              </w:tabs>
              <w:spacing w:after="0"/>
              <w:rPr>
                <w:szCs w:val="22"/>
              </w:rPr>
            </w:pPr>
            <w:r>
              <w:rPr>
                <w:szCs w:val="22"/>
              </w:rPr>
              <w:t>BTC(DTL)‐20190304ABX</w:t>
            </w:r>
          </w:p>
        </w:tc>
      </w:tr>
      <w:tr w14:paraId="2E60A1A6"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4E14914A" w14:textId="77777777">
            <w:pPr>
              <w:autoSpaceDE w:val="0"/>
              <w:autoSpaceDN w:val="0"/>
              <w:adjustRightInd w:val="0"/>
              <w:rPr>
                <w:szCs w:val="22"/>
              </w:rPr>
            </w:pPr>
            <w:r>
              <w:rPr>
                <w:szCs w:val="22"/>
              </w:rPr>
              <w:t>K31GP-D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06169256" w14:textId="77777777">
            <w:pPr>
              <w:pStyle w:val="ParaNum"/>
              <w:numPr>
                <w:ilvl w:val="0"/>
                <w:numId w:val="0"/>
              </w:numPr>
              <w:tabs>
                <w:tab w:val="left" w:pos="720"/>
              </w:tabs>
              <w:spacing w:after="0"/>
              <w:rPr>
                <w:szCs w:val="22"/>
              </w:rPr>
            </w:pPr>
            <w:r>
              <w:rPr>
                <w:szCs w:val="22"/>
              </w:rPr>
              <w:t>130825</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2AF8A78A" w14:textId="77777777">
            <w:pPr>
              <w:pStyle w:val="ParaNum"/>
              <w:numPr>
                <w:ilvl w:val="0"/>
                <w:numId w:val="0"/>
              </w:numPr>
              <w:tabs>
                <w:tab w:val="left" w:pos="720"/>
              </w:tabs>
              <w:spacing w:after="0"/>
              <w:ind w:hanging="17"/>
              <w:rPr>
                <w:szCs w:val="22"/>
              </w:rPr>
            </w:pPr>
            <w:r>
              <w:rPr>
                <w:szCs w:val="22"/>
              </w:rPr>
              <w:t>Brookings, etc. OR</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204018C0" w14:textId="77777777">
            <w:pPr>
              <w:pStyle w:val="ParaNum"/>
              <w:numPr>
                <w:ilvl w:val="0"/>
                <w:numId w:val="0"/>
              </w:numPr>
              <w:tabs>
                <w:tab w:val="left" w:pos="720"/>
              </w:tabs>
              <w:spacing w:after="0"/>
              <w:ind w:hanging="17"/>
              <w:rPr>
                <w:szCs w:val="22"/>
              </w:rPr>
            </w:pPr>
            <w:r>
              <w:rPr>
                <w:szCs w:val="22"/>
              </w:rPr>
              <w:t>Broadcasting Licenses, L.P.</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56023964" w14:textId="77777777">
            <w:pPr>
              <w:pStyle w:val="ParaNum"/>
              <w:numPr>
                <w:ilvl w:val="0"/>
                <w:numId w:val="0"/>
              </w:numPr>
              <w:tabs>
                <w:tab w:val="left" w:pos="720"/>
              </w:tabs>
              <w:spacing w:after="0"/>
              <w:rPr>
                <w:szCs w:val="22"/>
              </w:rPr>
            </w:pPr>
            <w:r>
              <w:rPr>
                <w:szCs w:val="22"/>
              </w:rPr>
              <w:t>BTC(DTL)‐20190304ACA</w:t>
            </w:r>
          </w:p>
        </w:tc>
      </w:tr>
      <w:tr w14:paraId="71FBBDC7"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4C261B7F" w14:textId="77777777">
            <w:pPr>
              <w:autoSpaceDE w:val="0"/>
              <w:autoSpaceDN w:val="0"/>
              <w:adjustRightInd w:val="0"/>
              <w:rPr>
                <w:szCs w:val="22"/>
              </w:rPr>
            </w:pPr>
            <w:r>
              <w:rPr>
                <w:szCs w:val="22"/>
              </w:rPr>
              <w:t>K32LQ-D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6CF9A7D5" w14:textId="77777777">
            <w:pPr>
              <w:pStyle w:val="ParaNum"/>
              <w:numPr>
                <w:ilvl w:val="0"/>
                <w:numId w:val="0"/>
              </w:numPr>
              <w:tabs>
                <w:tab w:val="left" w:pos="720"/>
              </w:tabs>
              <w:spacing w:after="0"/>
              <w:rPr>
                <w:szCs w:val="22"/>
              </w:rPr>
            </w:pPr>
            <w:r>
              <w:rPr>
                <w:szCs w:val="22"/>
              </w:rPr>
              <w:t>130086</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40A88845" w14:textId="77777777">
            <w:pPr>
              <w:pStyle w:val="ParaNum"/>
              <w:numPr>
                <w:ilvl w:val="0"/>
                <w:numId w:val="0"/>
              </w:numPr>
              <w:tabs>
                <w:tab w:val="left" w:pos="720"/>
              </w:tabs>
              <w:spacing w:after="0"/>
              <w:ind w:hanging="17"/>
              <w:rPr>
                <w:szCs w:val="22"/>
              </w:rPr>
            </w:pPr>
            <w:r>
              <w:rPr>
                <w:szCs w:val="22"/>
              </w:rPr>
              <w:t>Yreka, CA</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1C809C81" w14:textId="77777777">
            <w:pPr>
              <w:pStyle w:val="ParaNum"/>
              <w:numPr>
                <w:ilvl w:val="0"/>
                <w:numId w:val="0"/>
              </w:numPr>
              <w:tabs>
                <w:tab w:val="left" w:pos="720"/>
              </w:tabs>
              <w:spacing w:after="0"/>
              <w:ind w:hanging="17"/>
              <w:rPr>
                <w:szCs w:val="22"/>
              </w:rPr>
            </w:pPr>
            <w:r>
              <w:rPr>
                <w:szCs w:val="22"/>
              </w:rPr>
              <w:t>Broadcasting Licenses, L.P.</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0D00C7C0" w14:textId="77777777">
            <w:pPr>
              <w:pStyle w:val="ParaNum"/>
              <w:numPr>
                <w:ilvl w:val="0"/>
                <w:numId w:val="0"/>
              </w:numPr>
              <w:tabs>
                <w:tab w:val="left" w:pos="720"/>
              </w:tabs>
              <w:spacing w:after="0"/>
              <w:rPr>
                <w:szCs w:val="22"/>
              </w:rPr>
            </w:pPr>
            <w:r>
              <w:rPr>
                <w:szCs w:val="22"/>
              </w:rPr>
              <w:t>BTC(DTL)‐20190304ACC</w:t>
            </w:r>
          </w:p>
        </w:tc>
      </w:tr>
      <w:tr w14:paraId="2E01C4A1"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61AC81DD" w14:textId="77777777">
            <w:pPr>
              <w:autoSpaceDE w:val="0"/>
              <w:autoSpaceDN w:val="0"/>
              <w:adjustRightInd w:val="0"/>
              <w:rPr>
                <w:szCs w:val="22"/>
              </w:rPr>
            </w:pPr>
            <w:r>
              <w:rPr>
                <w:szCs w:val="22"/>
              </w:rPr>
              <w:t>K44JB-D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31FEDDD1" w14:textId="77777777">
            <w:pPr>
              <w:pStyle w:val="ParaNum"/>
              <w:numPr>
                <w:ilvl w:val="0"/>
                <w:numId w:val="0"/>
              </w:numPr>
              <w:tabs>
                <w:tab w:val="left" w:pos="720"/>
              </w:tabs>
              <w:spacing w:after="0"/>
              <w:rPr>
                <w:szCs w:val="22"/>
              </w:rPr>
            </w:pPr>
            <w:r>
              <w:rPr>
                <w:szCs w:val="22"/>
              </w:rPr>
              <w:t>168366</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19906F4C" w14:textId="77777777">
            <w:pPr>
              <w:pStyle w:val="ParaNum"/>
              <w:numPr>
                <w:ilvl w:val="0"/>
                <w:numId w:val="0"/>
              </w:numPr>
              <w:tabs>
                <w:tab w:val="left" w:pos="720"/>
              </w:tabs>
              <w:spacing w:after="0"/>
              <w:ind w:hanging="17"/>
              <w:rPr>
                <w:szCs w:val="22"/>
              </w:rPr>
            </w:pPr>
            <w:r>
              <w:rPr>
                <w:szCs w:val="22"/>
              </w:rPr>
              <w:t>Grants Pass, OR</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550A7E51" w14:textId="77777777">
            <w:pPr>
              <w:pStyle w:val="ParaNum"/>
              <w:numPr>
                <w:ilvl w:val="0"/>
                <w:numId w:val="0"/>
              </w:numPr>
              <w:tabs>
                <w:tab w:val="left" w:pos="720"/>
              </w:tabs>
              <w:spacing w:after="0"/>
              <w:ind w:hanging="17"/>
              <w:rPr>
                <w:szCs w:val="22"/>
              </w:rPr>
            </w:pPr>
            <w:r>
              <w:rPr>
                <w:szCs w:val="22"/>
              </w:rPr>
              <w:t>Broadcasting Licenses, L.P.</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0E9CBCC0" w14:textId="77777777">
            <w:pPr>
              <w:pStyle w:val="ParaNum"/>
              <w:numPr>
                <w:ilvl w:val="0"/>
                <w:numId w:val="0"/>
              </w:numPr>
              <w:tabs>
                <w:tab w:val="left" w:pos="720"/>
              </w:tabs>
              <w:spacing w:after="0"/>
              <w:rPr>
                <w:szCs w:val="22"/>
              </w:rPr>
            </w:pPr>
            <w:r>
              <w:rPr>
                <w:szCs w:val="22"/>
              </w:rPr>
              <w:t>BTC(DTL)‐20190304ACB</w:t>
            </w:r>
          </w:p>
        </w:tc>
      </w:tr>
      <w:tr w14:paraId="70BA69AC"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14E114C8" w14:textId="77777777">
            <w:pPr>
              <w:autoSpaceDE w:val="0"/>
              <w:autoSpaceDN w:val="0"/>
              <w:adjustRightInd w:val="0"/>
              <w:rPr>
                <w:szCs w:val="22"/>
              </w:rPr>
            </w:pPr>
            <w:r>
              <w:rPr>
                <w:szCs w:val="22"/>
              </w:rPr>
              <w:t>KFBI-LD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19E6EA4A" w14:textId="77777777">
            <w:pPr>
              <w:pStyle w:val="ParaNum"/>
              <w:numPr>
                <w:ilvl w:val="0"/>
                <w:numId w:val="0"/>
              </w:numPr>
              <w:tabs>
                <w:tab w:val="left" w:pos="720"/>
              </w:tabs>
              <w:spacing w:after="0"/>
              <w:rPr>
                <w:szCs w:val="22"/>
              </w:rPr>
            </w:pPr>
            <w:r>
              <w:rPr>
                <w:szCs w:val="22"/>
              </w:rPr>
              <w:t>130106</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4AB6E41C" w14:textId="77777777">
            <w:pPr>
              <w:pStyle w:val="ParaNum"/>
              <w:numPr>
                <w:ilvl w:val="0"/>
                <w:numId w:val="0"/>
              </w:numPr>
              <w:tabs>
                <w:tab w:val="left" w:pos="720"/>
              </w:tabs>
              <w:spacing w:after="0"/>
              <w:ind w:hanging="17"/>
              <w:rPr>
                <w:szCs w:val="22"/>
              </w:rPr>
            </w:pPr>
            <w:r>
              <w:rPr>
                <w:szCs w:val="22"/>
              </w:rPr>
              <w:t>Medford, OR</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6559EE18" w14:textId="77777777">
            <w:pPr>
              <w:pStyle w:val="ParaNum"/>
              <w:numPr>
                <w:ilvl w:val="0"/>
                <w:numId w:val="0"/>
              </w:numPr>
              <w:tabs>
                <w:tab w:val="left" w:pos="720"/>
              </w:tabs>
              <w:spacing w:after="0"/>
              <w:ind w:hanging="17"/>
              <w:rPr>
                <w:szCs w:val="22"/>
              </w:rPr>
            </w:pPr>
            <w:r>
              <w:rPr>
                <w:szCs w:val="22"/>
              </w:rPr>
              <w:t>Broadcasting Licenses, L.P.</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46100C73" w14:textId="77777777">
            <w:pPr>
              <w:pStyle w:val="ParaNum"/>
              <w:numPr>
                <w:ilvl w:val="0"/>
                <w:numId w:val="0"/>
              </w:numPr>
              <w:tabs>
                <w:tab w:val="left" w:pos="720"/>
              </w:tabs>
              <w:spacing w:after="0"/>
              <w:rPr>
                <w:szCs w:val="22"/>
              </w:rPr>
            </w:pPr>
            <w:r>
              <w:rPr>
                <w:szCs w:val="22"/>
              </w:rPr>
              <w:t>BTC(DTL)‐20190304ABZ</w:t>
            </w:r>
          </w:p>
        </w:tc>
      </w:tr>
      <w:tr w14:paraId="22D6F04E"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3A74D9C8" w14:textId="77777777">
            <w:pPr>
              <w:autoSpaceDE w:val="0"/>
              <w:autoSpaceDN w:val="0"/>
              <w:adjustRightInd w:val="0"/>
              <w:rPr>
                <w:szCs w:val="22"/>
              </w:rPr>
            </w:pPr>
            <w:r>
              <w:rPr>
                <w:szCs w:val="22"/>
              </w:rPr>
              <w:t>K26NB-D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2FD38F85" w14:textId="77777777">
            <w:pPr>
              <w:pStyle w:val="ParaNum"/>
              <w:numPr>
                <w:ilvl w:val="0"/>
                <w:numId w:val="0"/>
              </w:numPr>
              <w:tabs>
                <w:tab w:val="left" w:pos="720"/>
              </w:tabs>
              <w:spacing w:after="0"/>
              <w:rPr>
                <w:szCs w:val="22"/>
              </w:rPr>
            </w:pPr>
            <w:r>
              <w:rPr>
                <w:szCs w:val="22"/>
              </w:rPr>
              <w:t>129027</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6235AE31" w14:textId="77777777">
            <w:pPr>
              <w:pStyle w:val="ParaNum"/>
              <w:numPr>
                <w:ilvl w:val="0"/>
                <w:numId w:val="0"/>
              </w:numPr>
              <w:tabs>
                <w:tab w:val="left" w:pos="720"/>
              </w:tabs>
              <w:spacing w:after="0"/>
              <w:ind w:hanging="17"/>
              <w:rPr>
                <w:szCs w:val="22"/>
              </w:rPr>
            </w:pPr>
            <w:r>
              <w:rPr>
                <w:szCs w:val="22"/>
              </w:rPr>
              <w:t>Klamath Falls, OR</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40687594" w14:textId="77777777">
            <w:pPr>
              <w:pStyle w:val="ParaNum"/>
              <w:numPr>
                <w:ilvl w:val="0"/>
                <w:numId w:val="0"/>
              </w:numPr>
              <w:tabs>
                <w:tab w:val="left" w:pos="720"/>
              </w:tabs>
              <w:spacing w:after="0"/>
              <w:ind w:hanging="17"/>
              <w:rPr>
                <w:szCs w:val="22"/>
              </w:rPr>
            </w:pPr>
            <w:r>
              <w:rPr>
                <w:szCs w:val="22"/>
              </w:rPr>
              <w:t>Broadcasting Licenses, L.P.</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02737833" w14:textId="77777777">
            <w:pPr>
              <w:pStyle w:val="ParaNum"/>
              <w:numPr>
                <w:ilvl w:val="0"/>
                <w:numId w:val="0"/>
              </w:numPr>
              <w:tabs>
                <w:tab w:val="left" w:pos="720"/>
              </w:tabs>
              <w:spacing w:after="0"/>
              <w:rPr>
                <w:szCs w:val="22"/>
              </w:rPr>
            </w:pPr>
            <w:r>
              <w:rPr>
                <w:szCs w:val="22"/>
              </w:rPr>
              <w:t>BTC(DTL)‐20190304ABY</w:t>
            </w:r>
          </w:p>
        </w:tc>
      </w:tr>
      <w:tr w14:paraId="118B8F52"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2ACDA786" w14:textId="77777777">
            <w:pPr>
              <w:autoSpaceDE w:val="0"/>
              <w:autoSpaceDN w:val="0"/>
              <w:adjustRightInd w:val="0"/>
              <w:rPr>
                <w:szCs w:val="22"/>
              </w:rPr>
            </w:pPr>
            <w:r>
              <w:rPr>
                <w:szCs w:val="22"/>
              </w:rPr>
              <w:t>KSWT(TV)</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2EA0793A" w14:textId="77777777">
            <w:pPr>
              <w:pStyle w:val="ParaNum"/>
              <w:numPr>
                <w:ilvl w:val="0"/>
                <w:numId w:val="0"/>
              </w:numPr>
              <w:tabs>
                <w:tab w:val="left" w:pos="720"/>
              </w:tabs>
              <w:spacing w:after="0"/>
              <w:rPr>
                <w:szCs w:val="22"/>
              </w:rPr>
            </w:pPr>
            <w:r>
              <w:rPr>
                <w:szCs w:val="22"/>
              </w:rPr>
              <w:t>33639</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5D576CBA" w14:textId="77777777">
            <w:pPr>
              <w:pStyle w:val="ParaNum"/>
              <w:numPr>
                <w:ilvl w:val="0"/>
                <w:numId w:val="0"/>
              </w:numPr>
              <w:tabs>
                <w:tab w:val="left" w:pos="720"/>
              </w:tabs>
              <w:spacing w:after="0"/>
              <w:ind w:hanging="17"/>
              <w:rPr>
                <w:szCs w:val="22"/>
              </w:rPr>
            </w:pPr>
            <w:r>
              <w:rPr>
                <w:szCs w:val="22"/>
              </w:rPr>
              <w:t>Yuma, AZ</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7DF3006C" w14:textId="77777777">
            <w:pPr>
              <w:pStyle w:val="ParaNum"/>
              <w:numPr>
                <w:ilvl w:val="0"/>
                <w:numId w:val="0"/>
              </w:numPr>
              <w:tabs>
                <w:tab w:val="left" w:pos="720"/>
              </w:tabs>
              <w:spacing w:after="0"/>
              <w:ind w:hanging="17"/>
              <w:rPr>
                <w:szCs w:val="22"/>
              </w:rPr>
            </w:pPr>
            <w:r>
              <w:rPr>
                <w:szCs w:val="22"/>
              </w:rPr>
              <w:t>Blackhawk Broadcasting</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6E641BCE" w14:textId="77777777">
            <w:pPr>
              <w:pStyle w:val="ParaNum"/>
              <w:numPr>
                <w:ilvl w:val="0"/>
                <w:numId w:val="0"/>
              </w:numPr>
              <w:tabs>
                <w:tab w:val="left" w:pos="720"/>
              </w:tabs>
              <w:spacing w:after="0"/>
              <w:rPr>
                <w:szCs w:val="22"/>
              </w:rPr>
            </w:pPr>
            <w:r>
              <w:rPr>
                <w:szCs w:val="22"/>
              </w:rPr>
              <w:t>BTCCDT‐20190304ACF</w:t>
            </w:r>
          </w:p>
        </w:tc>
      </w:tr>
      <w:tr w14:paraId="6C3BAACC"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3205FC68" w14:textId="77777777">
            <w:pPr>
              <w:autoSpaceDE w:val="0"/>
              <w:autoSpaceDN w:val="0"/>
              <w:adjustRightInd w:val="0"/>
              <w:rPr>
                <w:szCs w:val="22"/>
              </w:rPr>
            </w:pPr>
            <w:r>
              <w:rPr>
                <w:szCs w:val="22"/>
              </w:rPr>
              <w:t>KYMA-DT</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2AB0DD6D" w14:textId="77777777">
            <w:pPr>
              <w:pStyle w:val="ParaNum"/>
              <w:numPr>
                <w:ilvl w:val="0"/>
                <w:numId w:val="0"/>
              </w:numPr>
              <w:tabs>
                <w:tab w:val="left" w:pos="720"/>
              </w:tabs>
              <w:spacing w:after="0"/>
              <w:rPr>
                <w:szCs w:val="22"/>
              </w:rPr>
            </w:pPr>
            <w:r>
              <w:rPr>
                <w:szCs w:val="22"/>
              </w:rPr>
              <w:t>74449</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5E2B688D" w14:textId="77777777">
            <w:pPr>
              <w:pStyle w:val="ParaNum"/>
              <w:numPr>
                <w:ilvl w:val="0"/>
                <w:numId w:val="0"/>
              </w:numPr>
              <w:tabs>
                <w:tab w:val="left" w:pos="720"/>
              </w:tabs>
              <w:spacing w:after="0"/>
              <w:ind w:hanging="17"/>
              <w:rPr>
                <w:szCs w:val="22"/>
              </w:rPr>
            </w:pPr>
            <w:r>
              <w:rPr>
                <w:szCs w:val="22"/>
              </w:rPr>
              <w:t>Yuma, AZ</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4256CDC7" w14:textId="77777777">
            <w:pPr>
              <w:pStyle w:val="ParaNum"/>
              <w:numPr>
                <w:ilvl w:val="0"/>
                <w:numId w:val="0"/>
              </w:numPr>
              <w:tabs>
                <w:tab w:val="left" w:pos="720"/>
              </w:tabs>
              <w:spacing w:after="0"/>
              <w:ind w:hanging="17"/>
              <w:rPr>
                <w:szCs w:val="22"/>
              </w:rPr>
            </w:pPr>
            <w:r>
              <w:rPr>
                <w:szCs w:val="22"/>
              </w:rPr>
              <w:t>Blackhawk Broadcasting</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17211BFE" w14:textId="77777777">
            <w:pPr>
              <w:pStyle w:val="ParaNum"/>
              <w:numPr>
                <w:ilvl w:val="0"/>
                <w:numId w:val="0"/>
              </w:numPr>
              <w:tabs>
                <w:tab w:val="left" w:pos="720"/>
              </w:tabs>
              <w:spacing w:after="0"/>
              <w:rPr>
                <w:szCs w:val="22"/>
              </w:rPr>
            </w:pPr>
            <w:r>
              <w:rPr>
                <w:szCs w:val="22"/>
              </w:rPr>
              <w:t>BTCCDT‐20190304ACG</w:t>
            </w:r>
          </w:p>
        </w:tc>
      </w:tr>
      <w:tr w14:paraId="3E4625F2"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481457E8" w14:textId="77777777">
            <w:pPr>
              <w:autoSpaceDE w:val="0"/>
              <w:autoSpaceDN w:val="0"/>
              <w:adjustRightInd w:val="0"/>
              <w:rPr>
                <w:szCs w:val="22"/>
              </w:rPr>
            </w:pPr>
            <w:r>
              <w:rPr>
                <w:szCs w:val="22"/>
              </w:rPr>
              <w:t>KIEM-TV</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4F7D4C9A" w14:textId="77777777">
            <w:pPr>
              <w:pStyle w:val="ParaNum"/>
              <w:numPr>
                <w:ilvl w:val="0"/>
                <w:numId w:val="0"/>
              </w:numPr>
              <w:tabs>
                <w:tab w:val="left" w:pos="720"/>
              </w:tabs>
              <w:spacing w:after="0"/>
              <w:rPr>
                <w:szCs w:val="22"/>
              </w:rPr>
            </w:pPr>
            <w:r>
              <w:rPr>
                <w:szCs w:val="22"/>
              </w:rPr>
              <w:t>53382</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14F08A50" w14:textId="77777777">
            <w:pPr>
              <w:pStyle w:val="ParaNum"/>
              <w:numPr>
                <w:ilvl w:val="0"/>
                <w:numId w:val="0"/>
              </w:numPr>
              <w:tabs>
                <w:tab w:val="left" w:pos="720"/>
              </w:tabs>
              <w:spacing w:after="0"/>
              <w:ind w:hanging="17"/>
              <w:rPr>
                <w:szCs w:val="22"/>
              </w:rPr>
            </w:pPr>
            <w:r>
              <w:rPr>
                <w:szCs w:val="22"/>
              </w:rPr>
              <w:t>Eureka, CA</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6AF6D4C9" w14:textId="77777777">
            <w:pPr>
              <w:pStyle w:val="ParaNum"/>
              <w:numPr>
                <w:ilvl w:val="0"/>
                <w:numId w:val="0"/>
              </w:numPr>
              <w:tabs>
                <w:tab w:val="left" w:pos="720"/>
              </w:tabs>
              <w:spacing w:after="0"/>
              <w:ind w:hanging="17"/>
              <w:rPr>
                <w:szCs w:val="22"/>
              </w:rPr>
            </w:pPr>
            <w:r>
              <w:rPr>
                <w:szCs w:val="22"/>
              </w:rPr>
              <w:t>Redwood Television Partners LLC</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1A4E05ED" w14:textId="77777777">
            <w:pPr>
              <w:pStyle w:val="ParaNum"/>
              <w:numPr>
                <w:ilvl w:val="0"/>
                <w:numId w:val="0"/>
              </w:numPr>
              <w:tabs>
                <w:tab w:val="left" w:pos="720"/>
              </w:tabs>
              <w:spacing w:after="0"/>
              <w:rPr>
                <w:szCs w:val="22"/>
              </w:rPr>
            </w:pPr>
            <w:r>
              <w:rPr>
                <w:szCs w:val="22"/>
              </w:rPr>
              <w:t>BTCCDT‐20190304ACI</w:t>
            </w:r>
          </w:p>
        </w:tc>
      </w:tr>
      <w:tr w14:paraId="37C68B4D"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242A8E61" w14:textId="77777777">
            <w:pPr>
              <w:autoSpaceDE w:val="0"/>
              <w:autoSpaceDN w:val="0"/>
              <w:adjustRightInd w:val="0"/>
              <w:rPr>
                <w:szCs w:val="22"/>
              </w:rPr>
            </w:pPr>
            <w:r>
              <w:rPr>
                <w:szCs w:val="22"/>
              </w:rPr>
              <w:t>K02OD-D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0FA4F46F" w14:textId="77777777">
            <w:pPr>
              <w:pStyle w:val="ParaNum"/>
              <w:numPr>
                <w:ilvl w:val="0"/>
                <w:numId w:val="0"/>
              </w:numPr>
              <w:tabs>
                <w:tab w:val="left" w:pos="720"/>
              </w:tabs>
              <w:spacing w:after="0"/>
              <w:rPr>
                <w:szCs w:val="22"/>
              </w:rPr>
            </w:pPr>
            <w:r>
              <w:rPr>
                <w:szCs w:val="22"/>
              </w:rPr>
              <w:t>533811</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46420DF5" w14:textId="77777777">
            <w:pPr>
              <w:pStyle w:val="ParaNum"/>
              <w:numPr>
                <w:ilvl w:val="0"/>
                <w:numId w:val="0"/>
              </w:numPr>
              <w:tabs>
                <w:tab w:val="left" w:pos="720"/>
              </w:tabs>
              <w:spacing w:after="0"/>
              <w:ind w:hanging="17"/>
              <w:rPr>
                <w:szCs w:val="22"/>
              </w:rPr>
            </w:pPr>
            <w:r>
              <w:rPr>
                <w:szCs w:val="22"/>
              </w:rPr>
              <w:t>Shelter Cove, CA</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6F1E3C5A" w14:textId="77777777">
            <w:pPr>
              <w:pStyle w:val="ParaNum"/>
              <w:numPr>
                <w:ilvl w:val="0"/>
                <w:numId w:val="0"/>
              </w:numPr>
              <w:tabs>
                <w:tab w:val="left" w:pos="720"/>
              </w:tabs>
              <w:spacing w:after="0"/>
              <w:ind w:hanging="17"/>
              <w:rPr>
                <w:szCs w:val="22"/>
              </w:rPr>
            </w:pPr>
            <w:r>
              <w:rPr>
                <w:szCs w:val="22"/>
              </w:rPr>
              <w:t>Redwood Television Partners LLC</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75FE4C6B" w14:textId="77777777">
            <w:pPr>
              <w:pStyle w:val="ParaNum"/>
              <w:numPr>
                <w:ilvl w:val="0"/>
                <w:numId w:val="0"/>
              </w:numPr>
              <w:tabs>
                <w:tab w:val="left" w:pos="720"/>
              </w:tabs>
              <w:spacing w:after="0"/>
              <w:rPr>
                <w:szCs w:val="22"/>
              </w:rPr>
            </w:pPr>
            <w:r>
              <w:rPr>
                <w:szCs w:val="22"/>
              </w:rPr>
              <w:t>BTCCDT‐20190304ACK</w:t>
            </w:r>
          </w:p>
        </w:tc>
      </w:tr>
      <w:tr w14:paraId="4FBBA4E0"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56DAC823" w14:textId="77777777">
            <w:pPr>
              <w:autoSpaceDE w:val="0"/>
              <w:autoSpaceDN w:val="0"/>
              <w:adjustRightInd w:val="0"/>
              <w:rPr>
                <w:szCs w:val="22"/>
              </w:rPr>
            </w:pPr>
            <w:r>
              <w:rPr>
                <w:szCs w:val="22"/>
              </w:rPr>
              <w:t>K07GJ-D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223CC547" w14:textId="77777777">
            <w:pPr>
              <w:pStyle w:val="ParaNum"/>
              <w:numPr>
                <w:ilvl w:val="0"/>
                <w:numId w:val="0"/>
              </w:numPr>
              <w:tabs>
                <w:tab w:val="left" w:pos="720"/>
              </w:tabs>
              <w:spacing w:after="0"/>
              <w:rPr>
                <w:szCs w:val="22"/>
              </w:rPr>
            </w:pPr>
            <w:r>
              <w:rPr>
                <w:szCs w:val="22"/>
              </w:rPr>
              <w:t>53379</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1068F11D" w14:textId="77777777">
            <w:pPr>
              <w:pStyle w:val="ParaNum"/>
              <w:numPr>
                <w:ilvl w:val="0"/>
                <w:numId w:val="0"/>
              </w:numPr>
              <w:tabs>
                <w:tab w:val="left" w:pos="720"/>
              </w:tabs>
              <w:spacing w:after="0"/>
              <w:ind w:hanging="17"/>
              <w:rPr>
                <w:szCs w:val="22"/>
              </w:rPr>
            </w:pPr>
            <w:r>
              <w:rPr>
                <w:szCs w:val="22"/>
              </w:rPr>
              <w:t>Hoopa, CA</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24F6A17B" w14:textId="77777777">
            <w:pPr>
              <w:pStyle w:val="ParaNum"/>
              <w:numPr>
                <w:ilvl w:val="0"/>
                <w:numId w:val="0"/>
              </w:numPr>
              <w:tabs>
                <w:tab w:val="left" w:pos="720"/>
              </w:tabs>
              <w:spacing w:after="0"/>
              <w:ind w:hanging="17"/>
              <w:rPr>
                <w:szCs w:val="22"/>
              </w:rPr>
            </w:pPr>
            <w:r>
              <w:rPr>
                <w:szCs w:val="22"/>
              </w:rPr>
              <w:t>Redwood Television Partners LLC</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249DAB26" w14:textId="77777777">
            <w:pPr>
              <w:pStyle w:val="ParaNum"/>
              <w:numPr>
                <w:ilvl w:val="0"/>
                <w:numId w:val="0"/>
              </w:numPr>
              <w:tabs>
                <w:tab w:val="left" w:pos="720"/>
              </w:tabs>
              <w:spacing w:after="0"/>
              <w:rPr>
                <w:szCs w:val="22"/>
              </w:rPr>
            </w:pPr>
            <w:r>
              <w:rPr>
                <w:szCs w:val="22"/>
              </w:rPr>
              <w:t>BTCCDT‐20190304ACL</w:t>
            </w:r>
          </w:p>
        </w:tc>
      </w:tr>
      <w:tr w14:paraId="0E47F678"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6CB0F792" w14:textId="77777777">
            <w:pPr>
              <w:autoSpaceDE w:val="0"/>
              <w:autoSpaceDN w:val="0"/>
              <w:adjustRightInd w:val="0"/>
              <w:rPr>
                <w:szCs w:val="22"/>
              </w:rPr>
            </w:pPr>
            <w:r>
              <w:rPr>
                <w:szCs w:val="22"/>
              </w:rPr>
              <w:t>KVIQ-LP</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5C167FD8" w14:textId="77777777">
            <w:pPr>
              <w:pStyle w:val="ParaNum"/>
              <w:numPr>
                <w:ilvl w:val="0"/>
                <w:numId w:val="0"/>
              </w:numPr>
              <w:tabs>
                <w:tab w:val="left" w:pos="720"/>
              </w:tabs>
              <w:spacing w:after="0"/>
              <w:rPr>
                <w:szCs w:val="22"/>
              </w:rPr>
            </w:pPr>
            <w:r>
              <w:rPr>
                <w:szCs w:val="22"/>
              </w:rPr>
              <w:t>42631</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66335935" w14:textId="77777777">
            <w:pPr>
              <w:pStyle w:val="ParaNum"/>
              <w:numPr>
                <w:ilvl w:val="0"/>
                <w:numId w:val="0"/>
              </w:numPr>
              <w:tabs>
                <w:tab w:val="left" w:pos="720"/>
              </w:tabs>
              <w:spacing w:after="0"/>
              <w:ind w:hanging="17"/>
              <w:rPr>
                <w:szCs w:val="22"/>
              </w:rPr>
            </w:pPr>
            <w:r>
              <w:rPr>
                <w:szCs w:val="22"/>
              </w:rPr>
              <w:t>Rio Dell, Scotia CA</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5AF23AFE" w14:textId="77777777">
            <w:pPr>
              <w:pStyle w:val="ParaNum"/>
              <w:numPr>
                <w:ilvl w:val="0"/>
                <w:numId w:val="0"/>
              </w:numPr>
              <w:tabs>
                <w:tab w:val="left" w:pos="720"/>
              </w:tabs>
              <w:spacing w:after="0"/>
              <w:ind w:hanging="17"/>
              <w:rPr>
                <w:szCs w:val="22"/>
              </w:rPr>
            </w:pPr>
            <w:r>
              <w:rPr>
                <w:szCs w:val="22"/>
              </w:rPr>
              <w:t>Redwood Television Partners LLC</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19CDFBF7" w14:textId="77777777">
            <w:pPr>
              <w:pStyle w:val="ParaNum"/>
              <w:numPr>
                <w:ilvl w:val="0"/>
                <w:numId w:val="0"/>
              </w:numPr>
              <w:tabs>
                <w:tab w:val="left" w:pos="720"/>
              </w:tabs>
              <w:spacing w:after="0"/>
              <w:rPr>
                <w:szCs w:val="22"/>
              </w:rPr>
            </w:pPr>
            <w:r>
              <w:rPr>
                <w:szCs w:val="22"/>
              </w:rPr>
              <w:t>BTCCDT‐20190304ACJ</w:t>
            </w:r>
          </w:p>
        </w:tc>
      </w:tr>
      <w:tr w14:paraId="2C9C1558"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79C714DC" w14:textId="77777777">
            <w:pPr>
              <w:autoSpaceDE w:val="0"/>
              <w:autoSpaceDN w:val="0"/>
              <w:adjustRightInd w:val="0"/>
              <w:rPr>
                <w:szCs w:val="22"/>
              </w:rPr>
            </w:pPr>
            <w:r>
              <w:rPr>
                <w:szCs w:val="22"/>
              </w:rPr>
              <w:t>WABG-TV</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65782FC2" w14:textId="77777777">
            <w:pPr>
              <w:pStyle w:val="ParaNum"/>
              <w:numPr>
                <w:ilvl w:val="0"/>
                <w:numId w:val="0"/>
              </w:numPr>
              <w:tabs>
                <w:tab w:val="left" w:pos="720"/>
              </w:tabs>
              <w:spacing w:after="0"/>
              <w:rPr>
                <w:szCs w:val="22"/>
              </w:rPr>
            </w:pPr>
            <w:r>
              <w:rPr>
                <w:szCs w:val="22"/>
              </w:rPr>
              <w:t>43203</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4ECD1EC9" w14:textId="77777777">
            <w:pPr>
              <w:pStyle w:val="ParaNum"/>
              <w:numPr>
                <w:ilvl w:val="0"/>
                <w:numId w:val="0"/>
              </w:numPr>
              <w:tabs>
                <w:tab w:val="left" w:pos="720"/>
              </w:tabs>
              <w:spacing w:after="0"/>
              <w:ind w:hanging="17"/>
              <w:rPr>
                <w:szCs w:val="22"/>
              </w:rPr>
            </w:pPr>
            <w:r>
              <w:rPr>
                <w:szCs w:val="22"/>
              </w:rPr>
              <w:t>Greenwood, MS</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2E22E1C8" w14:textId="77777777">
            <w:pPr>
              <w:rPr>
                <w:szCs w:val="22"/>
              </w:rPr>
            </w:pPr>
            <w:r>
              <w:rPr>
                <w:szCs w:val="22"/>
              </w:rPr>
              <w:t>Cala Broadcast Partners LLC</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0B3C8A8E" w14:textId="77777777">
            <w:pPr>
              <w:rPr>
                <w:szCs w:val="22"/>
              </w:rPr>
            </w:pPr>
            <w:r>
              <w:rPr>
                <w:szCs w:val="22"/>
              </w:rPr>
              <w:t>BTCCDT‐20190304ACN</w:t>
            </w:r>
          </w:p>
        </w:tc>
      </w:tr>
      <w:tr w14:paraId="393E2F4E"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7AEBADCD" w14:textId="77777777">
            <w:pPr>
              <w:autoSpaceDE w:val="0"/>
              <w:autoSpaceDN w:val="0"/>
              <w:adjustRightInd w:val="0"/>
              <w:rPr>
                <w:szCs w:val="22"/>
              </w:rPr>
            </w:pPr>
            <w:r>
              <w:rPr>
                <w:szCs w:val="22"/>
              </w:rPr>
              <w:t>WNBD-LD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3E7793B3" w14:textId="77777777">
            <w:pPr>
              <w:pStyle w:val="ParaNum"/>
              <w:numPr>
                <w:ilvl w:val="0"/>
                <w:numId w:val="0"/>
              </w:numPr>
              <w:tabs>
                <w:tab w:val="left" w:pos="720"/>
              </w:tabs>
              <w:spacing w:after="0"/>
              <w:rPr>
                <w:szCs w:val="22"/>
              </w:rPr>
            </w:pPr>
            <w:r>
              <w:rPr>
                <w:szCs w:val="22"/>
              </w:rPr>
              <w:t>181137</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0C6A082E" w14:textId="77777777">
            <w:pPr>
              <w:pStyle w:val="ParaNum"/>
              <w:numPr>
                <w:ilvl w:val="0"/>
                <w:numId w:val="0"/>
              </w:numPr>
              <w:tabs>
                <w:tab w:val="left" w:pos="720"/>
              </w:tabs>
              <w:spacing w:after="0"/>
              <w:ind w:hanging="17"/>
              <w:rPr>
                <w:szCs w:val="22"/>
              </w:rPr>
            </w:pPr>
            <w:r>
              <w:rPr>
                <w:szCs w:val="22"/>
              </w:rPr>
              <w:t>Grenada, MS</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5AC8917E" w14:textId="77777777">
            <w:pPr>
              <w:rPr>
                <w:szCs w:val="22"/>
              </w:rPr>
            </w:pPr>
            <w:r>
              <w:rPr>
                <w:szCs w:val="22"/>
              </w:rPr>
              <w:t>Cala Broadcast Partners LLC</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5B82853C" w14:textId="77777777">
            <w:pPr>
              <w:rPr>
                <w:szCs w:val="22"/>
              </w:rPr>
            </w:pPr>
            <w:r>
              <w:rPr>
                <w:szCs w:val="22"/>
              </w:rPr>
              <w:t>BTCCDT‐20190304ACO</w:t>
            </w:r>
          </w:p>
        </w:tc>
      </w:tr>
      <w:tr w14:paraId="1241B636"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21A99B61" w14:textId="77777777">
            <w:pPr>
              <w:autoSpaceDE w:val="0"/>
              <w:autoSpaceDN w:val="0"/>
              <w:adjustRightInd w:val="0"/>
              <w:rPr>
                <w:szCs w:val="22"/>
              </w:rPr>
            </w:pPr>
            <w:r>
              <w:rPr>
                <w:szCs w:val="22"/>
              </w:rPr>
              <w:t>WXVT-LD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02BA9C21" w14:textId="77777777">
            <w:pPr>
              <w:pStyle w:val="ParaNum"/>
              <w:numPr>
                <w:ilvl w:val="0"/>
                <w:numId w:val="0"/>
              </w:numPr>
              <w:tabs>
                <w:tab w:val="left" w:pos="720"/>
              </w:tabs>
              <w:spacing w:after="0"/>
              <w:rPr>
                <w:szCs w:val="22"/>
              </w:rPr>
            </w:pPr>
            <w:r>
              <w:rPr>
                <w:szCs w:val="22"/>
              </w:rPr>
              <w:t>181144</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4C0440D4" w14:textId="77777777">
            <w:pPr>
              <w:pStyle w:val="ParaNum"/>
              <w:numPr>
                <w:ilvl w:val="0"/>
                <w:numId w:val="0"/>
              </w:numPr>
              <w:tabs>
                <w:tab w:val="left" w:pos="720"/>
              </w:tabs>
              <w:spacing w:after="0"/>
              <w:ind w:hanging="17"/>
              <w:rPr>
                <w:szCs w:val="22"/>
              </w:rPr>
            </w:pPr>
            <w:r>
              <w:rPr>
                <w:szCs w:val="22"/>
              </w:rPr>
              <w:t>Cleveland, MS</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5A37F09D" w14:textId="77777777">
            <w:pPr>
              <w:rPr>
                <w:szCs w:val="22"/>
              </w:rPr>
            </w:pPr>
            <w:r>
              <w:rPr>
                <w:szCs w:val="22"/>
              </w:rPr>
              <w:t>Cala Broadcast Partners LLC</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2F16A196" w14:textId="77777777">
            <w:pPr>
              <w:rPr>
                <w:szCs w:val="22"/>
              </w:rPr>
            </w:pPr>
            <w:r>
              <w:rPr>
                <w:szCs w:val="22"/>
              </w:rPr>
              <w:t>BTCCDT‐20190304ACP</w:t>
            </w:r>
          </w:p>
        </w:tc>
      </w:tr>
      <w:tr w14:paraId="6378E1A6"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7DF7EA5D" w14:textId="77777777">
            <w:pPr>
              <w:autoSpaceDE w:val="0"/>
              <w:autoSpaceDN w:val="0"/>
              <w:adjustRightInd w:val="0"/>
              <w:rPr>
                <w:szCs w:val="22"/>
              </w:rPr>
            </w:pPr>
            <w:r>
              <w:rPr>
                <w:szCs w:val="22"/>
              </w:rPr>
              <w:t>KPVI-DT</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2AE6ED32" w14:textId="77777777">
            <w:pPr>
              <w:pStyle w:val="ParaNum"/>
              <w:numPr>
                <w:ilvl w:val="0"/>
                <w:numId w:val="0"/>
              </w:numPr>
              <w:tabs>
                <w:tab w:val="left" w:pos="720"/>
              </w:tabs>
              <w:spacing w:after="0"/>
              <w:rPr>
                <w:szCs w:val="22"/>
              </w:rPr>
            </w:pPr>
            <w:r>
              <w:rPr>
                <w:szCs w:val="22"/>
              </w:rPr>
              <w:t>1270</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782650EE" w14:textId="77777777">
            <w:pPr>
              <w:pStyle w:val="ParaNum"/>
              <w:numPr>
                <w:ilvl w:val="0"/>
                <w:numId w:val="0"/>
              </w:numPr>
              <w:tabs>
                <w:tab w:val="left" w:pos="720"/>
              </w:tabs>
              <w:spacing w:after="0"/>
              <w:ind w:hanging="17"/>
              <w:rPr>
                <w:szCs w:val="22"/>
              </w:rPr>
            </w:pPr>
            <w:r>
              <w:rPr>
                <w:szCs w:val="22"/>
              </w:rPr>
              <w:t>Pocatello, ID</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70FBBC62" w14:textId="77777777">
            <w:pPr>
              <w:rPr>
                <w:szCs w:val="22"/>
              </w:rPr>
            </w:pPr>
            <w:r>
              <w:rPr>
                <w:szCs w:val="22"/>
              </w:rPr>
              <w:t>Idaho Broadcast Partners LLC</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0476FA9C" w14:textId="77777777">
            <w:pPr>
              <w:rPr>
                <w:szCs w:val="22"/>
              </w:rPr>
            </w:pPr>
            <w:r>
              <w:rPr>
                <w:szCs w:val="22"/>
              </w:rPr>
              <w:t>BTCCDT‐20190304ACT</w:t>
            </w:r>
          </w:p>
        </w:tc>
      </w:tr>
      <w:tr w14:paraId="1E843890"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2F75993D" w14:textId="77777777">
            <w:pPr>
              <w:autoSpaceDE w:val="0"/>
              <w:autoSpaceDN w:val="0"/>
              <w:adjustRightInd w:val="0"/>
              <w:rPr>
                <w:szCs w:val="22"/>
              </w:rPr>
            </w:pPr>
            <w:r>
              <w:rPr>
                <w:szCs w:val="22"/>
              </w:rPr>
              <w:t>K13UF-D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4D847D45" w14:textId="77777777">
            <w:pPr>
              <w:pStyle w:val="ParaNum"/>
              <w:numPr>
                <w:ilvl w:val="0"/>
                <w:numId w:val="0"/>
              </w:numPr>
              <w:tabs>
                <w:tab w:val="left" w:pos="720"/>
              </w:tabs>
              <w:spacing w:after="0"/>
              <w:rPr>
                <w:szCs w:val="22"/>
              </w:rPr>
            </w:pPr>
            <w:r>
              <w:rPr>
                <w:szCs w:val="22"/>
              </w:rPr>
              <w:t>1258</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6EC69E2C" w14:textId="77777777">
            <w:pPr>
              <w:pStyle w:val="ParaNum"/>
              <w:numPr>
                <w:ilvl w:val="0"/>
                <w:numId w:val="0"/>
              </w:numPr>
              <w:tabs>
                <w:tab w:val="left" w:pos="720"/>
              </w:tabs>
              <w:spacing w:after="0"/>
              <w:ind w:hanging="17"/>
              <w:rPr>
                <w:szCs w:val="22"/>
              </w:rPr>
            </w:pPr>
            <w:r>
              <w:rPr>
                <w:szCs w:val="22"/>
              </w:rPr>
              <w:t>Rexburg, ID</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54AF0395" w14:textId="77777777">
            <w:pPr>
              <w:rPr>
                <w:szCs w:val="22"/>
              </w:rPr>
            </w:pPr>
            <w:r>
              <w:rPr>
                <w:szCs w:val="22"/>
              </w:rPr>
              <w:t>Idaho Broadcast Partners LLC</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59293FDF" w14:textId="77777777">
            <w:pPr>
              <w:rPr>
                <w:szCs w:val="22"/>
              </w:rPr>
            </w:pPr>
            <w:r>
              <w:rPr>
                <w:szCs w:val="22"/>
              </w:rPr>
              <w:t>BTCCDT‐20190304ACV</w:t>
            </w:r>
          </w:p>
        </w:tc>
      </w:tr>
      <w:tr w14:paraId="2A716EFB"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517AAB07" w14:textId="77777777">
            <w:pPr>
              <w:autoSpaceDE w:val="0"/>
              <w:autoSpaceDN w:val="0"/>
              <w:adjustRightInd w:val="0"/>
              <w:rPr>
                <w:szCs w:val="22"/>
              </w:rPr>
            </w:pPr>
            <w:r>
              <w:rPr>
                <w:szCs w:val="22"/>
              </w:rPr>
              <w:t>K32LS-D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6A0006A7" w14:textId="77777777">
            <w:pPr>
              <w:pStyle w:val="ParaNum"/>
              <w:numPr>
                <w:ilvl w:val="0"/>
                <w:numId w:val="0"/>
              </w:numPr>
              <w:tabs>
                <w:tab w:val="left" w:pos="720"/>
              </w:tabs>
              <w:spacing w:after="0"/>
              <w:rPr>
                <w:szCs w:val="22"/>
              </w:rPr>
            </w:pPr>
            <w:r>
              <w:rPr>
                <w:szCs w:val="22"/>
              </w:rPr>
              <w:t>1266</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1E0C3014" w14:textId="77777777">
            <w:pPr>
              <w:pStyle w:val="ParaNum"/>
              <w:numPr>
                <w:ilvl w:val="0"/>
                <w:numId w:val="0"/>
              </w:numPr>
              <w:tabs>
                <w:tab w:val="left" w:pos="720"/>
              </w:tabs>
              <w:spacing w:after="0"/>
              <w:ind w:hanging="17"/>
              <w:rPr>
                <w:szCs w:val="22"/>
              </w:rPr>
            </w:pPr>
            <w:r>
              <w:rPr>
                <w:szCs w:val="22"/>
              </w:rPr>
              <w:t>Driggs, ID</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549D28F6" w14:textId="77777777">
            <w:pPr>
              <w:rPr>
                <w:szCs w:val="22"/>
              </w:rPr>
            </w:pPr>
            <w:r>
              <w:rPr>
                <w:szCs w:val="22"/>
              </w:rPr>
              <w:t>Idaho Broadcast Partners LLC</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2C3939F6" w14:textId="77777777">
            <w:pPr>
              <w:rPr>
                <w:szCs w:val="22"/>
              </w:rPr>
            </w:pPr>
            <w:r>
              <w:rPr>
                <w:szCs w:val="22"/>
              </w:rPr>
              <w:t>BTCCDT‐20190304ACW</w:t>
            </w:r>
          </w:p>
        </w:tc>
      </w:tr>
      <w:tr w14:paraId="365A6F36"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5CBB5A24" w14:textId="77777777">
            <w:pPr>
              <w:autoSpaceDE w:val="0"/>
              <w:autoSpaceDN w:val="0"/>
              <w:adjustRightInd w:val="0"/>
              <w:rPr>
                <w:szCs w:val="22"/>
              </w:rPr>
            </w:pPr>
            <w:r>
              <w:rPr>
                <w:szCs w:val="22"/>
              </w:rPr>
              <w:t>K39GV</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1A7DF172" w14:textId="77777777">
            <w:pPr>
              <w:pStyle w:val="ParaNum"/>
              <w:numPr>
                <w:ilvl w:val="0"/>
                <w:numId w:val="0"/>
              </w:numPr>
              <w:tabs>
                <w:tab w:val="left" w:pos="720"/>
              </w:tabs>
              <w:spacing w:after="0"/>
              <w:rPr>
                <w:szCs w:val="22"/>
              </w:rPr>
            </w:pPr>
            <w:r>
              <w:rPr>
                <w:szCs w:val="22"/>
              </w:rPr>
              <w:t>1252</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6CA45823" w14:textId="77777777">
            <w:pPr>
              <w:pStyle w:val="ParaNum"/>
              <w:numPr>
                <w:ilvl w:val="0"/>
                <w:numId w:val="0"/>
              </w:numPr>
              <w:tabs>
                <w:tab w:val="left" w:pos="720"/>
              </w:tabs>
              <w:spacing w:after="0"/>
              <w:ind w:hanging="17"/>
              <w:rPr>
                <w:szCs w:val="22"/>
              </w:rPr>
            </w:pPr>
            <w:r>
              <w:rPr>
                <w:szCs w:val="22"/>
              </w:rPr>
              <w:t>Burley, etc., ID</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77D6199E" w14:textId="77777777">
            <w:pPr>
              <w:rPr>
                <w:szCs w:val="22"/>
              </w:rPr>
            </w:pPr>
            <w:r>
              <w:rPr>
                <w:szCs w:val="22"/>
              </w:rPr>
              <w:t>Idaho Broadcast Partners LLC</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6BA1B99B" w14:textId="77777777">
            <w:pPr>
              <w:rPr>
                <w:szCs w:val="22"/>
              </w:rPr>
            </w:pPr>
            <w:r>
              <w:rPr>
                <w:szCs w:val="22"/>
              </w:rPr>
              <w:t>BTCCDT‐20190304ACU</w:t>
            </w:r>
          </w:p>
        </w:tc>
      </w:tr>
      <w:tr w14:paraId="24649E54"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466946DB" w14:textId="77777777">
            <w:pPr>
              <w:autoSpaceDE w:val="0"/>
              <w:autoSpaceDN w:val="0"/>
              <w:adjustRightInd w:val="0"/>
              <w:rPr>
                <w:szCs w:val="22"/>
              </w:rPr>
            </w:pPr>
            <w:r>
              <w:rPr>
                <w:szCs w:val="22"/>
              </w:rPr>
              <w:t>K40MS-D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4FD00A09" w14:textId="77777777">
            <w:pPr>
              <w:pStyle w:val="ParaNum"/>
              <w:numPr>
                <w:ilvl w:val="0"/>
                <w:numId w:val="0"/>
              </w:numPr>
              <w:tabs>
                <w:tab w:val="left" w:pos="720"/>
              </w:tabs>
              <w:spacing w:after="0"/>
              <w:rPr>
                <w:szCs w:val="22"/>
              </w:rPr>
            </w:pPr>
            <w:r>
              <w:rPr>
                <w:szCs w:val="22"/>
              </w:rPr>
              <w:t>189407</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7B1DEA3C" w14:textId="77777777">
            <w:pPr>
              <w:pStyle w:val="ParaNum"/>
              <w:numPr>
                <w:ilvl w:val="0"/>
                <w:numId w:val="0"/>
              </w:numPr>
              <w:tabs>
                <w:tab w:val="left" w:pos="720"/>
              </w:tabs>
              <w:spacing w:after="0"/>
              <w:ind w:hanging="17"/>
              <w:rPr>
                <w:szCs w:val="22"/>
              </w:rPr>
            </w:pPr>
            <w:r>
              <w:rPr>
                <w:szCs w:val="22"/>
              </w:rPr>
              <w:t>Pocatello, ID</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45B00060" w14:textId="77777777">
            <w:pPr>
              <w:rPr>
                <w:szCs w:val="22"/>
              </w:rPr>
            </w:pPr>
            <w:r>
              <w:rPr>
                <w:szCs w:val="22"/>
              </w:rPr>
              <w:t>Idaho Broadcast Partners LLC</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0C0B3107" w14:textId="77777777">
            <w:pPr>
              <w:rPr>
                <w:szCs w:val="22"/>
              </w:rPr>
            </w:pPr>
            <w:r>
              <w:rPr>
                <w:szCs w:val="22"/>
              </w:rPr>
              <w:t>BTCCDT‐20190304ACX</w:t>
            </w:r>
          </w:p>
        </w:tc>
      </w:tr>
      <w:tr w14:paraId="29D1AB4E"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431ACC9D" w14:textId="77777777">
            <w:pPr>
              <w:autoSpaceDE w:val="0"/>
              <w:autoSpaceDN w:val="0"/>
              <w:adjustRightInd w:val="0"/>
              <w:rPr>
                <w:szCs w:val="22"/>
              </w:rPr>
            </w:pPr>
            <w:r>
              <w:rPr>
                <w:szCs w:val="22"/>
              </w:rPr>
              <w:t>KLAX-TV</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7628838A" w14:textId="77777777">
            <w:pPr>
              <w:pStyle w:val="ParaNum"/>
              <w:numPr>
                <w:ilvl w:val="0"/>
                <w:numId w:val="0"/>
              </w:numPr>
              <w:tabs>
                <w:tab w:val="left" w:pos="720"/>
              </w:tabs>
              <w:spacing w:after="0"/>
              <w:rPr>
                <w:szCs w:val="22"/>
              </w:rPr>
            </w:pPr>
            <w:r>
              <w:rPr>
                <w:szCs w:val="22"/>
              </w:rPr>
              <w:t>52907</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0B4B438A" w14:textId="77777777">
            <w:pPr>
              <w:pStyle w:val="ParaNum"/>
              <w:numPr>
                <w:ilvl w:val="0"/>
                <w:numId w:val="0"/>
              </w:numPr>
              <w:tabs>
                <w:tab w:val="left" w:pos="720"/>
              </w:tabs>
              <w:spacing w:after="0"/>
              <w:ind w:hanging="17"/>
              <w:rPr>
                <w:szCs w:val="22"/>
              </w:rPr>
            </w:pPr>
            <w:r>
              <w:rPr>
                <w:szCs w:val="22"/>
              </w:rPr>
              <w:t>Alexandria, LA</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616AC917" w14:textId="77777777">
            <w:pPr>
              <w:rPr>
                <w:szCs w:val="22"/>
              </w:rPr>
            </w:pPr>
            <w:r>
              <w:rPr>
                <w:szCs w:val="22"/>
              </w:rPr>
              <w:t xml:space="preserve">Lost Coast Broadcasting LLC </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58B16DE4" w14:textId="77777777">
            <w:pPr>
              <w:pStyle w:val="ParaNum"/>
              <w:numPr>
                <w:ilvl w:val="0"/>
                <w:numId w:val="0"/>
              </w:numPr>
              <w:tabs>
                <w:tab w:val="left" w:pos="720"/>
              </w:tabs>
              <w:spacing w:after="0"/>
              <w:rPr>
                <w:szCs w:val="22"/>
              </w:rPr>
            </w:pPr>
            <w:r>
              <w:rPr>
                <w:szCs w:val="22"/>
              </w:rPr>
              <w:t>BTCCDT‐20190304ADE</w:t>
            </w:r>
          </w:p>
        </w:tc>
      </w:tr>
      <w:tr w14:paraId="434A4A42" w14:textId="77777777" w:rsidTr="000B0BDF">
        <w:tblPrEx>
          <w:tblW w:w="9716" w:type="dxa"/>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6BA5A341" w14:textId="77777777">
            <w:pPr>
              <w:autoSpaceDE w:val="0"/>
              <w:autoSpaceDN w:val="0"/>
              <w:adjustRightInd w:val="0"/>
              <w:rPr>
                <w:szCs w:val="22"/>
              </w:rPr>
            </w:pPr>
            <w:r>
              <w:rPr>
                <w:szCs w:val="22"/>
              </w:rPr>
              <w:t>KWCE-LP</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4C74DF3C" w14:textId="77777777">
            <w:pPr>
              <w:pStyle w:val="ParaNum"/>
              <w:numPr>
                <w:ilvl w:val="0"/>
                <w:numId w:val="0"/>
              </w:numPr>
              <w:tabs>
                <w:tab w:val="left" w:pos="720"/>
              </w:tabs>
              <w:spacing w:after="0"/>
              <w:rPr>
                <w:szCs w:val="22"/>
              </w:rPr>
            </w:pPr>
            <w:r>
              <w:rPr>
                <w:szCs w:val="22"/>
              </w:rPr>
              <w:t>40251</w:t>
            </w:r>
          </w:p>
        </w:tc>
        <w:tc>
          <w:tcPr>
            <w:tcW w:w="2070" w:type="dxa"/>
            <w:tcBorders>
              <w:top w:val="single" w:sz="4" w:space="0" w:color="auto"/>
              <w:left w:val="single" w:sz="4" w:space="0" w:color="auto"/>
              <w:bottom w:val="single" w:sz="4" w:space="0" w:color="auto"/>
              <w:right w:val="single" w:sz="4" w:space="0" w:color="auto"/>
            </w:tcBorders>
            <w:hideMark/>
          </w:tcPr>
          <w:p w:rsidR="00AD59BE" w:rsidP="000B0BDF" w14:paraId="3AA4ECEB" w14:textId="77777777">
            <w:pPr>
              <w:pStyle w:val="ParaNum"/>
              <w:numPr>
                <w:ilvl w:val="0"/>
                <w:numId w:val="0"/>
              </w:numPr>
              <w:tabs>
                <w:tab w:val="left" w:pos="720"/>
              </w:tabs>
              <w:spacing w:after="0"/>
              <w:ind w:hanging="17"/>
              <w:rPr>
                <w:szCs w:val="22"/>
              </w:rPr>
            </w:pPr>
            <w:r>
              <w:rPr>
                <w:szCs w:val="22"/>
              </w:rPr>
              <w:t>Alexandria, LA</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6421D154" w14:textId="77777777">
            <w:pPr>
              <w:rPr>
                <w:szCs w:val="22"/>
              </w:rPr>
            </w:pPr>
            <w:r>
              <w:rPr>
                <w:szCs w:val="22"/>
              </w:rPr>
              <w:t xml:space="preserve">Lost Coast Broadcasting LLC </w:t>
            </w:r>
          </w:p>
        </w:tc>
        <w:tc>
          <w:tcPr>
            <w:tcW w:w="2768" w:type="dxa"/>
            <w:tcBorders>
              <w:top w:val="single" w:sz="4" w:space="0" w:color="auto"/>
              <w:left w:val="single" w:sz="4" w:space="0" w:color="auto"/>
              <w:bottom w:val="single" w:sz="4" w:space="0" w:color="auto"/>
              <w:right w:val="single" w:sz="4" w:space="0" w:color="auto"/>
            </w:tcBorders>
            <w:hideMark/>
          </w:tcPr>
          <w:p w:rsidR="00AD59BE" w:rsidP="000B0BDF" w14:paraId="00687B2E" w14:textId="77777777">
            <w:pPr>
              <w:pStyle w:val="ParaNum"/>
              <w:numPr>
                <w:ilvl w:val="0"/>
                <w:numId w:val="0"/>
              </w:numPr>
              <w:tabs>
                <w:tab w:val="left" w:pos="720"/>
              </w:tabs>
              <w:spacing w:after="0"/>
              <w:rPr>
                <w:szCs w:val="22"/>
              </w:rPr>
            </w:pPr>
            <w:r>
              <w:rPr>
                <w:szCs w:val="22"/>
              </w:rPr>
              <w:t>BTCCDT‐20190304ADF</w:t>
            </w:r>
          </w:p>
        </w:tc>
      </w:tr>
    </w:tbl>
    <w:p w:rsidR="00AD59BE" w:rsidP="00AD59BE" w14:paraId="140FA8D0" w14:textId="77777777">
      <w:pPr>
        <w:keepNext/>
        <w:widowControl/>
        <w:jc w:val="center"/>
        <w:rPr>
          <w:szCs w:val="22"/>
        </w:rPr>
      </w:pPr>
    </w:p>
    <w:p w:rsidR="00AD59BE" w:rsidP="00AD59BE" w14:paraId="37CBE577" w14:textId="77777777">
      <w:pPr>
        <w:keepNext/>
        <w:widowControl/>
        <w:jc w:val="center"/>
        <w:rPr>
          <w:b/>
          <w:szCs w:val="22"/>
        </w:rPr>
        <w:sectPr w:rsidSect="0074246F">
          <w:headerReference w:type="default" r:id="rId11"/>
          <w:footerReference w:type="even" r:id="rId12"/>
          <w:footerReference w:type="default" r:id="rId13"/>
          <w:headerReference w:type="first" r:id="rId14"/>
          <w:endnotePr>
            <w:numFmt w:val="decimal"/>
          </w:endnotePr>
          <w:pgSz w:w="12240" w:h="15840"/>
          <w:pgMar w:top="1440" w:right="1440" w:bottom="720" w:left="1440" w:header="720" w:footer="720" w:gutter="0"/>
          <w:cols w:space="720"/>
          <w:noEndnote/>
          <w:docGrid w:linePitch="299"/>
        </w:sectPr>
      </w:pPr>
    </w:p>
    <w:p w:rsidR="00AD59BE" w:rsidRPr="00F802BC" w:rsidP="00AD59BE" w14:paraId="242EDF06" w14:textId="77777777">
      <w:pPr>
        <w:keepNext/>
        <w:widowControl/>
        <w:jc w:val="center"/>
        <w:rPr>
          <w:b/>
          <w:szCs w:val="22"/>
          <w:u w:val="single"/>
        </w:rPr>
      </w:pPr>
      <w:r w:rsidRPr="00F802BC">
        <w:rPr>
          <w:b/>
          <w:szCs w:val="22"/>
          <w:u w:val="single"/>
        </w:rPr>
        <w:t xml:space="preserve">Attachment </w:t>
      </w:r>
      <w:r>
        <w:rPr>
          <w:b/>
          <w:szCs w:val="22"/>
          <w:u w:val="single"/>
        </w:rPr>
        <w:t>B</w:t>
      </w:r>
      <w:r w:rsidRPr="00F802BC">
        <w:rPr>
          <w:b/>
          <w:szCs w:val="22"/>
          <w:u w:val="single"/>
        </w:rPr>
        <w:t xml:space="preserve"> – Cox Enterprises, Inc.</w:t>
      </w:r>
      <w:r>
        <w:rPr>
          <w:b/>
          <w:szCs w:val="22"/>
          <w:u w:val="single"/>
        </w:rPr>
        <w:t xml:space="preserve"> Television Transaction</w:t>
      </w:r>
    </w:p>
    <w:p w:rsidR="00AD59BE" w:rsidP="00AD59BE" w14:paraId="352EA606" w14:textId="77777777">
      <w:pPr>
        <w:keepNext/>
        <w:widowControl/>
        <w:jc w:val="center"/>
        <w:rPr>
          <w:b/>
          <w:szCs w:val="22"/>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990"/>
        <w:gridCol w:w="1890"/>
        <w:gridCol w:w="2520"/>
        <w:gridCol w:w="2712"/>
      </w:tblGrid>
      <w:tr w14:paraId="1C852042" w14:textId="77777777" w:rsidTr="000B0BDF">
        <w:tblPrEx>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59A3FA89" w14:textId="77777777">
            <w:pPr>
              <w:pStyle w:val="ParaNum"/>
              <w:numPr>
                <w:ilvl w:val="0"/>
                <w:numId w:val="0"/>
              </w:numPr>
              <w:tabs>
                <w:tab w:val="left" w:pos="720"/>
              </w:tabs>
              <w:jc w:val="center"/>
              <w:rPr>
                <w:b/>
                <w:szCs w:val="22"/>
              </w:rPr>
            </w:pPr>
            <w:r>
              <w:rPr>
                <w:b/>
                <w:szCs w:val="22"/>
              </w:rPr>
              <w:t>Call Sign</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02CF491E" w14:textId="77777777">
            <w:pPr>
              <w:pStyle w:val="ParaNum"/>
              <w:numPr>
                <w:ilvl w:val="0"/>
                <w:numId w:val="0"/>
              </w:numPr>
              <w:tabs>
                <w:tab w:val="left" w:pos="720"/>
              </w:tabs>
              <w:jc w:val="center"/>
              <w:rPr>
                <w:b/>
                <w:szCs w:val="22"/>
              </w:rPr>
            </w:pPr>
            <w:r>
              <w:rPr>
                <w:b/>
                <w:szCs w:val="22"/>
              </w:rPr>
              <w:t>Facility ID No.</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6534B43A" w14:textId="77777777">
            <w:pPr>
              <w:pStyle w:val="ParaNum"/>
              <w:numPr>
                <w:ilvl w:val="0"/>
                <w:numId w:val="0"/>
              </w:numPr>
              <w:tabs>
                <w:tab w:val="left" w:pos="720"/>
              </w:tabs>
              <w:jc w:val="center"/>
              <w:rPr>
                <w:b/>
                <w:szCs w:val="22"/>
              </w:rPr>
            </w:pPr>
            <w:r>
              <w:rPr>
                <w:b/>
                <w:szCs w:val="22"/>
              </w:rPr>
              <w:t>Community of License</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31F2F4FB" w14:textId="77777777">
            <w:pPr>
              <w:pStyle w:val="ParaNum"/>
              <w:numPr>
                <w:ilvl w:val="0"/>
                <w:numId w:val="0"/>
              </w:numPr>
              <w:tabs>
                <w:tab w:val="left" w:pos="720"/>
              </w:tabs>
              <w:jc w:val="center"/>
              <w:rPr>
                <w:b/>
                <w:szCs w:val="22"/>
              </w:rPr>
            </w:pPr>
            <w:r>
              <w:rPr>
                <w:b/>
                <w:szCs w:val="22"/>
              </w:rPr>
              <w:t>Licensee</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50AD1ED8" w14:textId="77777777">
            <w:pPr>
              <w:pStyle w:val="ParaNum"/>
              <w:numPr>
                <w:ilvl w:val="0"/>
                <w:numId w:val="0"/>
              </w:numPr>
              <w:tabs>
                <w:tab w:val="left" w:pos="720"/>
              </w:tabs>
              <w:jc w:val="center"/>
              <w:rPr>
                <w:b/>
                <w:szCs w:val="22"/>
              </w:rPr>
            </w:pPr>
            <w:r>
              <w:rPr>
                <w:b/>
                <w:szCs w:val="22"/>
              </w:rPr>
              <w:t>Application File Nos.</w:t>
            </w:r>
          </w:p>
        </w:tc>
      </w:tr>
      <w:tr w14:paraId="5099B1FA"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3A334B02" w14:textId="77777777">
            <w:pPr>
              <w:autoSpaceDE w:val="0"/>
              <w:autoSpaceDN w:val="0"/>
              <w:adjustRightInd w:val="0"/>
              <w:rPr>
                <w:szCs w:val="22"/>
              </w:rPr>
            </w:pPr>
            <w:r>
              <w:rPr>
                <w:szCs w:val="22"/>
              </w:rPr>
              <w:t>WSB‐TV</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5CD16D0F" w14:textId="77777777">
            <w:pPr>
              <w:pStyle w:val="ParaNum"/>
              <w:numPr>
                <w:ilvl w:val="0"/>
                <w:numId w:val="0"/>
              </w:numPr>
              <w:tabs>
                <w:tab w:val="left" w:pos="720"/>
              </w:tabs>
              <w:spacing w:after="0"/>
              <w:rPr>
                <w:szCs w:val="22"/>
              </w:rPr>
            </w:pPr>
            <w:r>
              <w:rPr>
                <w:szCs w:val="22"/>
              </w:rPr>
              <w:t>23960</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6951B06A" w14:textId="77777777">
            <w:pPr>
              <w:pStyle w:val="ParaNum"/>
              <w:numPr>
                <w:ilvl w:val="0"/>
                <w:numId w:val="0"/>
              </w:numPr>
              <w:tabs>
                <w:tab w:val="left" w:pos="720"/>
              </w:tabs>
              <w:spacing w:after="0"/>
              <w:ind w:hanging="17"/>
              <w:rPr>
                <w:szCs w:val="22"/>
              </w:rPr>
            </w:pPr>
            <w:r>
              <w:rPr>
                <w:szCs w:val="22"/>
              </w:rPr>
              <w:t>Atlanta, GA</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7DE9B5C9" w14:textId="77777777">
            <w:pPr>
              <w:pStyle w:val="ParaNum"/>
              <w:numPr>
                <w:ilvl w:val="0"/>
                <w:numId w:val="0"/>
              </w:numPr>
              <w:tabs>
                <w:tab w:val="left" w:pos="720"/>
              </w:tabs>
              <w:spacing w:after="0"/>
              <w:ind w:hanging="17"/>
              <w:rPr>
                <w:szCs w:val="22"/>
              </w:rPr>
            </w:pPr>
            <w:r>
              <w:rPr>
                <w:szCs w:val="22"/>
              </w:rPr>
              <w:t>Georgia Television, LLC</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09EFD3B6" w14:textId="77777777">
            <w:pPr>
              <w:rPr>
                <w:szCs w:val="22"/>
              </w:rPr>
            </w:pPr>
            <w:r>
              <w:rPr>
                <w:szCs w:val="22"/>
              </w:rPr>
              <w:t>BTCCDT‐20190304ACS</w:t>
            </w:r>
          </w:p>
        </w:tc>
      </w:tr>
      <w:tr w14:paraId="77155AEC"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334D9AE3" w14:textId="77777777">
            <w:pPr>
              <w:autoSpaceDE w:val="0"/>
              <w:autoSpaceDN w:val="0"/>
              <w:adjustRightInd w:val="0"/>
              <w:rPr>
                <w:szCs w:val="22"/>
              </w:rPr>
            </w:pPr>
            <w:r>
              <w:rPr>
                <w:szCs w:val="22"/>
              </w:rPr>
              <w:t>WSOC‐TV</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433BD2DA" w14:textId="77777777">
            <w:pPr>
              <w:pStyle w:val="ParaNum"/>
              <w:numPr>
                <w:ilvl w:val="0"/>
                <w:numId w:val="0"/>
              </w:numPr>
              <w:tabs>
                <w:tab w:val="left" w:pos="720"/>
              </w:tabs>
              <w:spacing w:after="0"/>
              <w:rPr>
                <w:szCs w:val="22"/>
              </w:rPr>
            </w:pPr>
            <w:r>
              <w:rPr>
                <w:szCs w:val="22"/>
              </w:rPr>
              <w:t>74070</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6914CD9C" w14:textId="77777777">
            <w:pPr>
              <w:pStyle w:val="ParaNum"/>
              <w:numPr>
                <w:ilvl w:val="0"/>
                <w:numId w:val="0"/>
              </w:numPr>
              <w:tabs>
                <w:tab w:val="left" w:pos="720"/>
              </w:tabs>
              <w:spacing w:after="0"/>
              <w:ind w:hanging="17"/>
              <w:rPr>
                <w:szCs w:val="22"/>
              </w:rPr>
            </w:pPr>
            <w:r>
              <w:rPr>
                <w:szCs w:val="22"/>
              </w:rPr>
              <w:t>Charlotte, NC</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5E20C066" w14:textId="77777777">
            <w:pPr>
              <w:pStyle w:val="ParaNum"/>
              <w:numPr>
                <w:ilvl w:val="0"/>
                <w:numId w:val="0"/>
              </w:numPr>
              <w:tabs>
                <w:tab w:val="left" w:pos="720"/>
              </w:tabs>
              <w:spacing w:after="0"/>
              <w:ind w:hanging="17"/>
              <w:rPr>
                <w:szCs w:val="22"/>
              </w:rPr>
            </w:pPr>
            <w:r>
              <w:rPr>
                <w:szCs w:val="22"/>
              </w:rPr>
              <w:t>WSOC Television, LLC</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2981E405" w14:textId="77777777">
            <w:pPr>
              <w:rPr>
                <w:szCs w:val="22"/>
              </w:rPr>
            </w:pPr>
            <w:r>
              <w:rPr>
                <w:szCs w:val="22"/>
              </w:rPr>
              <w:t>BTCCDT‐20190304ACZ</w:t>
            </w:r>
          </w:p>
        </w:tc>
      </w:tr>
      <w:tr w14:paraId="5C0A76E8"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094DF80A" w14:textId="77777777">
            <w:pPr>
              <w:autoSpaceDE w:val="0"/>
              <w:autoSpaceDN w:val="0"/>
              <w:adjustRightInd w:val="0"/>
              <w:rPr>
                <w:szCs w:val="22"/>
              </w:rPr>
            </w:pPr>
            <w:r>
              <w:rPr>
                <w:szCs w:val="22"/>
              </w:rPr>
              <w:t>WAXN‐TV</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0F31451E" w14:textId="77777777">
            <w:pPr>
              <w:pStyle w:val="ParaNum"/>
              <w:numPr>
                <w:ilvl w:val="0"/>
                <w:numId w:val="0"/>
              </w:numPr>
              <w:tabs>
                <w:tab w:val="left" w:pos="720"/>
              </w:tabs>
              <w:spacing w:after="0"/>
              <w:rPr>
                <w:szCs w:val="22"/>
              </w:rPr>
            </w:pPr>
            <w:r>
              <w:rPr>
                <w:szCs w:val="22"/>
              </w:rPr>
              <w:t>12793</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70354D30" w14:textId="77777777">
            <w:pPr>
              <w:pStyle w:val="ParaNum"/>
              <w:numPr>
                <w:ilvl w:val="0"/>
                <w:numId w:val="0"/>
              </w:numPr>
              <w:tabs>
                <w:tab w:val="left" w:pos="720"/>
              </w:tabs>
              <w:spacing w:after="0"/>
              <w:ind w:hanging="17"/>
              <w:rPr>
                <w:szCs w:val="22"/>
              </w:rPr>
            </w:pPr>
            <w:r>
              <w:rPr>
                <w:szCs w:val="22"/>
              </w:rPr>
              <w:t>Kannapolis, NC</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47DF1A9B" w14:textId="77777777">
            <w:pPr>
              <w:pStyle w:val="ParaNum"/>
              <w:numPr>
                <w:ilvl w:val="0"/>
                <w:numId w:val="0"/>
              </w:numPr>
              <w:tabs>
                <w:tab w:val="left" w:pos="720"/>
              </w:tabs>
              <w:spacing w:after="0"/>
              <w:ind w:hanging="17"/>
              <w:rPr>
                <w:szCs w:val="22"/>
              </w:rPr>
            </w:pPr>
            <w:r>
              <w:rPr>
                <w:szCs w:val="22"/>
              </w:rPr>
              <w:t>WSOC Television, LLC</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550C8300" w14:textId="77777777">
            <w:pPr>
              <w:rPr>
                <w:szCs w:val="22"/>
              </w:rPr>
            </w:pPr>
            <w:r>
              <w:rPr>
                <w:szCs w:val="22"/>
              </w:rPr>
              <w:t>BTCCDT‐20190304ADB</w:t>
            </w:r>
          </w:p>
        </w:tc>
      </w:tr>
      <w:tr w14:paraId="09CA89C2"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18808F4E" w14:textId="77777777">
            <w:pPr>
              <w:autoSpaceDE w:val="0"/>
              <w:autoSpaceDN w:val="0"/>
              <w:adjustRightInd w:val="0"/>
              <w:rPr>
                <w:szCs w:val="22"/>
              </w:rPr>
            </w:pPr>
            <w:r>
              <w:rPr>
                <w:szCs w:val="22"/>
              </w:rPr>
              <w:t>W42DR‐D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170661D4" w14:textId="77777777">
            <w:pPr>
              <w:pStyle w:val="ParaNum"/>
              <w:numPr>
                <w:ilvl w:val="0"/>
                <w:numId w:val="0"/>
              </w:numPr>
              <w:tabs>
                <w:tab w:val="left" w:pos="720"/>
              </w:tabs>
              <w:spacing w:after="0"/>
              <w:rPr>
                <w:szCs w:val="22"/>
              </w:rPr>
            </w:pPr>
            <w:r>
              <w:rPr>
                <w:szCs w:val="22"/>
              </w:rPr>
              <w:t>53891</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6AE3C839" w14:textId="77777777">
            <w:pPr>
              <w:pStyle w:val="ParaNum"/>
              <w:numPr>
                <w:ilvl w:val="0"/>
                <w:numId w:val="0"/>
              </w:numPr>
              <w:tabs>
                <w:tab w:val="left" w:pos="720"/>
              </w:tabs>
              <w:spacing w:after="0"/>
              <w:ind w:hanging="17"/>
              <w:rPr>
                <w:szCs w:val="22"/>
              </w:rPr>
            </w:pPr>
            <w:r>
              <w:rPr>
                <w:szCs w:val="22"/>
              </w:rPr>
              <w:t>Marion, NC</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3F85141D" w14:textId="77777777">
            <w:pPr>
              <w:pStyle w:val="ParaNum"/>
              <w:numPr>
                <w:ilvl w:val="0"/>
                <w:numId w:val="0"/>
              </w:numPr>
              <w:tabs>
                <w:tab w:val="left" w:pos="720"/>
              </w:tabs>
              <w:spacing w:after="0"/>
              <w:ind w:hanging="17"/>
              <w:rPr>
                <w:szCs w:val="22"/>
              </w:rPr>
            </w:pPr>
            <w:r>
              <w:rPr>
                <w:szCs w:val="22"/>
              </w:rPr>
              <w:t>WSOC Television, LLC</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6F617B77" w14:textId="77777777">
            <w:pPr>
              <w:pStyle w:val="ParaNum"/>
              <w:numPr>
                <w:ilvl w:val="0"/>
                <w:numId w:val="0"/>
              </w:numPr>
              <w:tabs>
                <w:tab w:val="left" w:pos="720"/>
              </w:tabs>
              <w:spacing w:after="0"/>
              <w:rPr>
                <w:szCs w:val="22"/>
              </w:rPr>
            </w:pPr>
            <w:r>
              <w:rPr>
                <w:szCs w:val="22"/>
              </w:rPr>
              <w:t>BTCCDT‐20190304ADA</w:t>
            </w:r>
          </w:p>
        </w:tc>
      </w:tr>
      <w:tr w14:paraId="216CF7DE"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3A137EF7" w14:textId="77777777">
            <w:pPr>
              <w:autoSpaceDE w:val="0"/>
              <w:autoSpaceDN w:val="0"/>
              <w:adjustRightInd w:val="0"/>
              <w:rPr>
                <w:szCs w:val="22"/>
              </w:rPr>
            </w:pPr>
            <w:r>
              <w:rPr>
                <w:szCs w:val="22"/>
              </w:rPr>
              <w:t>WHIO‐TV</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18FA9902" w14:textId="77777777">
            <w:pPr>
              <w:pStyle w:val="ParaNum"/>
              <w:numPr>
                <w:ilvl w:val="0"/>
                <w:numId w:val="0"/>
              </w:numPr>
              <w:tabs>
                <w:tab w:val="left" w:pos="720"/>
              </w:tabs>
              <w:spacing w:after="0"/>
              <w:rPr>
                <w:szCs w:val="22"/>
              </w:rPr>
            </w:pPr>
            <w:r>
              <w:rPr>
                <w:szCs w:val="22"/>
              </w:rPr>
              <w:t>41458</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60CC9BF2" w14:textId="77777777">
            <w:pPr>
              <w:pStyle w:val="ParaNum"/>
              <w:numPr>
                <w:ilvl w:val="0"/>
                <w:numId w:val="0"/>
              </w:numPr>
              <w:tabs>
                <w:tab w:val="left" w:pos="720"/>
              </w:tabs>
              <w:spacing w:after="0"/>
              <w:ind w:hanging="17"/>
              <w:rPr>
                <w:szCs w:val="22"/>
              </w:rPr>
            </w:pPr>
            <w:r>
              <w:rPr>
                <w:szCs w:val="22"/>
              </w:rPr>
              <w:t>Dayton, OH</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248771ED" w14:textId="77777777">
            <w:pPr>
              <w:pStyle w:val="ParaNum"/>
              <w:numPr>
                <w:ilvl w:val="0"/>
                <w:numId w:val="0"/>
              </w:numPr>
              <w:tabs>
                <w:tab w:val="left" w:pos="720"/>
              </w:tabs>
              <w:spacing w:after="0"/>
              <w:ind w:hanging="17"/>
              <w:rPr>
                <w:szCs w:val="22"/>
              </w:rPr>
            </w:pPr>
            <w:r>
              <w:rPr>
                <w:szCs w:val="22"/>
              </w:rPr>
              <w:t>Miami Valley Broadcasting Corporation</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7B2A50DC" w14:textId="77777777">
            <w:pPr>
              <w:rPr>
                <w:szCs w:val="22"/>
              </w:rPr>
            </w:pPr>
            <w:r>
              <w:rPr>
                <w:szCs w:val="22"/>
              </w:rPr>
              <w:t>BTCCDT‐20190304ADD</w:t>
            </w:r>
          </w:p>
        </w:tc>
      </w:tr>
      <w:tr w14:paraId="0186D7D1"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6C6DC182" w14:textId="77777777">
            <w:pPr>
              <w:autoSpaceDE w:val="0"/>
              <w:autoSpaceDN w:val="0"/>
              <w:adjustRightInd w:val="0"/>
              <w:rPr>
                <w:szCs w:val="22"/>
              </w:rPr>
            </w:pPr>
            <w:r>
              <w:rPr>
                <w:kern w:val="0"/>
                <w:szCs w:val="22"/>
              </w:rPr>
              <w:t>WHIO(AM)</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49A58B77" w14:textId="77777777">
            <w:pPr>
              <w:pStyle w:val="ParaNum"/>
              <w:numPr>
                <w:ilvl w:val="0"/>
                <w:numId w:val="0"/>
              </w:numPr>
              <w:tabs>
                <w:tab w:val="left" w:pos="720"/>
              </w:tabs>
              <w:spacing w:after="0"/>
              <w:rPr>
                <w:szCs w:val="22"/>
              </w:rPr>
            </w:pPr>
            <w:r>
              <w:rPr>
                <w:kern w:val="0"/>
                <w:szCs w:val="22"/>
              </w:rPr>
              <w:t>14244</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6EE43C27" w14:textId="77777777">
            <w:pPr>
              <w:pStyle w:val="ParaNum"/>
              <w:numPr>
                <w:ilvl w:val="0"/>
                <w:numId w:val="0"/>
              </w:numPr>
              <w:tabs>
                <w:tab w:val="left" w:pos="720"/>
              </w:tabs>
              <w:spacing w:after="0"/>
              <w:ind w:hanging="17"/>
              <w:rPr>
                <w:szCs w:val="22"/>
              </w:rPr>
            </w:pPr>
            <w:r>
              <w:rPr>
                <w:kern w:val="0"/>
                <w:szCs w:val="22"/>
              </w:rPr>
              <w:t>Dayton, OH</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44E4A1E6" w14:textId="77777777">
            <w:pPr>
              <w:rPr>
                <w:szCs w:val="22"/>
              </w:rPr>
            </w:pPr>
            <w:r>
              <w:rPr>
                <w:kern w:val="0"/>
                <w:szCs w:val="22"/>
              </w:rPr>
              <w:t>Cox Radio, Inc.</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1223C69B" w14:textId="77777777">
            <w:pPr>
              <w:rPr>
                <w:szCs w:val="22"/>
              </w:rPr>
            </w:pPr>
            <w:r>
              <w:rPr>
                <w:kern w:val="0"/>
                <w:szCs w:val="22"/>
              </w:rPr>
              <w:t>BAL‐20190304AER</w:t>
            </w:r>
          </w:p>
        </w:tc>
      </w:tr>
      <w:tr w14:paraId="7EF51DEC"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2D12268C" w14:textId="77777777">
            <w:pPr>
              <w:autoSpaceDE w:val="0"/>
              <w:autoSpaceDN w:val="0"/>
              <w:adjustRightInd w:val="0"/>
              <w:rPr>
                <w:szCs w:val="22"/>
              </w:rPr>
            </w:pPr>
            <w:r>
              <w:rPr>
                <w:kern w:val="0"/>
                <w:szCs w:val="22"/>
              </w:rPr>
              <w:t>WHIO‐FM</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2C5D967D" w14:textId="77777777">
            <w:pPr>
              <w:pStyle w:val="ParaNum"/>
              <w:numPr>
                <w:ilvl w:val="0"/>
                <w:numId w:val="0"/>
              </w:numPr>
              <w:tabs>
                <w:tab w:val="left" w:pos="720"/>
              </w:tabs>
              <w:spacing w:after="0"/>
              <w:rPr>
                <w:szCs w:val="22"/>
              </w:rPr>
            </w:pPr>
            <w:r>
              <w:rPr>
                <w:kern w:val="0"/>
                <w:szCs w:val="22"/>
              </w:rPr>
              <w:t>73908</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1D62FF49" w14:textId="77777777">
            <w:pPr>
              <w:pStyle w:val="ParaNum"/>
              <w:numPr>
                <w:ilvl w:val="0"/>
                <w:numId w:val="0"/>
              </w:numPr>
              <w:tabs>
                <w:tab w:val="left" w:pos="720"/>
              </w:tabs>
              <w:spacing w:after="0"/>
              <w:ind w:hanging="17"/>
              <w:rPr>
                <w:szCs w:val="22"/>
              </w:rPr>
            </w:pPr>
            <w:r>
              <w:rPr>
                <w:szCs w:val="22"/>
              </w:rPr>
              <w:t>Pleasant Hill, OH</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79E84262" w14:textId="77777777">
            <w:pPr>
              <w:rPr>
                <w:szCs w:val="22"/>
              </w:rPr>
            </w:pPr>
            <w:r>
              <w:rPr>
                <w:kern w:val="0"/>
                <w:szCs w:val="22"/>
              </w:rPr>
              <w:t>Cox Radio, Inc.</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5E47AE43" w14:textId="77777777">
            <w:pPr>
              <w:rPr>
                <w:szCs w:val="22"/>
              </w:rPr>
            </w:pPr>
            <w:r>
              <w:rPr>
                <w:kern w:val="0"/>
                <w:szCs w:val="22"/>
              </w:rPr>
              <w:t>BALH‐20190304AES</w:t>
            </w:r>
          </w:p>
        </w:tc>
      </w:tr>
      <w:tr w14:paraId="5F88523E"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1C89E1EB" w14:textId="77777777">
            <w:pPr>
              <w:autoSpaceDE w:val="0"/>
              <w:autoSpaceDN w:val="0"/>
              <w:adjustRightInd w:val="0"/>
              <w:rPr>
                <w:szCs w:val="22"/>
              </w:rPr>
            </w:pPr>
            <w:r>
              <w:rPr>
                <w:kern w:val="0"/>
                <w:szCs w:val="22"/>
              </w:rPr>
              <w:t>WHKO(FM)</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70ACBF86" w14:textId="77777777">
            <w:pPr>
              <w:pStyle w:val="ParaNum"/>
              <w:numPr>
                <w:ilvl w:val="0"/>
                <w:numId w:val="0"/>
              </w:numPr>
              <w:tabs>
                <w:tab w:val="left" w:pos="720"/>
              </w:tabs>
              <w:spacing w:after="0"/>
              <w:rPr>
                <w:szCs w:val="22"/>
              </w:rPr>
            </w:pPr>
            <w:r>
              <w:rPr>
                <w:kern w:val="0"/>
                <w:szCs w:val="22"/>
              </w:rPr>
              <w:t>14245</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2E3C58A3" w14:textId="77777777">
            <w:pPr>
              <w:pStyle w:val="ParaNum"/>
              <w:numPr>
                <w:ilvl w:val="0"/>
                <w:numId w:val="0"/>
              </w:numPr>
              <w:tabs>
                <w:tab w:val="left" w:pos="720"/>
              </w:tabs>
              <w:spacing w:after="0"/>
              <w:ind w:hanging="17"/>
              <w:rPr>
                <w:szCs w:val="22"/>
              </w:rPr>
            </w:pPr>
            <w:r>
              <w:rPr>
                <w:kern w:val="0"/>
                <w:szCs w:val="22"/>
              </w:rPr>
              <w:t>Dayton, OH</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5C2140DA" w14:textId="77777777">
            <w:pPr>
              <w:rPr>
                <w:szCs w:val="22"/>
              </w:rPr>
            </w:pPr>
            <w:r>
              <w:rPr>
                <w:kern w:val="0"/>
                <w:szCs w:val="22"/>
              </w:rPr>
              <w:t>Cox Radio, Inc.</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02C1CAA8" w14:textId="77777777">
            <w:pPr>
              <w:rPr>
                <w:szCs w:val="22"/>
              </w:rPr>
            </w:pPr>
            <w:r>
              <w:rPr>
                <w:kern w:val="0"/>
                <w:szCs w:val="22"/>
              </w:rPr>
              <w:t>BALH‐20190304AET</w:t>
            </w:r>
          </w:p>
        </w:tc>
      </w:tr>
      <w:tr w14:paraId="459D0DA9"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0BC7EBBF" w14:textId="77777777">
            <w:pPr>
              <w:autoSpaceDE w:val="0"/>
              <w:autoSpaceDN w:val="0"/>
              <w:adjustRightInd w:val="0"/>
              <w:rPr>
                <w:szCs w:val="22"/>
              </w:rPr>
            </w:pPr>
            <w:r>
              <w:rPr>
                <w:kern w:val="0"/>
                <w:szCs w:val="22"/>
              </w:rPr>
              <w:t>WZLR(FM)</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0FABB2FD" w14:textId="77777777">
            <w:pPr>
              <w:pStyle w:val="ParaNum"/>
              <w:numPr>
                <w:ilvl w:val="0"/>
                <w:numId w:val="0"/>
              </w:numPr>
              <w:tabs>
                <w:tab w:val="left" w:pos="720"/>
              </w:tabs>
              <w:spacing w:after="0"/>
              <w:rPr>
                <w:szCs w:val="22"/>
              </w:rPr>
            </w:pPr>
            <w:r>
              <w:rPr>
                <w:kern w:val="0"/>
                <w:szCs w:val="22"/>
              </w:rPr>
              <w:t>15649</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48FE5B04" w14:textId="77777777">
            <w:pPr>
              <w:pStyle w:val="ParaNum"/>
              <w:numPr>
                <w:ilvl w:val="0"/>
                <w:numId w:val="0"/>
              </w:numPr>
              <w:tabs>
                <w:tab w:val="left" w:pos="720"/>
              </w:tabs>
              <w:spacing w:after="0"/>
              <w:ind w:hanging="17"/>
              <w:rPr>
                <w:szCs w:val="22"/>
              </w:rPr>
            </w:pPr>
            <w:r>
              <w:rPr>
                <w:szCs w:val="22"/>
              </w:rPr>
              <w:t>Xenia, OH</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60F690C0" w14:textId="77777777">
            <w:pPr>
              <w:rPr>
                <w:szCs w:val="22"/>
              </w:rPr>
            </w:pPr>
            <w:r>
              <w:rPr>
                <w:kern w:val="0"/>
                <w:szCs w:val="22"/>
              </w:rPr>
              <w:t>Cox Radio, Inc.</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6E1C0FF5" w14:textId="77777777">
            <w:pPr>
              <w:rPr>
                <w:szCs w:val="22"/>
              </w:rPr>
            </w:pPr>
            <w:r>
              <w:rPr>
                <w:kern w:val="0"/>
                <w:szCs w:val="22"/>
              </w:rPr>
              <w:t>BALH‐20190304AEU</w:t>
            </w:r>
          </w:p>
        </w:tc>
      </w:tr>
      <w:tr w14:paraId="25312C47"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3521D65A" w14:textId="77777777">
            <w:pPr>
              <w:autoSpaceDE w:val="0"/>
              <w:autoSpaceDN w:val="0"/>
              <w:adjustRightInd w:val="0"/>
              <w:rPr>
                <w:szCs w:val="22"/>
              </w:rPr>
            </w:pPr>
            <w:r>
              <w:rPr>
                <w:szCs w:val="22"/>
              </w:rPr>
              <w:t>WFOX‐TV</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6E28F8E2" w14:textId="77777777">
            <w:pPr>
              <w:pStyle w:val="ParaNum"/>
              <w:numPr>
                <w:ilvl w:val="0"/>
                <w:numId w:val="0"/>
              </w:numPr>
              <w:tabs>
                <w:tab w:val="left" w:pos="720"/>
              </w:tabs>
              <w:spacing w:after="0"/>
              <w:rPr>
                <w:szCs w:val="22"/>
              </w:rPr>
            </w:pPr>
            <w:r>
              <w:rPr>
                <w:szCs w:val="22"/>
              </w:rPr>
              <w:t>11909</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34E0ED2A" w14:textId="77777777">
            <w:pPr>
              <w:pStyle w:val="ParaNum"/>
              <w:numPr>
                <w:ilvl w:val="0"/>
                <w:numId w:val="0"/>
              </w:numPr>
              <w:tabs>
                <w:tab w:val="left" w:pos="720"/>
              </w:tabs>
              <w:spacing w:after="0"/>
              <w:ind w:hanging="17"/>
              <w:rPr>
                <w:szCs w:val="22"/>
              </w:rPr>
            </w:pPr>
            <w:r>
              <w:rPr>
                <w:szCs w:val="22"/>
              </w:rPr>
              <w:t>Jacksonville, FL</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33F72FDD" w14:textId="77777777">
            <w:pPr>
              <w:pStyle w:val="ParaNum"/>
              <w:numPr>
                <w:ilvl w:val="0"/>
                <w:numId w:val="0"/>
              </w:numPr>
              <w:tabs>
                <w:tab w:val="left" w:pos="720"/>
              </w:tabs>
              <w:spacing w:after="0"/>
              <w:ind w:hanging="17"/>
              <w:rPr>
                <w:szCs w:val="22"/>
              </w:rPr>
            </w:pPr>
            <w:r>
              <w:rPr>
                <w:szCs w:val="22"/>
              </w:rPr>
              <w:t>Cox Television Jacksonville</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2CF3EF54" w14:textId="77777777">
            <w:pPr>
              <w:rPr>
                <w:szCs w:val="22"/>
              </w:rPr>
            </w:pPr>
            <w:r>
              <w:rPr>
                <w:szCs w:val="22"/>
              </w:rPr>
              <w:t>BTCCDT‐20190304ADH</w:t>
            </w:r>
          </w:p>
        </w:tc>
      </w:tr>
      <w:tr w14:paraId="41AC5CB6"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6A7C738F" w14:textId="77777777">
            <w:pPr>
              <w:autoSpaceDE w:val="0"/>
              <w:autoSpaceDN w:val="0"/>
              <w:adjustRightInd w:val="0"/>
              <w:rPr>
                <w:szCs w:val="22"/>
              </w:rPr>
            </w:pPr>
            <w:r>
              <w:rPr>
                <w:szCs w:val="22"/>
              </w:rPr>
              <w:t>WHBQ‐TV</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436A3800" w14:textId="77777777">
            <w:pPr>
              <w:pStyle w:val="ParaNum"/>
              <w:numPr>
                <w:ilvl w:val="0"/>
                <w:numId w:val="0"/>
              </w:numPr>
              <w:tabs>
                <w:tab w:val="left" w:pos="720"/>
              </w:tabs>
              <w:spacing w:after="0"/>
              <w:rPr>
                <w:szCs w:val="22"/>
              </w:rPr>
            </w:pPr>
            <w:r>
              <w:rPr>
                <w:szCs w:val="22"/>
              </w:rPr>
              <w:t>12521</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5CF325ED" w14:textId="77777777">
            <w:pPr>
              <w:pStyle w:val="ParaNum"/>
              <w:numPr>
                <w:ilvl w:val="0"/>
                <w:numId w:val="0"/>
              </w:numPr>
              <w:tabs>
                <w:tab w:val="left" w:pos="720"/>
              </w:tabs>
              <w:spacing w:after="0"/>
              <w:ind w:hanging="17"/>
              <w:rPr>
                <w:szCs w:val="22"/>
              </w:rPr>
            </w:pPr>
            <w:r>
              <w:rPr>
                <w:szCs w:val="22"/>
              </w:rPr>
              <w:t>Memphis, TN</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7702CB56" w14:textId="77777777">
            <w:pPr>
              <w:pStyle w:val="ParaNum"/>
              <w:numPr>
                <w:ilvl w:val="0"/>
                <w:numId w:val="0"/>
              </w:numPr>
              <w:tabs>
                <w:tab w:val="left" w:pos="720"/>
              </w:tabs>
              <w:spacing w:after="0"/>
              <w:ind w:hanging="17"/>
              <w:rPr>
                <w:szCs w:val="22"/>
              </w:rPr>
            </w:pPr>
            <w:r>
              <w:rPr>
                <w:szCs w:val="22"/>
              </w:rPr>
              <w:t>Cox Media Group Northeast</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413FA511" w14:textId="77777777">
            <w:pPr>
              <w:rPr>
                <w:szCs w:val="22"/>
              </w:rPr>
            </w:pPr>
            <w:r>
              <w:rPr>
                <w:szCs w:val="22"/>
              </w:rPr>
              <w:t>BTCCDT‐20190304ADJ</w:t>
            </w:r>
          </w:p>
        </w:tc>
      </w:tr>
      <w:tr w14:paraId="0B97D361"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0C6D7C4D" w14:textId="77777777">
            <w:pPr>
              <w:autoSpaceDE w:val="0"/>
              <w:autoSpaceDN w:val="0"/>
              <w:adjustRightInd w:val="0"/>
              <w:rPr>
                <w:szCs w:val="22"/>
              </w:rPr>
            </w:pPr>
            <w:r>
              <w:rPr>
                <w:szCs w:val="22"/>
              </w:rPr>
              <w:t>WFXT(TV)</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5F4642B4" w14:textId="77777777">
            <w:pPr>
              <w:pStyle w:val="ParaNum"/>
              <w:numPr>
                <w:ilvl w:val="0"/>
                <w:numId w:val="0"/>
              </w:numPr>
              <w:tabs>
                <w:tab w:val="left" w:pos="720"/>
              </w:tabs>
              <w:spacing w:after="0"/>
              <w:rPr>
                <w:szCs w:val="22"/>
              </w:rPr>
            </w:pPr>
            <w:r>
              <w:rPr>
                <w:szCs w:val="22"/>
              </w:rPr>
              <w:t>6463</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2579DE17" w14:textId="77777777">
            <w:pPr>
              <w:pStyle w:val="ParaNum"/>
              <w:numPr>
                <w:ilvl w:val="0"/>
                <w:numId w:val="0"/>
              </w:numPr>
              <w:tabs>
                <w:tab w:val="left" w:pos="720"/>
              </w:tabs>
              <w:spacing w:after="0"/>
              <w:ind w:hanging="17"/>
              <w:rPr>
                <w:szCs w:val="22"/>
              </w:rPr>
            </w:pPr>
            <w:r>
              <w:rPr>
                <w:szCs w:val="22"/>
              </w:rPr>
              <w:t>Boston, MA</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4F49E502" w14:textId="77777777">
            <w:pPr>
              <w:pStyle w:val="ParaNum"/>
              <w:numPr>
                <w:ilvl w:val="0"/>
                <w:numId w:val="0"/>
              </w:numPr>
              <w:tabs>
                <w:tab w:val="left" w:pos="720"/>
              </w:tabs>
              <w:spacing w:after="0"/>
              <w:ind w:hanging="17"/>
              <w:rPr>
                <w:szCs w:val="22"/>
              </w:rPr>
            </w:pPr>
            <w:r>
              <w:rPr>
                <w:szCs w:val="22"/>
              </w:rPr>
              <w:t>Cox Media Group Northeast</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60E35098" w14:textId="77777777">
            <w:pPr>
              <w:rPr>
                <w:szCs w:val="22"/>
              </w:rPr>
            </w:pPr>
            <w:r>
              <w:rPr>
                <w:szCs w:val="22"/>
              </w:rPr>
              <w:t>BTCCDT‐20190304ADK</w:t>
            </w:r>
          </w:p>
        </w:tc>
      </w:tr>
      <w:tr w14:paraId="316A4974"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5A94E2E3" w14:textId="77777777">
            <w:pPr>
              <w:autoSpaceDE w:val="0"/>
              <w:autoSpaceDN w:val="0"/>
              <w:adjustRightInd w:val="0"/>
              <w:rPr>
                <w:szCs w:val="22"/>
              </w:rPr>
            </w:pPr>
            <w:r>
              <w:rPr>
                <w:szCs w:val="22"/>
              </w:rPr>
              <w:t>WFTV(TV)</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1CD11694" w14:textId="77777777">
            <w:pPr>
              <w:pStyle w:val="ParaNum"/>
              <w:numPr>
                <w:ilvl w:val="0"/>
                <w:numId w:val="0"/>
              </w:numPr>
              <w:tabs>
                <w:tab w:val="left" w:pos="720"/>
              </w:tabs>
              <w:spacing w:after="0"/>
              <w:rPr>
                <w:szCs w:val="22"/>
              </w:rPr>
            </w:pPr>
            <w:r>
              <w:rPr>
                <w:szCs w:val="22"/>
              </w:rPr>
              <w:t>72076</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1C5BE5C3" w14:textId="77777777">
            <w:pPr>
              <w:pStyle w:val="ParaNum"/>
              <w:numPr>
                <w:ilvl w:val="0"/>
                <w:numId w:val="0"/>
              </w:numPr>
              <w:tabs>
                <w:tab w:val="left" w:pos="720"/>
              </w:tabs>
              <w:spacing w:after="0"/>
              <w:ind w:hanging="17"/>
              <w:rPr>
                <w:szCs w:val="22"/>
              </w:rPr>
            </w:pPr>
            <w:r>
              <w:rPr>
                <w:szCs w:val="22"/>
              </w:rPr>
              <w:t>Orlando, FL</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0C8A33F3" w14:textId="77777777">
            <w:pPr>
              <w:pStyle w:val="ParaNum"/>
              <w:numPr>
                <w:ilvl w:val="0"/>
                <w:numId w:val="0"/>
              </w:numPr>
              <w:tabs>
                <w:tab w:val="left" w:pos="720"/>
              </w:tabs>
              <w:spacing w:after="0"/>
              <w:ind w:hanging="17"/>
              <w:rPr>
                <w:szCs w:val="22"/>
              </w:rPr>
            </w:pPr>
            <w:r>
              <w:rPr>
                <w:szCs w:val="22"/>
              </w:rPr>
              <w:t>WFTV, LLC</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2CF7970B" w14:textId="77777777">
            <w:pPr>
              <w:rPr>
                <w:szCs w:val="22"/>
              </w:rPr>
            </w:pPr>
            <w:r>
              <w:rPr>
                <w:szCs w:val="22"/>
              </w:rPr>
              <w:t>BTCCDT‐20190304ADQ</w:t>
            </w:r>
          </w:p>
        </w:tc>
      </w:tr>
      <w:tr w14:paraId="1763A350"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5590B36B" w14:textId="77777777">
            <w:pPr>
              <w:autoSpaceDE w:val="0"/>
              <w:autoSpaceDN w:val="0"/>
              <w:adjustRightInd w:val="0"/>
              <w:rPr>
                <w:szCs w:val="22"/>
              </w:rPr>
            </w:pPr>
            <w:r>
              <w:rPr>
                <w:szCs w:val="22"/>
              </w:rPr>
              <w:t>W38EO‐D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2B3FE644" w14:textId="77777777">
            <w:pPr>
              <w:pStyle w:val="ParaNum"/>
              <w:numPr>
                <w:ilvl w:val="0"/>
                <w:numId w:val="0"/>
              </w:numPr>
              <w:tabs>
                <w:tab w:val="left" w:pos="720"/>
              </w:tabs>
              <w:spacing w:after="0"/>
              <w:rPr>
                <w:szCs w:val="22"/>
              </w:rPr>
            </w:pPr>
            <w:r>
              <w:rPr>
                <w:rFonts w:eastAsia="Calibri"/>
                <w:kern w:val="0"/>
                <w:szCs w:val="22"/>
              </w:rPr>
              <w:t>181668</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4D7182BD" w14:textId="77777777">
            <w:pPr>
              <w:pStyle w:val="ParaNum"/>
              <w:numPr>
                <w:ilvl w:val="0"/>
                <w:numId w:val="0"/>
              </w:numPr>
              <w:tabs>
                <w:tab w:val="left" w:pos="720"/>
              </w:tabs>
              <w:spacing w:after="0"/>
              <w:ind w:hanging="17"/>
              <w:rPr>
                <w:szCs w:val="22"/>
              </w:rPr>
            </w:pPr>
            <w:r>
              <w:rPr>
                <w:szCs w:val="22"/>
              </w:rPr>
              <w:t>Williston, FL</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16B163CE" w14:textId="77777777">
            <w:pPr>
              <w:rPr>
                <w:szCs w:val="22"/>
              </w:rPr>
            </w:pPr>
            <w:r>
              <w:rPr>
                <w:szCs w:val="22"/>
              </w:rPr>
              <w:t>WFTV, LLC</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2E4E92D4" w14:textId="77777777">
            <w:pPr>
              <w:pStyle w:val="ParaNum"/>
              <w:numPr>
                <w:ilvl w:val="0"/>
                <w:numId w:val="0"/>
              </w:numPr>
              <w:tabs>
                <w:tab w:val="left" w:pos="720"/>
              </w:tabs>
              <w:spacing w:after="0"/>
              <w:rPr>
                <w:szCs w:val="22"/>
              </w:rPr>
            </w:pPr>
            <w:r>
              <w:rPr>
                <w:szCs w:val="22"/>
              </w:rPr>
              <w:t>BTC(DTL)‐20190304ADR</w:t>
            </w:r>
          </w:p>
        </w:tc>
      </w:tr>
      <w:tr w14:paraId="1787EA35"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647CF4CC" w14:textId="77777777">
            <w:pPr>
              <w:autoSpaceDE w:val="0"/>
              <w:autoSpaceDN w:val="0"/>
              <w:adjustRightInd w:val="0"/>
              <w:rPr>
                <w:szCs w:val="22"/>
              </w:rPr>
            </w:pPr>
            <w:r>
              <w:rPr>
                <w:szCs w:val="22"/>
              </w:rPr>
              <w:t>W36DV‐D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28C833EA" w14:textId="77777777">
            <w:pPr>
              <w:pStyle w:val="ParaNum"/>
              <w:numPr>
                <w:ilvl w:val="0"/>
                <w:numId w:val="0"/>
              </w:numPr>
              <w:tabs>
                <w:tab w:val="left" w:pos="720"/>
              </w:tabs>
              <w:spacing w:after="0"/>
              <w:rPr>
                <w:szCs w:val="22"/>
              </w:rPr>
            </w:pPr>
            <w:r>
              <w:rPr>
                <w:szCs w:val="22"/>
              </w:rPr>
              <w:t>181650</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237C70E0" w14:textId="77777777">
            <w:pPr>
              <w:pStyle w:val="ParaNum"/>
              <w:numPr>
                <w:ilvl w:val="0"/>
                <w:numId w:val="0"/>
              </w:numPr>
              <w:tabs>
                <w:tab w:val="left" w:pos="720"/>
              </w:tabs>
              <w:spacing w:after="0"/>
              <w:ind w:hanging="17"/>
              <w:rPr>
                <w:szCs w:val="22"/>
              </w:rPr>
            </w:pPr>
            <w:r>
              <w:rPr>
                <w:szCs w:val="22"/>
              </w:rPr>
              <w:t>Sebastian, FL</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7803052F" w14:textId="77777777">
            <w:pPr>
              <w:rPr>
                <w:szCs w:val="22"/>
              </w:rPr>
            </w:pPr>
            <w:r>
              <w:rPr>
                <w:szCs w:val="22"/>
              </w:rPr>
              <w:t>WFTV, LLC</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26EAC4AD" w14:textId="77777777">
            <w:pPr>
              <w:pStyle w:val="ParaNum"/>
              <w:numPr>
                <w:ilvl w:val="0"/>
                <w:numId w:val="0"/>
              </w:numPr>
              <w:tabs>
                <w:tab w:val="left" w:pos="720"/>
              </w:tabs>
              <w:spacing w:after="0"/>
              <w:rPr>
                <w:szCs w:val="22"/>
              </w:rPr>
            </w:pPr>
            <w:r>
              <w:rPr>
                <w:szCs w:val="22"/>
              </w:rPr>
              <w:t>BTC(DTL)‐20190304ADS</w:t>
            </w:r>
          </w:p>
        </w:tc>
      </w:tr>
      <w:tr w14:paraId="2B646174"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5430A00F" w14:textId="77777777">
            <w:pPr>
              <w:autoSpaceDE w:val="0"/>
              <w:autoSpaceDN w:val="0"/>
              <w:adjustRightInd w:val="0"/>
              <w:rPr>
                <w:szCs w:val="22"/>
              </w:rPr>
            </w:pPr>
            <w:r>
              <w:rPr>
                <w:szCs w:val="22"/>
              </w:rPr>
              <w:t>WRDQ(TV)</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6879511D" w14:textId="77777777">
            <w:pPr>
              <w:pStyle w:val="ParaNum"/>
              <w:numPr>
                <w:ilvl w:val="0"/>
                <w:numId w:val="0"/>
              </w:numPr>
              <w:tabs>
                <w:tab w:val="left" w:pos="720"/>
              </w:tabs>
              <w:spacing w:after="0"/>
              <w:rPr>
                <w:szCs w:val="22"/>
              </w:rPr>
            </w:pPr>
            <w:r>
              <w:rPr>
                <w:szCs w:val="22"/>
              </w:rPr>
              <w:t>55454</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1129B46F" w14:textId="77777777">
            <w:pPr>
              <w:pStyle w:val="ParaNum"/>
              <w:numPr>
                <w:ilvl w:val="0"/>
                <w:numId w:val="0"/>
              </w:numPr>
              <w:tabs>
                <w:tab w:val="left" w:pos="720"/>
              </w:tabs>
              <w:spacing w:after="0"/>
              <w:ind w:hanging="17"/>
              <w:rPr>
                <w:szCs w:val="22"/>
              </w:rPr>
            </w:pPr>
            <w:r>
              <w:rPr>
                <w:szCs w:val="22"/>
              </w:rPr>
              <w:t>Orlando, FL</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07FBB336" w14:textId="77777777">
            <w:pPr>
              <w:rPr>
                <w:szCs w:val="22"/>
              </w:rPr>
            </w:pPr>
            <w:r>
              <w:rPr>
                <w:szCs w:val="22"/>
              </w:rPr>
              <w:t>WFTV, LLC</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5E16CA86" w14:textId="77777777">
            <w:pPr>
              <w:pStyle w:val="ParaNum"/>
              <w:numPr>
                <w:ilvl w:val="0"/>
                <w:numId w:val="0"/>
              </w:numPr>
              <w:tabs>
                <w:tab w:val="left" w:pos="720"/>
              </w:tabs>
              <w:spacing w:after="0"/>
              <w:rPr>
                <w:szCs w:val="22"/>
              </w:rPr>
            </w:pPr>
            <w:r>
              <w:rPr>
                <w:szCs w:val="22"/>
              </w:rPr>
              <w:t>BTC(DTL)‐20190304ADT</w:t>
            </w:r>
          </w:p>
        </w:tc>
      </w:tr>
      <w:tr w14:paraId="40026BEC"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44FB72C3" w14:textId="77777777">
            <w:pPr>
              <w:autoSpaceDE w:val="0"/>
              <w:autoSpaceDN w:val="0"/>
              <w:adjustRightInd w:val="0"/>
              <w:rPr>
                <w:szCs w:val="22"/>
              </w:rPr>
            </w:pPr>
            <w:r>
              <w:rPr>
                <w:szCs w:val="22"/>
              </w:rPr>
              <w:t>KIRO‐TV</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7D6E7196" w14:textId="77777777">
            <w:pPr>
              <w:pStyle w:val="ParaNum"/>
              <w:numPr>
                <w:ilvl w:val="0"/>
                <w:numId w:val="0"/>
              </w:numPr>
              <w:tabs>
                <w:tab w:val="left" w:pos="720"/>
              </w:tabs>
              <w:spacing w:after="0"/>
              <w:rPr>
                <w:szCs w:val="22"/>
              </w:rPr>
            </w:pPr>
            <w:r>
              <w:rPr>
                <w:szCs w:val="22"/>
              </w:rPr>
              <w:t>66781</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11088407" w14:textId="77777777">
            <w:pPr>
              <w:pStyle w:val="ParaNum"/>
              <w:numPr>
                <w:ilvl w:val="0"/>
                <w:numId w:val="0"/>
              </w:numPr>
              <w:tabs>
                <w:tab w:val="left" w:pos="720"/>
              </w:tabs>
              <w:spacing w:after="0"/>
              <w:ind w:hanging="17"/>
              <w:rPr>
                <w:szCs w:val="22"/>
              </w:rPr>
            </w:pPr>
            <w:r>
              <w:rPr>
                <w:szCs w:val="22"/>
              </w:rPr>
              <w:t>Seattle, WA</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0EBDAFD3" w14:textId="77777777">
            <w:pPr>
              <w:rPr>
                <w:szCs w:val="22"/>
              </w:rPr>
            </w:pPr>
            <w:r>
              <w:rPr>
                <w:szCs w:val="22"/>
              </w:rPr>
              <w:t xml:space="preserve">KIRO‐TV, Inc. </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1E0EFCBC" w14:textId="77777777">
            <w:pPr>
              <w:rPr>
                <w:szCs w:val="22"/>
              </w:rPr>
            </w:pPr>
            <w:r>
              <w:rPr>
                <w:szCs w:val="22"/>
              </w:rPr>
              <w:t>BTCCDT‐20190304AEH</w:t>
            </w:r>
          </w:p>
        </w:tc>
      </w:tr>
      <w:tr w14:paraId="1FA7EEE5"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37F31C58" w14:textId="77777777">
            <w:pPr>
              <w:autoSpaceDE w:val="0"/>
              <w:autoSpaceDN w:val="0"/>
              <w:adjustRightInd w:val="0"/>
              <w:rPr>
                <w:szCs w:val="22"/>
              </w:rPr>
            </w:pPr>
            <w:r>
              <w:rPr>
                <w:szCs w:val="22"/>
              </w:rPr>
              <w:t>K17IZ‐D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04932D1F" w14:textId="77777777">
            <w:pPr>
              <w:pStyle w:val="ParaNum"/>
              <w:numPr>
                <w:ilvl w:val="0"/>
                <w:numId w:val="0"/>
              </w:numPr>
              <w:tabs>
                <w:tab w:val="left" w:pos="720"/>
              </w:tabs>
              <w:spacing w:after="0"/>
              <w:rPr>
                <w:szCs w:val="22"/>
              </w:rPr>
            </w:pPr>
            <w:r>
              <w:rPr>
                <w:szCs w:val="22"/>
              </w:rPr>
              <w:t>66786</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1D36A6E0" w14:textId="77777777">
            <w:pPr>
              <w:pStyle w:val="ParaNum"/>
              <w:numPr>
                <w:ilvl w:val="0"/>
                <w:numId w:val="0"/>
              </w:numPr>
              <w:tabs>
                <w:tab w:val="left" w:pos="720"/>
              </w:tabs>
              <w:spacing w:after="0"/>
              <w:ind w:hanging="17"/>
              <w:rPr>
                <w:szCs w:val="22"/>
              </w:rPr>
            </w:pPr>
            <w:r>
              <w:rPr>
                <w:szCs w:val="22"/>
              </w:rPr>
              <w:t>Everett, WA</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54ACA415" w14:textId="77777777">
            <w:pPr>
              <w:rPr>
                <w:szCs w:val="22"/>
              </w:rPr>
            </w:pPr>
            <w:r>
              <w:rPr>
                <w:szCs w:val="22"/>
              </w:rPr>
              <w:t xml:space="preserve">KIRO‐TV, Inc. </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7E1FA91E" w14:textId="77777777">
            <w:pPr>
              <w:rPr>
                <w:szCs w:val="22"/>
              </w:rPr>
            </w:pPr>
            <w:r>
              <w:rPr>
                <w:szCs w:val="22"/>
              </w:rPr>
              <w:t>BTCCDT‐20190304AEI</w:t>
            </w:r>
          </w:p>
        </w:tc>
      </w:tr>
      <w:tr w14:paraId="6A21C7EE"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08847893" w14:textId="77777777">
            <w:pPr>
              <w:autoSpaceDE w:val="0"/>
              <w:autoSpaceDN w:val="0"/>
              <w:adjustRightInd w:val="0"/>
              <w:rPr>
                <w:szCs w:val="22"/>
              </w:rPr>
            </w:pPr>
            <w:r>
              <w:rPr>
                <w:szCs w:val="22"/>
              </w:rPr>
              <w:t>K26IC‐D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5D12476A" w14:textId="77777777">
            <w:pPr>
              <w:pStyle w:val="ParaNum"/>
              <w:numPr>
                <w:ilvl w:val="0"/>
                <w:numId w:val="0"/>
              </w:numPr>
              <w:tabs>
                <w:tab w:val="left" w:pos="720"/>
              </w:tabs>
              <w:spacing w:after="0"/>
              <w:rPr>
                <w:szCs w:val="22"/>
              </w:rPr>
            </w:pPr>
            <w:r>
              <w:rPr>
                <w:szCs w:val="22"/>
              </w:rPr>
              <w:t>66785</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214A8733" w14:textId="77777777">
            <w:pPr>
              <w:pStyle w:val="ParaNum"/>
              <w:numPr>
                <w:ilvl w:val="0"/>
                <w:numId w:val="0"/>
              </w:numPr>
              <w:tabs>
                <w:tab w:val="left" w:pos="720"/>
              </w:tabs>
              <w:spacing w:after="0"/>
              <w:ind w:hanging="17"/>
              <w:rPr>
                <w:szCs w:val="22"/>
              </w:rPr>
            </w:pPr>
            <w:r>
              <w:rPr>
                <w:szCs w:val="22"/>
              </w:rPr>
              <w:t>Bremerton, WA</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43317343" w14:textId="77777777">
            <w:pPr>
              <w:rPr>
                <w:szCs w:val="22"/>
              </w:rPr>
            </w:pPr>
            <w:r>
              <w:rPr>
                <w:szCs w:val="22"/>
              </w:rPr>
              <w:t xml:space="preserve">KIRO‐TV, Inc. </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5B1FB2F8" w14:textId="77777777">
            <w:pPr>
              <w:rPr>
                <w:szCs w:val="22"/>
              </w:rPr>
            </w:pPr>
            <w:r>
              <w:rPr>
                <w:szCs w:val="22"/>
              </w:rPr>
              <w:t>BTCCDT‐20190304AEJ</w:t>
            </w:r>
          </w:p>
        </w:tc>
      </w:tr>
      <w:tr w14:paraId="7B011438"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2CFFEE9F" w14:textId="77777777">
            <w:pPr>
              <w:autoSpaceDE w:val="0"/>
              <w:autoSpaceDN w:val="0"/>
              <w:adjustRightInd w:val="0"/>
              <w:rPr>
                <w:szCs w:val="22"/>
              </w:rPr>
            </w:pPr>
            <w:r>
              <w:rPr>
                <w:szCs w:val="22"/>
              </w:rPr>
              <w:t>K29IA‐D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71721895" w14:textId="77777777">
            <w:pPr>
              <w:pStyle w:val="ParaNum"/>
              <w:numPr>
                <w:ilvl w:val="0"/>
                <w:numId w:val="0"/>
              </w:numPr>
              <w:tabs>
                <w:tab w:val="left" w:pos="720"/>
              </w:tabs>
              <w:spacing w:after="0"/>
              <w:rPr>
                <w:szCs w:val="22"/>
              </w:rPr>
            </w:pPr>
            <w:r>
              <w:rPr>
                <w:szCs w:val="22"/>
              </w:rPr>
              <w:t>66784</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41260FA1" w14:textId="77777777">
            <w:pPr>
              <w:pStyle w:val="ParaNum"/>
              <w:numPr>
                <w:ilvl w:val="0"/>
                <w:numId w:val="0"/>
              </w:numPr>
              <w:tabs>
                <w:tab w:val="left" w:pos="720"/>
              </w:tabs>
              <w:spacing w:after="0"/>
              <w:ind w:hanging="17"/>
              <w:rPr>
                <w:szCs w:val="22"/>
              </w:rPr>
            </w:pPr>
            <w:r>
              <w:rPr>
                <w:szCs w:val="22"/>
              </w:rPr>
              <w:t>Centralia, etc., WA</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6C3264EF" w14:textId="77777777">
            <w:pPr>
              <w:rPr>
                <w:szCs w:val="22"/>
              </w:rPr>
            </w:pPr>
            <w:r>
              <w:rPr>
                <w:szCs w:val="22"/>
              </w:rPr>
              <w:t xml:space="preserve">KIRO‐TV, Inc. </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64570FAC" w14:textId="77777777">
            <w:pPr>
              <w:rPr>
                <w:szCs w:val="22"/>
              </w:rPr>
            </w:pPr>
            <w:r>
              <w:rPr>
                <w:szCs w:val="22"/>
              </w:rPr>
              <w:t>BTCCDT‐20190304AEK</w:t>
            </w:r>
          </w:p>
        </w:tc>
      </w:tr>
      <w:tr w14:paraId="12475C27"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7371A745" w14:textId="77777777">
            <w:pPr>
              <w:autoSpaceDE w:val="0"/>
              <w:autoSpaceDN w:val="0"/>
              <w:adjustRightInd w:val="0"/>
              <w:rPr>
                <w:szCs w:val="22"/>
              </w:rPr>
            </w:pPr>
            <w:r>
              <w:rPr>
                <w:szCs w:val="22"/>
              </w:rPr>
              <w:t>K30FL‐D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6A2AF6E1" w14:textId="77777777">
            <w:pPr>
              <w:pStyle w:val="ParaNum"/>
              <w:numPr>
                <w:ilvl w:val="0"/>
                <w:numId w:val="0"/>
              </w:numPr>
              <w:tabs>
                <w:tab w:val="left" w:pos="720"/>
              </w:tabs>
              <w:spacing w:after="0"/>
              <w:rPr>
                <w:szCs w:val="22"/>
              </w:rPr>
            </w:pPr>
            <w:r>
              <w:rPr>
                <w:szCs w:val="22"/>
              </w:rPr>
              <w:t>66787</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0D4DF679" w14:textId="77777777">
            <w:pPr>
              <w:pStyle w:val="ParaNum"/>
              <w:numPr>
                <w:ilvl w:val="0"/>
                <w:numId w:val="0"/>
              </w:numPr>
              <w:tabs>
                <w:tab w:val="left" w:pos="720"/>
              </w:tabs>
              <w:spacing w:after="0"/>
              <w:ind w:hanging="17"/>
              <w:rPr>
                <w:szCs w:val="22"/>
              </w:rPr>
            </w:pPr>
            <w:r>
              <w:rPr>
                <w:szCs w:val="22"/>
              </w:rPr>
              <w:t>Port Angeles, WA</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02F5468B" w14:textId="77777777">
            <w:pPr>
              <w:rPr>
                <w:szCs w:val="22"/>
              </w:rPr>
            </w:pPr>
            <w:r>
              <w:rPr>
                <w:szCs w:val="22"/>
              </w:rPr>
              <w:t xml:space="preserve">KIRO‐TV, Inc. </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169FFA05" w14:textId="77777777">
            <w:pPr>
              <w:rPr>
                <w:szCs w:val="22"/>
              </w:rPr>
            </w:pPr>
            <w:r>
              <w:rPr>
                <w:szCs w:val="22"/>
              </w:rPr>
              <w:t>BTCCDT‐20190304AEL</w:t>
            </w:r>
          </w:p>
        </w:tc>
      </w:tr>
      <w:tr w14:paraId="1767E7F6"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56A6EF7A" w14:textId="77777777">
            <w:pPr>
              <w:autoSpaceDE w:val="0"/>
              <w:autoSpaceDN w:val="0"/>
              <w:adjustRightInd w:val="0"/>
              <w:rPr>
                <w:szCs w:val="22"/>
              </w:rPr>
            </w:pPr>
            <w:r>
              <w:rPr>
                <w:szCs w:val="22"/>
              </w:rPr>
              <w:t>K47LG‐D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5D3DF4B5" w14:textId="77777777">
            <w:pPr>
              <w:pStyle w:val="ParaNum"/>
              <w:numPr>
                <w:ilvl w:val="0"/>
                <w:numId w:val="0"/>
              </w:numPr>
              <w:tabs>
                <w:tab w:val="left" w:pos="720"/>
              </w:tabs>
              <w:spacing w:after="0"/>
              <w:rPr>
                <w:szCs w:val="22"/>
              </w:rPr>
            </w:pPr>
            <w:r>
              <w:rPr>
                <w:szCs w:val="22"/>
              </w:rPr>
              <w:t>6381</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2CE1B858" w14:textId="77777777">
            <w:pPr>
              <w:pStyle w:val="ParaNum"/>
              <w:numPr>
                <w:ilvl w:val="0"/>
                <w:numId w:val="0"/>
              </w:numPr>
              <w:tabs>
                <w:tab w:val="left" w:pos="720"/>
              </w:tabs>
              <w:spacing w:after="0"/>
              <w:ind w:hanging="17"/>
              <w:rPr>
                <w:szCs w:val="22"/>
              </w:rPr>
            </w:pPr>
            <w:r>
              <w:rPr>
                <w:szCs w:val="22"/>
              </w:rPr>
              <w:t>Point Pulley, WA</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6A69D3B8" w14:textId="77777777">
            <w:pPr>
              <w:rPr>
                <w:szCs w:val="22"/>
              </w:rPr>
            </w:pPr>
            <w:r>
              <w:rPr>
                <w:szCs w:val="22"/>
              </w:rPr>
              <w:t xml:space="preserve">KIRO‐TV, Inc. </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78EC2C2E" w14:textId="77777777">
            <w:pPr>
              <w:rPr>
                <w:szCs w:val="22"/>
              </w:rPr>
            </w:pPr>
            <w:r>
              <w:rPr>
                <w:szCs w:val="22"/>
              </w:rPr>
              <w:t>BTCCDT‐20190304AEM</w:t>
            </w:r>
          </w:p>
        </w:tc>
      </w:tr>
      <w:tr w14:paraId="2752B057"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083A769A" w14:textId="77777777">
            <w:pPr>
              <w:autoSpaceDE w:val="0"/>
              <w:autoSpaceDN w:val="0"/>
              <w:adjustRightInd w:val="0"/>
              <w:rPr>
                <w:szCs w:val="22"/>
              </w:rPr>
            </w:pPr>
            <w:r>
              <w:rPr>
                <w:szCs w:val="22"/>
              </w:rPr>
              <w:t>K49IX‐D</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45E4A832" w14:textId="77777777">
            <w:pPr>
              <w:pStyle w:val="ParaNum"/>
              <w:numPr>
                <w:ilvl w:val="0"/>
                <w:numId w:val="0"/>
              </w:numPr>
              <w:tabs>
                <w:tab w:val="left" w:pos="720"/>
              </w:tabs>
              <w:spacing w:after="0"/>
              <w:rPr>
                <w:szCs w:val="22"/>
              </w:rPr>
            </w:pPr>
            <w:r>
              <w:rPr>
                <w:szCs w:val="22"/>
              </w:rPr>
              <w:t>66788</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70154D1E" w14:textId="77777777">
            <w:pPr>
              <w:pStyle w:val="ParaNum"/>
              <w:numPr>
                <w:ilvl w:val="0"/>
                <w:numId w:val="0"/>
              </w:numPr>
              <w:tabs>
                <w:tab w:val="left" w:pos="720"/>
              </w:tabs>
              <w:spacing w:after="0"/>
              <w:ind w:hanging="17"/>
              <w:rPr>
                <w:szCs w:val="22"/>
              </w:rPr>
            </w:pPr>
            <w:r>
              <w:rPr>
                <w:szCs w:val="22"/>
              </w:rPr>
              <w:t>Puyallup, WA</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7C3C789F" w14:textId="77777777">
            <w:pPr>
              <w:rPr>
                <w:szCs w:val="22"/>
              </w:rPr>
            </w:pPr>
            <w:r>
              <w:rPr>
                <w:szCs w:val="22"/>
              </w:rPr>
              <w:t xml:space="preserve">KIRO‐TV, Inc. </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36EC6E5D" w14:textId="77777777">
            <w:pPr>
              <w:rPr>
                <w:szCs w:val="22"/>
              </w:rPr>
            </w:pPr>
            <w:r>
              <w:rPr>
                <w:szCs w:val="22"/>
              </w:rPr>
              <w:t>BTCCDT‐20190304AEN</w:t>
            </w:r>
          </w:p>
        </w:tc>
      </w:tr>
      <w:tr w14:paraId="38309F5D"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2A43C92E" w14:textId="77777777">
            <w:pPr>
              <w:autoSpaceDE w:val="0"/>
              <w:autoSpaceDN w:val="0"/>
              <w:adjustRightInd w:val="0"/>
              <w:rPr>
                <w:szCs w:val="22"/>
              </w:rPr>
            </w:pPr>
            <w:r>
              <w:rPr>
                <w:szCs w:val="22"/>
              </w:rPr>
              <w:t>KOKI‐TV</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0589BFCF" w14:textId="77777777">
            <w:pPr>
              <w:pStyle w:val="ParaNum"/>
              <w:numPr>
                <w:ilvl w:val="0"/>
                <w:numId w:val="0"/>
              </w:numPr>
              <w:tabs>
                <w:tab w:val="left" w:pos="720"/>
              </w:tabs>
              <w:spacing w:after="0"/>
              <w:rPr>
                <w:szCs w:val="22"/>
              </w:rPr>
            </w:pPr>
            <w:r>
              <w:rPr>
                <w:szCs w:val="22"/>
              </w:rPr>
              <w:t>11910</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1090105D" w14:textId="77777777">
            <w:pPr>
              <w:rPr>
                <w:szCs w:val="22"/>
              </w:rPr>
            </w:pPr>
            <w:r>
              <w:rPr>
                <w:szCs w:val="22"/>
              </w:rPr>
              <w:t xml:space="preserve">Tulsa, OK </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01D0810D" w14:textId="77777777">
            <w:pPr>
              <w:pStyle w:val="ParaNum"/>
              <w:numPr>
                <w:ilvl w:val="0"/>
                <w:numId w:val="0"/>
              </w:numPr>
              <w:tabs>
                <w:tab w:val="left" w:pos="720"/>
              </w:tabs>
              <w:spacing w:after="0"/>
              <w:ind w:hanging="17"/>
              <w:rPr>
                <w:szCs w:val="22"/>
              </w:rPr>
            </w:pPr>
            <w:r>
              <w:rPr>
                <w:szCs w:val="22"/>
              </w:rPr>
              <w:t>Cox Television Tulsa, LLC</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36F38B37" w14:textId="77777777">
            <w:pPr>
              <w:rPr>
                <w:szCs w:val="22"/>
              </w:rPr>
            </w:pPr>
            <w:r>
              <w:rPr>
                <w:szCs w:val="22"/>
              </w:rPr>
              <w:t>BTCCDT‐20190304AEO</w:t>
            </w:r>
          </w:p>
        </w:tc>
      </w:tr>
      <w:tr w14:paraId="781630A3"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3C5E9039" w14:textId="77777777">
            <w:pPr>
              <w:autoSpaceDE w:val="0"/>
              <w:autoSpaceDN w:val="0"/>
              <w:adjustRightInd w:val="0"/>
              <w:rPr>
                <w:szCs w:val="22"/>
              </w:rPr>
            </w:pPr>
            <w:r>
              <w:rPr>
                <w:szCs w:val="22"/>
              </w:rPr>
              <w:t>KMYT‐TV</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12CFA198" w14:textId="77777777">
            <w:pPr>
              <w:pStyle w:val="ParaNum"/>
              <w:numPr>
                <w:ilvl w:val="0"/>
                <w:numId w:val="0"/>
              </w:numPr>
              <w:tabs>
                <w:tab w:val="left" w:pos="720"/>
              </w:tabs>
              <w:spacing w:after="0"/>
              <w:rPr>
                <w:szCs w:val="22"/>
              </w:rPr>
            </w:pPr>
            <w:r>
              <w:rPr>
                <w:szCs w:val="22"/>
              </w:rPr>
              <w:t>54420</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4276F140" w14:textId="77777777">
            <w:pPr>
              <w:rPr>
                <w:szCs w:val="22"/>
              </w:rPr>
            </w:pPr>
            <w:r>
              <w:rPr>
                <w:szCs w:val="22"/>
              </w:rPr>
              <w:t xml:space="preserve">Tulsa, OK </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68120475" w14:textId="77777777">
            <w:pPr>
              <w:pStyle w:val="ParaNum"/>
              <w:numPr>
                <w:ilvl w:val="0"/>
                <w:numId w:val="0"/>
              </w:numPr>
              <w:tabs>
                <w:tab w:val="left" w:pos="720"/>
              </w:tabs>
              <w:spacing w:after="0"/>
              <w:ind w:hanging="17"/>
              <w:rPr>
                <w:szCs w:val="22"/>
              </w:rPr>
            </w:pPr>
            <w:r>
              <w:rPr>
                <w:szCs w:val="22"/>
              </w:rPr>
              <w:t>Cox Television Tulsa, LLC</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1641DF0A" w14:textId="77777777">
            <w:pPr>
              <w:rPr>
                <w:szCs w:val="22"/>
              </w:rPr>
            </w:pPr>
            <w:r>
              <w:rPr>
                <w:szCs w:val="22"/>
              </w:rPr>
              <w:t>BTCCDT‐20190304AEP</w:t>
            </w:r>
          </w:p>
        </w:tc>
      </w:tr>
      <w:tr w14:paraId="4C372893" w14:textId="77777777" w:rsidTr="000B0BDF">
        <w:tblPrEx>
          <w:tblW w:w="9480" w:type="dxa"/>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0654CB4A" w14:textId="77777777">
            <w:pPr>
              <w:autoSpaceDE w:val="0"/>
              <w:autoSpaceDN w:val="0"/>
              <w:adjustRightInd w:val="0"/>
              <w:rPr>
                <w:szCs w:val="22"/>
              </w:rPr>
            </w:pPr>
            <w:r>
              <w:rPr>
                <w:szCs w:val="22"/>
              </w:rPr>
              <w:t>WPXI(TV)</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7E0782E9" w14:textId="77777777">
            <w:pPr>
              <w:pStyle w:val="ParaNum"/>
              <w:numPr>
                <w:ilvl w:val="0"/>
                <w:numId w:val="0"/>
              </w:numPr>
              <w:tabs>
                <w:tab w:val="left" w:pos="720"/>
              </w:tabs>
              <w:spacing w:after="0"/>
              <w:rPr>
                <w:szCs w:val="22"/>
              </w:rPr>
            </w:pPr>
            <w:r>
              <w:rPr>
                <w:szCs w:val="22"/>
              </w:rPr>
              <w:t>73910</w:t>
            </w:r>
          </w:p>
        </w:tc>
        <w:tc>
          <w:tcPr>
            <w:tcW w:w="1890" w:type="dxa"/>
            <w:tcBorders>
              <w:top w:val="single" w:sz="4" w:space="0" w:color="auto"/>
              <w:left w:val="single" w:sz="4" w:space="0" w:color="auto"/>
              <w:bottom w:val="single" w:sz="4" w:space="0" w:color="auto"/>
              <w:right w:val="single" w:sz="4" w:space="0" w:color="auto"/>
            </w:tcBorders>
            <w:hideMark/>
          </w:tcPr>
          <w:p w:rsidR="00AD59BE" w:rsidP="000B0BDF" w14:paraId="01362B38" w14:textId="77777777">
            <w:pPr>
              <w:pStyle w:val="ParaNum"/>
              <w:numPr>
                <w:ilvl w:val="0"/>
                <w:numId w:val="0"/>
              </w:numPr>
              <w:tabs>
                <w:tab w:val="left" w:pos="720"/>
              </w:tabs>
              <w:spacing w:after="0"/>
              <w:ind w:hanging="17"/>
              <w:rPr>
                <w:szCs w:val="22"/>
              </w:rPr>
            </w:pPr>
            <w:r>
              <w:rPr>
                <w:szCs w:val="22"/>
              </w:rPr>
              <w:t>Pittsburgh, PA</w:t>
            </w:r>
          </w:p>
        </w:tc>
        <w:tc>
          <w:tcPr>
            <w:tcW w:w="2520" w:type="dxa"/>
            <w:tcBorders>
              <w:top w:val="single" w:sz="4" w:space="0" w:color="auto"/>
              <w:left w:val="single" w:sz="4" w:space="0" w:color="auto"/>
              <w:bottom w:val="single" w:sz="4" w:space="0" w:color="auto"/>
              <w:right w:val="single" w:sz="4" w:space="0" w:color="auto"/>
            </w:tcBorders>
            <w:hideMark/>
          </w:tcPr>
          <w:p w:rsidR="00AD59BE" w:rsidP="000B0BDF" w14:paraId="1624BF84" w14:textId="77777777">
            <w:pPr>
              <w:pStyle w:val="ParaNum"/>
              <w:numPr>
                <w:ilvl w:val="0"/>
                <w:numId w:val="0"/>
              </w:numPr>
              <w:tabs>
                <w:tab w:val="left" w:pos="720"/>
              </w:tabs>
              <w:spacing w:after="0"/>
              <w:ind w:hanging="17"/>
              <w:rPr>
                <w:szCs w:val="22"/>
              </w:rPr>
            </w:pPr>
            <w:r>
              <w:rPr>
                <w:szCs w:val="22"/>
              </w:rPr>
              <w:t>WPXI, LLC</w:t>
            </w:r>
          </w:p>
        </w:tc>
        <w:tc>
          <w:tcPr>
            <w:tcW w:w="2712" w:type="dxa"/>
            <w:tcBorders>
              <w:top w:val="single" w:sz="4" w:space="0" w:color="auto"/>
              <w:left w:val="single" w:sz="4" w:space="0" w:color="auto"/>
              <w:bottom w:val="single" w:sz="4" w:space="0" w:color="auto"/>
              <w:right w:val="single" w:sz="4" w:space="0" w:color="auto"/>
            </w:tcBorders>
            <w:hideMark/>
          </w:tcPr>
          <w:p w:rsidR="00AD59BE" w:rsidP="000B0BDF" w14:paraId="1AD3D8F6" w14:textId="77777777">
            <w:pPr>
              <w:rPr>
                <w:szCs w:val="22"/>
              </w:rPr>
            </w:pPr>
            <w:r>
              <w:rPr>
                <w:szCs w:val="22"/>
              </w:rPr>
              <w:t>BTCCDT‐20190304AEQ</w:t>
            </w:r>
          </w:p>
        </w:tc>
      </w:tr>
    </w:tbl>
    <w:p w:rsidR="00AD59BE" w:rsidP="00AD59BE" w14:paraId="7B1C715E" w14:textId="77777777">
      <w:pPr>
        <w:keepNext/>
        <w:widowControl/>
        <w:jc w:val="center"/>
        <w:rPr>
          <w:b/>
          <w:szCs w:val="22"/>
        </w:rPr>
        <w:sectPr w:rsidSect="0074246F">
          <w:headerReference w:type="default" r:id="rId15"/>
          <w:footerReference w:type="even" r:id="rId16"/>
          <w:footerReference w:type="default" r:id="rId17"/>
          <w:headerReference w:type="first" r:id="rId18"/>
          <w:endnotePr>
            <w:numFmt w:val="decimal"/>
          </w:endnotePr>
          <w:pgSz w:w="12240" w:h="15840"/>
          <w:pgMar w:top="1440" w:right="1440" w:bottom="720" w:left="1440" w:header="720" w:footer="720" w:gutter="0"/>
          <w:cols w:space="720"/>
          <w:noEndnote/>
          <w:docGrid w:linePitch="299"/>
        </w:sectPr>
      </w:pPr>
    </w:p>
    <w:p w:rsidR="00AD59BE" w:rsidP="00AD59BE" w14:paraId="0D362321" w14:textId="77777777">
      <w:pPr>
        <w:keepNext/>
        <w:widowControl/>
        <w:jc w:val="center"/>
        <w:rPr>
          <w:b/>
          <w:szCs w:val="22"/>
          <w:u w:val="single"/>
        </w:rPr>
      </w:pPr>
      <w:r w:rsidRPr="00F802BC">
        <w:rPr>
          <w:b/>
          <w:szCs w:val="22"/>
          <w:u w:val="single"/>
        </w:rPr>
        <w:t xml:space="preserve">Attachment </w:t>
      </w:r>
      <w:r>
        <w:rPr>
          <w:b/>
          <w:szCs w:val="22"/>
          <w:u w:val="single"/>
        </w:rPr>
        <w:t>C – Cox Enterprises, Inc., Radio Transaction</w:t>
      </w:r>
    </w:p>
    <w:p w:rsidR="00AD59BE" w:rsidP="00AD59BE" w14:paraId="70EE65C1" w14:textId="77777777">
      <w:pPr>
        <w:keepNext/>
        <w:widowControl/>
        <w:jc w:val="center"/>
        <w:rPr>
          <w:b/>
          <w:szCs w:val="22"/>
          <w:u w:val="single"/>
        </w:rPr>
      </w:pPr>
    </w:p>
    <w:p w:rsidR="00AD59BE" w:rsidRPr="003916C6" w:rsidP="00AD59BE" w14:paraId="04C282DF" w14:textId="77777777">
      <w:pPr>
        <w:keepNext/>
        <w:widowControl/>
        <w:jc w:val="center"/>
        <w:rPr>
          <w:b/>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900"/>
        <w:gridCol w:w="1620"/>
        <w:gridCol w:w="1710"/>
        <w:gridCol w:w="2430"/>
        <w:gridCol w:w="1800"/>
      </w:tblGrid>
      <w:tr w14:paraId="637F2281" w14:textId="77777777" w:rsidTr="000B0BDF">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458" w:type="dxa"/>
            <w:tcBorders>
              <w:top w:val="single" w:sz="4" w:space="0" w:color="auto"/>
              <w:left w:val="single" w:sz="4" w:space="0" w:color="auto"/>
              <w:bottom w:val="single" w:sz="4" w:space="0" w:color="auto"/>
              <w:right w:val="single" w:sz="4" w:space="0" w:color="auto"/>
            </w:tcBorders>
            <w:hideMark/>
          </w:tcPr>
          <w:p w:rsidR="00AD59BE" w:rsidP="000B0BDF" w14:paraId="35234BE7" w14:textId="77777777">
            <w:pPr>
              <w:pStyle w:val="ParaNum"/>
              <w:numPr>
                <w:ilvl w:val="0"/>
                <w:numId w:val="0"/>
              </w:numPr>
              <w:tabs>
                <w:tab w:val="left" w:pos="720"/>
              </w:tabs>
              <w:jc w:val="center"/>
              <w:rPr>
                <w:b/>
                <w:szCs w:val="22"/>
              </w:rPr>
            </w:pPr>
            <w:r>
              <w:rPr>
                <w:b/>
                <w:szCs w:val="22"/>
              </w:rPr>
              <w:t>Call Sign</w:t>
            </w:r>
          </w:p>
        </w:tc>
        <w:tc>
          <w:tcPr>
            <w:tcW w:w="900" w:type="dxa"/>
            <w:tcBorders>
              <w:top w:val="single" w:sz="4" w:space="0" w:color="auto"/>
              <w:left w:val="single" w:sz="4" w:space="0" w:color="auto"/>
              <w:bottom w:val="single" w:sz="4" w:space="0" w:color="auto"/>
              <w:right w:val="single" w:sz="4" w:space="0" w:color="auto"/>
            </w:tcBorders>
            <w:hideMark/>
          </w:tcPr>
          <w:p w:rsidR="00AD59BE" w:rsidP="000B0BDF" w14:paraId="26239AD0" w14:textId="77777777">
            <w:pPr>
              <w:pStyle w:val="ParaNum"/>
              <w:numPr>
                <w:ilvl w:val="0"/>
                <w:numId w:val="0"/>
              </w:numPr>
              <w:tabs>
                <w:tab w:val="left" w:pos="720"/>
              </w:tabs>
              <w:jc w:val="center"/>
              <w:rPr>
                <w:b/>
                <w:szCs w:val="22"/>
              </w:rPr>
            </w:pPr>
            <w:r>
              <w:rPr>
                <w:b/>
                <w:szCs w:val="22"/>
              </w:rPr>
              <w:t>Facility ID No.</w:t>
            </w:r>
          </w:p>
        </w:tc>
        <w:tc>
          <w:tcPr>
            <w:tcW w:w="1620" w:type="dxa"/>
            <w:tcBorders>
              <w:top w:val="single" w:sz="4" w:space="0" w:color="auto"/>
              <w:left w:val="single" w:sz="4" w:space="0" w:color="auto"/>
              <w:bottom w:val="single" w:sz="4" w:space="0" w:color="auto"/>
              <w:right w:val="single" w:sz="4" w:space="0" w:color="auto"/>
            </w:tcBorders>
            <w:hideMark/>
          </w:tcPr>
          <w:p w:rsidR="00AD59BE" w:rsidP="000B0BDF" w14:paraId="3EF6D263" w14:textId="77777777">
            <w:pPr>
              <w:pStyle w:val="ParaNum"/>
              <w:numPr>
                <w:ilvl w:val="0"/>
                <w:numId w:val="0"/>
              </w:numPr>
              <w:tabs>
                <w:tab w:val="left" w:pos="720"/>
              </w:tabs>
              <w:jc w:val="center"/>
              <w:rPr>
                <w:b/>
                <w:szCs w:val="22"/>
              </w:rPr>
            </w:pPr>
            <w:r>
              <w:rPr>
                <w:b/>
                <w:szCs w:val="22"/>
              </w:rPr>
              <w:t>Community of License</w:t>
            </w:r>
          </w:p>
        </w:tc>
        <w:tc>
          <w:tcPr>
            <w:tcW w:w="1710" w:type="dxa"/>
            <w:tcBorders>
              <w:top w:val="single" w:sz="4" w:space="0" w:color="auto"/>
              <w:left w:val="single" w:sz="4" w:space="0" w:color="auto"/>
              <w:bottom w:val="single" w:sz="4" w:space="0" w:color="auto"/>
              <w:right w:val="single" w:sz="4" w:space="0" w:color="auto"/>
            </w:tcBorders>
            <w:hideMark/>
          </w:tcPr>
          <w:p w:rsidR="00AD59BE" w:rsidP="000B0BDF" w14:paraId="1DF1FBFB" w14:textId="77777777">
            <w:pPr>
              <w:pStyle w:val="ParaNum"/>
              <w:numPr>
                <w:ilvl w:val="0"/>
                <w:numId w:val="0"/>
              </w:numPr>
              <w:tabs>
                <w:tab w:val="left" w:pos="720"/>
              </w:tabs>
              <w:jc w:val="center"/>
              <w:rPr>
                <w:b/>
                <w:szCs w:val="22"/>
              </w:rPr>
            </w:pPr>
            <w:r>
              <w:rPr>
                <w:b/>
                <w:szCs w:val="22"/>
              </w:rPr>
              <w:t>Licensee</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675C81C1" w14:textId="77777777">
            <w:pPr>
              <w:pStyle w:val="ParaNum"/>
              <w:numPr>
                <w:ilvl w:val="0"/>
                <w:numId w:val="0"/>
              </w:numPr>
              <w:tabs>
                <w:tab w:val="left" w:pos="720"/>
              </w:tabs>
              <w:jc w:val="center"/>
              <w:rPr>
                <w:b/>
                <w:szCs w:val="22"/>
              </w:rPr>
            </w:pPr>
            <w:r>
              <w:rPr>
                <w:b/>
                <w:szCs w:val="22"/>
              </w:rPr>
              <w:t>Application File Nos.</w:t>
            </w:r>
          </w:p>
        </w:tc>
        <w:tc>
          <w:tcPr>
            <w:tcW w:w="1800" w:type="dxa"/>
            <w:tcBorders>
              <w:top w:val="single" w:sz="4" w:space="0" w:color="auto"/>
              <w:left w:val="single" w:sz="4" w:space="0" w:color="auto"/>
              <w:bottom w:val="single" w:sz="4" w:space="0" w:color="auto"/>
              <w:right w:val="single" w:sz="4" w:space="0" w:color="auto"/>
            </w:tcBorders>
          </w:tcPr>
          <w:p w:rsidR="00AD59BE" w:rsidP="000B0BDF" w14:paraId="62EAC472" w14:textId="77777777">
            <w:pPr>
              <w:pStyle w:val="ParaNum"/>
              <w:numPr>
                <w:ilvl w:val="0"/>
                <w:numId w:val="0"/>
              </w:numPr>
              <w:tabs>
                <w:tab w:val="left" w:pos="720"/>
              </w:tabs>
              <w:jc w:val="center"/>
              <w:rPr>
                <w:b/>
                <w:szCs w:val="22"/>
              </w:rPr>
            </w:pPr>
            <w:r w:rsidRPr="00A96C48">
              <w:rPr>
                <w:b/>
              </w:rPr>
              <w:t>Pending License Renewal Applications</w:t>
            </w:r>
          </w:p>
        </w:tc>
      </w:tr>
      <w:tr w14:paraId="5A225F95"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1F58A5" w:rsidP="000B0BDF" w14:paraId="1F5B8795" w14:textId="77777777">
            <w:pPr>
              <w:rPr>
                <w:bCs/>
              </w:rPr>
            </w:pPr>
            <w:r w:rsidRPr="001F58A5">
              <w:rPr>
                <w:bCs/>
              </w:rPr>
              <w:t>KCYY(FM)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1F58A5" w:rsidP="000B0BDF" w14:paraId="156D1501" w14:textId="77777777">
            <w:pPr>
              <w:jc w:val="right"/>
              <w:rPr>
                <w:bCs/>
              </w:rPr>
            </w:pPr>
            <w:r w:rsidRPr="001F58A5">
              <w:rPr>
                <w:bCs/>
              </w:rPr>
              <w:t>48718</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1F58A5" w:rsidP="000B0BDF" w14:paraId="14CB91D8" w14:textId="77777777">
            <w:pPr>
              <w:rPr>
                <w:bCs/>
              </w:rPr>
            </w:pPr>
            <w:r w:rsidRPr="001F58A5">
              <w:rPr>
                <w:bCs/>
              </w:rPr>
              <w:t>San Antonio, TX</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1F58A5" w:rsidP="000B0BDF" w14:paraId="60A6D413" w14:textId="77777777">
            <w:pPr>
              <w:rPr>
                <w:bCs/>
              </w:rPr>
            </w:pPr>
            <w:r w:rsidRPr="001F58A5">
              <w:rPr>
                <w:bCs/>
              </w:rPr>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1F58A5" w:rsidP="000B0BDF" w14:paraId="7B22B71D" w14:textId="77777777">
            <w:pPr>
              <w:rPr>
                <w:bCs/>
              </w:rPr>
            </w:pPr>
            <w:r w:rsidRPr="001F58A5">
              <w:rPr>
                <w:bCs/>
              </w:rPr>
              <w:t>BTCH-20190702ABH</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7DD7C80C" w14:textId="77777777">
            <w:pPr>
              <w:jc w:val="center"/>
              <w:rPr>
                <w:b/>
              </w:rPr>
            </w:pPr>
          </w:p>
        </w:tc>
      </w:tr>
      <w:tr w14:paraId="27ED79A5"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3B9AE45" w14:textId="77777777">
            <w:r w:rsidRPr="00671A3F">
              <w:t>K222DG</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55F706C" w14:textId="77777777">
            <w:pPr>
              <w:jc w:val="right"/>
            </w:pPr>
            <w:r w:rsidRPr="00671A3F">
              <w:t>202417</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968B3AE" w14:textId="77777777">
            <w:r w:rsidRPr="00671A3F">
              <w:t>San Antonio, TX</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0C1E8E3"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A101BAB" w14:textId="77777777">
            <w:r w:rsidRPr="00671A3F">
              <w:t>BTCFT-20190702ABI</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7702225E" w14:textId="77777777">
            <w:pPr>
              <w:jc w:val="center"/>
            </w:pPr>
          </w:p>
        </w:tc>
      </w:tr>
      <w:tr w14:paraId="45556781"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C606E67" w14:textId="77777777">
            <w:r w:rsidRPr="00671A3F">
              <w:t>K285EU</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A785FD9" w14:textId="77777777">
            <w:pPr>
              <w:jc w:val="right"/>
            </w:pPr>
            <w:r w:rsidRPr="00671A3F">
              <w:t>87144</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7020063" w14:textId="77777777">
            <w:r w:rsidRPr="00671A3F">
              <w:t>Mendoza, TX</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2D5E036"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207300B" w14:textId="77777777">
            <w:r w:rsidRPr="00671A3F">
              <w:t>BTCFT-20190702ABJ</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68CAC0DA" w14:textId="77777777">
            <w:pPr>
              <w:jc w:val="center"/>
            </w:pPr>
          </w:p>
        </w:tc>
      </w:tr>
      <w:tr w14:paraId="49C9C631"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8709774" w14:textId="77777777">
            <w:r w:rsidRPr="00671A3F">
              <w:t>KGLK(FM)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26F23F2" w14:textId="77777777">
            <w:pPr>
              <w:jc w:val="right"/>
            </w:pPr>
            <w:r w:rsidRPr="00671A3F">
              <w:t>59951</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CC2B67B" w14:textId="77777777">
            <w:r w:rsidRPr="00671A3F">
              <w:t>Lake Jackson, TX</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4DF7608"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BBFF994" w14:textId="77777777">
            <w:r w:rsidRPr="00671A3F">
              <w:t>BTCH-20190702ABK</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3ED69974" w14:textId="77777777">
            <w:pPr>
              <w:jc w:val="center"/>
            </w:pPr>
          </w:p>
        </w:tc>
      </w:tr>
      <w:tr w14:paraId="26B041E3"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CC5117A" w14:textId="77777777">
            <w:r w:rsidRPr="00671A3F">
              <w:t>KHPT(FM)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F3C60B2" w14:textId="77777777">
            <w:pPr>
              <w:jc w:val="right"/>
            </w:pPr>
            <w:r w:rsidRPr="00671A3F">
              <w:t>69564</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A564B4F" w14:textId="77777777">
            <w:r w:rsidRPr="00671A3F">
              <w:t>Conroe, TX</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B93C37A"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EBF1ED9" w14:textId="77777777">
            <w:r w:rsidRPr="00671A3F">
              <w:t>BTCH-20190702ABL</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350F4AAB" w14:textId="77777777">
            <w:pPr>
              <w:jc w:val="center"/>
            </w:pPr>
          </w:p>
        </w:tc>
      </w:tr>
      <w:tr w14:paraId="4A799158"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2DC6B0B" w14:textId="77777777">
            <w:r w:rsidRPr="00671A3F">
              <w:t>KISS-FM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D036D12" w14:textId="77777777">
            <w:pPr>
              <w:jc w:val="right"/>
            </w:pPr>
            <w:r w:rsidRPr="00671A3F">
              <w:t>34976</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77C30D8" w14:textId="77777777">
            <w:r w:rsidRPr="00671A3F">
              <w:t>San Antonio, TX</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26A9820"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E5ACC4E" w14:textId="77777777">
            <w:r w:rsidRPr="00671A3F">
              <w:t>BTCH-20190702ABM</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3C5CAD85" w14:textId="77777777">
            <w:pPr>
              <w:jc w:val="center"/>
            </w:pPr>
          </w:p>
        </w:tc>
      </w:tr>
      <w:tr w14:paraId="1CBA36EA"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4C9C87E" w14:textId="77777777">
            <w:r w:rsidRPr="00671A3F">
              <w:t>KJSR(FM)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C1D565A" w14:textId="77777777">
            <w:pPr>
              <w:jc w:val="right"/>
            </w:pPr>
            <w:r w:rsidRPr="00671A3F">
              <w:t>9801</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C868699" w14:textId="77777777">
            <w:r w:rsidRPr="00671A3F">
              <w:t>Tulsa, OK</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FE6757F"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73661C7" w14:textId="77777777">
            <w:r w:rsidRPr="00671A3F">
              <w:t>BTCH-20190702ABN</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6C51E48F" w14:textId="77777777">
            <w:pPr>
              <w:jc w:val="center"/>
            </w:pPr>
          </w:p>
        </w:tc>
      </w:tr>
      <w:tr w14:paraId="0207114C"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ED97751" w14:textId="77777777">
            <w:r w:rsidRPr="00671A3F">
              <w:t>KKBQ(FM)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7C31CC4" w14:textId="77777777">
            <w:pPr>
              <w:jc w:val="right"/>
            </w:pPr>
            <w:r w:rsidRPr="00671A3F">
              <w:t>23083</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33369D6" w14:textId="77777777">
            <w:r w:rsidRPr="00671A3F">
              <w:t>Pasadena, TX</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6702065"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6977A84" w14:textId="77777777">
            <w:r w:rsidRPr="00671A3F">
              <w:t>BTCH-20190702ABO</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6C43D9CA" w14:textId="77777777">
            <w:pPr>
              <w:jc w:val="center"/>
            </w:pPr>
          </w:p>
        </w:tc>
      </w:tr>
      <w:tr w14:paraId="1918E9AF"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42F4E46" w14:textId="77777777">
            <w:r w:rsidRPr="00671A3F">
              <w:t>KKYX(AM)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5DAC015" w14:textId="77777777">
            <w:pPr>
              <w:jc w:val="right"/>
            </w:pPr>
            <w:r w:rsidRPr="00671A3F">
              <w:t>48723</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4079848" w14:textId="77777777">
            <w:r w:rsidRPr="00671A3F">
              <w:t>San Antonio, TX</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269D3E8"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0F32546" w14:textId="77777777">
            <w:r w:rsidRPr="00671A3F">
              <w:t>BTC-20190702ABP</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1AE9DEE6" w14:textId="77777777">
            <w:pPr>
              <w:jc w:val="center"/>
            </w:pPr>
          </w:p>
        </w:tc>
      </w:tr>
      <w:tr w14:paraId="61E1B580"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BC9A707" w14:textId="77777777">
            <w:r w:rsidRPr="00671A3F">
              <w:t>KONO(AM)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219AA2F" w14:textId="77777777">
            <w:pPr>
              <w:jc w:val="right"/>
            </w:pPr>
            <w:r w:rsidRPr="00671A3F">
              <w:t>50029</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DA2A39E" w14:textId="77777777">
            <w:r w:rsidRPr="00671A3F">
              <w:t>San Antonio, TX</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36BB660"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6402969" w14:textId="77777777">
            <w:r w:rsidRPr="00671A3F">
              <w:t>BTC-20190702ABQ</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7681853F" w14:textId="77777777">
            <w:pPr>
              <w:jc w:val="center"/>
            </w:pPr>
          </w:p>
        </w:tc>
      </w:tr>
      <w:tr w14:paraId="7FA8573C"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AFCD3D5" w14:textId="77777777">
            <w:r w:rsidRPr="00671A3F">
              <w:t>KONO-FM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0574E2C" w14:textId="77777777">
            <w:pPr>
              <w:jc w:val="right"/>
            </w:pPr>
            <w:r w:rsidRPr="00671A3F">
              <w:t>50030</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05EC5DF" w14:textId="77777777">
            <w:r w:rsidRPr="00671A3F">
              <w:t>Helotes, TX</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ED9FEAF"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C0C7763" w14:textId="77777777">
            <w:r w:rsidRPr="00671A3F">
              <w:t>BTCH-20190702ABR</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554CD586" w14:textId="77777777">
            <w:pPr>
              <w:jc w:val="center"/>
            </w:pPr>
          </w:p>
        </w:tc>
      </w:tr>
      <w:tr w14:paraId="551E6BAC"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82785AA" w14:textId="77777777">
            <w:r w:rsidRPr="00671A3F">
              <w:t>KRAV-FM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F3FC81D" w14:textId="77777777">
            <w:pPr>
              <w:jc w:val="right"/>
            </w:pPr>
            <w:r w:rsidRPr="00671A3F">
              <w:t>65764</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CECD607" w14:textId="77777777">
            <w:r w:rsidRPr="00671A3F">
              <w:t>Tulsa, OK</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4DBAE0C"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AB0E498" w14:textId="77777777">
            <w:r w:rsidRPr="00671A3F">
              <w:t>BTCH-20190702ABS</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3F3E53B7" w14:textId="77777777">
            <w:pPr>
              <w:jc w:val="center"/>
            </w:pPr>
          </w:p>
        </w:tc>
      </w:tr>
      <w:tr w14:paraId="7F1900B6"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B15774F" w14:textId="77777777">
            <w:r w:rsidRPr="00671A3F">
              <w:t>KRMG(AM</w:t>
            </w:r>
            <w:r>
              <w:t>)</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18ED2A9" w14:textId="77777777">
            <w:pPr>
              <w:jc w:val="right"/>
            </w:pPr>
            <w:r w:rsidRPr="00671A3F">
              <w:t>48729</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F3489BD" w14:textId="77777777">
            <w:r w:rsidRPr="00671A3F">
              <w:t>Tulsa, OK</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D950A86"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9C1A20D" w14:textId="77777777">
            <w:r w:rsidRPr="00671A3F">
              <w:t>BTC-20190702ABT</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4472B1BA" w14:textId="77777777">
            <w:pPr>
              <w:jc w:val="center"/>
            </w:pPr>
          </w:p>
        </w:tc>
      </w:tr>
      <w:tr w14:paraId="543E220B"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D3D45A4" w14:textId="77777777">
            <w:r w:rsidRPr="00671A3F">
              <w:t>KRMG-FM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2A5AAC7" w14:textId="77777777">
            <w:pPr>
              <w:jc w:val="right"/>
            </w:pPr>
            <w:r w:rsidRPr="00671A3F">
              <w:t>47102</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895540F" w14:textId="77777777">
            <w:r w:rsidRPr="00671A3F">
              <w:t>Sand Springs, OK</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3C68D08"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31D2D9E" w14:textId="77777777">
            <w:r w:rsidRPr="00671A3F">
              <w:t>BTCH-20190702ABU</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716BEBB3" w14:textId="77777777">
            <w:pPr>
              <w:jc w:val="center"/>
            </w:pPr>
          </w:p>
        </w:tc>
      </w:tr>
      <w:tr w14:paraId="3B735907"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EACEF1D" w14:textId="77777777">
            <w:r w:rsidRPr="00671A3F">
              <w:t>KSMG(FM)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B5E13AF" w14:textId="77777777">
            <w:pPr>
              <w:jc w:val="right"/>
            </w:pPr>
            <w:r w:rsidRPr="00671A3F">
              <w:t>34977</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3260CFE" w14:textId="77777777">
            <w:r w:rsidRPr="00671A3F">
              <w:t>Seguin, TX</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5CD662F"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3D5E0DA" w14:textId="77777777">
            <w:r w:rsidRPr="00671A3F">
              <w:t>BTCH-20190702ABV</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6F200BD8" w14:textId="77777777">
            <w:pPr>
              <w:jc w:val="center"/>
            </w:pPr>
          </w:p>
        </w:tc>
      </w:tr>
      <w:tr w14:paraId="0397CF71"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32B2940" w14:textId="77777777">
            <w:r w:rsidRPr="00671A3F">
              <w:t>KTHT(FM)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9DA4F92" w14:textId="77777777">
            <w:pPr>
              <w:jc w:val="right"/>
            </w:pPr>
            <w:r w:rsidRPr="00671A3F">
              <w:t>65308</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72B6D48" w14:textId="77777777">
            <w:r w:rsidRPr="00671A3F">
              <w:t>Cleveland, TX</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80C2372"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4B8A068" w14:textId="77777777">
            <w:r w:rsidRPr="00671A3F">
              <w:t>BTCH-20190702ABW</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69EEA75F" w14:textId="77777777">
            <w:pPr>
              <w:jc w:val="center"/>
            </w:pPr>
          </w:p>
        </w:tc>
      </w:tr>
      <w:tr w14:paraId="3731A4B4"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1FDD30D" w14:textId="77777777">
            <w:r w:rsidRPr="00671A3F">
              <w:t>KTKX(FM)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19691FC" w14:textId="77777777">
            <w:pPr>
              <w:jc w:val="right"/>
            </w:pPr>
            <w:r w:rsidRPr="00671A3F">
              <w:t>70357</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86B388D" w14:textId="77777777">
            <w:r w:rsidRPr="00671A3F">
              <w:t>Terrell Hills, TX</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465686B"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16399A1" w14:textId="77777777">
            <w:r w:rsidRPr="00671A3F">
              <w:t>BTCH-20190702ABX</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65097746" w14:textId="77777777">
            <w:pPr>
              <w:jc w:val="center"/>
            </w:pPr>
          </w:p>
        </w:tc>
      </w:tr>
      <w:tr w14:paraId="108DF315"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6885E64" w14:textId="77777777">
            <w:r w:rsidRPr="00671A3F">
              <w:t>KWEN(FM)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899E35E" w14:textId="77777777">
            <w:pPr>
              <w:jc w:val="right"/>
            </w:pPr>
            <w:r w:rsidRPr="00671A3F">
              <w:t>48722</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2B45A1B" w14:textId="77777777">
            <w:r w:rsidRPr="00671A3F">
              <w:t>Tulsa, OK</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BF15FD3"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5F60D53" w14:textId="77777777">
            <w:r w:rsidRPr="00671A3F">
              <w:t>BTCH-20190702ABY</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5B6A1AAB" w14:textId="77777777">
            <w:pPr>
              <w:jc w:val="center"/>
            </w:pPr>
          </w:p>
        </w:tc>
      </w:tr>
      <w:tr w14:paraId="3D369E48"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0B321C1" w14:textId="77777777">
            <w:r w:rsidRPr="00671A3F">
              <w:t>W228CA</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322BAA2" w14:textId="77777777">
            <w:pPr>
              <w:jc w:val="right"/>
            </w:pPr>
            <w:r w:rsidRPr="00671A3F">
              <w:t>138393</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65ECAAB" w14:textId="77777777">
            <w:r w:rsidRPr="00671A3F">
              <w:t>Suwanee, GA</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D91D897"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F2EE3DC" w14:textId="77777777">
            <w:r w:rsidRPr="00671A3F">
              <w:t>BTCFT-20190702ABZ</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64E841F1" w14:textId="77777777">
            <w:pPr>
              <w:jc w:val="center"/>
            </w:pPr>
          </w:p>
        </w:tc>
      </w:tr>
      <w:tr w14:paraId="27EB36D4"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36300ED" w14:textId="77777777">
            <w:r w:rsidRPr="00671A3F">
              <w:t>W246CY</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8277CF5" w14:textId="77777777">
            <w:pPr>
              <w:jc w:val="right"/>
            </w:pPr>
            <w:r w:rsidRPr="00671A3F">
              <w:t>158520</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DF19C64" w14:textId="77777777">
            <w:r w:rsidRPr="00671A3F">
              <w:t>Bradenton,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9099CEB"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0D5AF20" w14:textId="77777777">
            <w:r w:rsidRPr="00671A3F">
              <w:t>BTCFT-20190702ACA</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40AC2A9A" w14:textId="77777777">
            <w:pPr>
              <w:jc w:val="center"/>
            </w:pPr>
            <w:r w:rsidRPr="00F7457A">
              <w:t>000008277</w:t>
            </w:r>
            <w:r>
              <w:t>3</w:t>
            </w:r>
          </w:p>
        </w:tc>
      </w:tr>
      <w:tr w14:paraId="593B9EAA"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5A3378A" w14:textId="77777777">
            <w:r w:rsidRPr="00671A3F">
              <w:t>W249CK</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1965869" w14:textId="77777777">
            <w:pPr>
              <w:jc w:val="right"/>
            </w:pPr>
            <w:r w:rsidRPr="00671A3F">
              <w:t>147419</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FCAA596" w14:textId="77777777">
            <w:r w:rsidRPr="00671A3F">
              <w:t>Duluth, GA</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C3F457A"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2595F4B" w14:textId="77777777">
            <w:r w:rsidRPr="00671A3F">
              <w:t>BTCFT-20190702ACB</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59A99164" w14:textId="77777777">
            <w:pPr>
              <w:jc w:val="center"/>
            </w:pPr>
          </w:p>
        </w:tc>
      </w:tr>
      <w:tr w14:paraId="79D4CF5C"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F42CAD4" w14:textId="77777777">
            <w:r w:rsidRPr="00671A3F">
              <w:t>W258CN</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06C1683" w14:textId="77777777">
            <w:pPr>
              <w:jc w:val="right"/>
            </w:pPr>
            <w:r w:rsidRPr="00671A3F">
              <w:t>157039</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DA85DDA" w14:textId="77777777">
            <w:r w:rsidRPr="00671A3F">
              <w:t>Jacksonville,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F257239"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A9BE2A1" w14:textId="77777777">
            <w:r w:rsidRPr="00671A3F">
              <w:t>BTCFT-20190702ACC</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1951FFF3" w14:textId="77777777">
            <w:pPr>
              <w:jc w:val="center"/>
            </w:pPr>
            <w:r w:rsidRPr="00116B61">
              <w:t>000008268</w:t>
            </w:r>
            <w:r>
              <w:t>2</w:t>
            </w:r>
          </w:p>
        </w:tc>
      </w:tr>
      <w:tr w14:paraId="45575E85"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4240490" w14:textId="77777777">
            <w:r w:rsidRPr="00671A3F">
              <w:t>W291CI</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4D00A2A" w14:textId="77777777">
            <w:pPr>
              <w:jc w:val="right"/>
            </w:pPr>
            <w:r w:rsidRPr="00671A3F">
              <w:t>153382</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C22BEDA" w14:textId="77777777">
            <w:r w:rsidRPr="00671A3F">
              <w:t>Jacksonville,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C00A9FB"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085D489" w14:textId="77777777">
            <w:r w:rsidRPr="00671A3F">
              <w:t>BTCFT-20190702ACD</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293730C9" w14:textId="77777777">
            <w:pPr>
              <w:jc w:val="center"/>
            </w:pPr>
            <w:r w:rsidRPr="00D82F8E">
              <w:t>000008262</w:t>
            </w:r>
            <w:r>
              <w:t>8</w:t>
            </w:r>
          </w:p>
        </w:tc>
      </w:tr>
      <w:tr w14:paraId="5FC2A152"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3D1EEF1" w14:textId="77777777">
            <w:r w:rsidRPr="00671A3F">
              <w:t>W297BB</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7C874CE" w14:textId="77777777">
            <w:pPr>
              <w:jc w:val="right"/>
            </w:pPr>
            <w:r w:rsidRPr="00671A3F">
              <w:t>152901</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035FA33" w14:textId="77777777">
            <w:r w:rsidRPr="00671A3F">
              <w:t>Orlando,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1CC3792"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27C82A1" w14:textId="77777777">
            <w:r w:rsidRPr="00671A3F">
              <w:t>BTCFT-20190702ACE</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4DAC22DF" w14:textId="77777777">
            <w:pPr>
              <w:jc w:val="center"/>
            </w:pPr>
            <w:r w:rsidRPr="006C7064">
              <w:t>000008284</w:t>
            </w:r>
            <w:r>
              <w:t>5</w:t>
            </w:r>
          </w:p>
        </w:tc>
      </w:tr>
      <w:tr w14:paraId="47F1C5C0"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8B3BE99" w14:textId="77777777">
            <w:r w:rsidRPr="00671A3F">
              <w:t>WALR-FM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2A3DE6E" w14:textId="77777777">
            <w:pPr>
              <w:jc w:val="right"/>
            </w:pPr>
            <w:r w:rsidRPr="00671A3F">
              <w:t>48728</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398FC8C" w14:textId="77777777">
            <w:r w:rsidRPr="00671A3F">
              <w:t>Palmetto, GA</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F1D77DA"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88BBCBD" w14:textId="77777777">
            <w:r w:rsidRPr="00671A3F">
              <w:t>BTCH-20190702ACF</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43D470A2" w14:textId="77777777">
            <w:pPr>
              <w:jc w:val="center"/>
            </w:pPr>
          </w:p>
        </w:tc>
      </w:tr>
      <w:tr w14:paraId="42BC4C27"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13C3ADB" w14:textId="77777777">
            <w:r w:rsidRPr="00671A3F">
              <w:t>WAPE-FM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EAAB0D0" w14:textId="77777777">
            <w:pPr>
              <w:jc w:val="right"/>
            </w:pPr>
            <w:r w:rsidRPr="00671A3F">
              <w:t>70863</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54DD975" w14:textId="77777777">
            <w:r w:rsidRPr="00671A3F">
              <w:t>Jacksonville,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69C1254"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C77FC88" w14:textId="77777777">
            <w:r w:rsidRPr="00671A3F">
              <w:t>BTCH-20190702ACG</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721FA2FA" w14:textId="77777777">
            <w:pPr>
              <w:jc w:val="center"/>
            </w:pPr>
            <w:r w:rsidRPr="007D337C">
              <w:t>0000082642</w:t>
            </w:r>
          </w:p>
        </w:tc>
      </w:tr>
      <w:tr w14:paraId="50952513"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CC24D68" w14:textId="77777777">
            <w:r w:rsidRPr="00671A3F">
              <w:t>WBAB(FM)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520756F" w14:textId="77777777">
            <w:pPr>
              <w:jc w:val="right"/>
            </w:pPr>
            <w:r w:rsidRPr="00671A3F">
              <w:t>71199</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945F751" w14:textId="77777777">
            <w:r w:rsidRPr="00671A3F">
              <w:t>Babylon, NY</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C2DD004"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4921161" w14:textId="77777777">
            <w:r w:rsidRPr="00671A3F">
              <w:t>BTCH-20190702ACH</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62B18DAE" w14:textId="77777777">
            <w:pPr>
              <w:jc w:val="center"/>
            </w:pPr>
          </w:p>
        </w:tc>
      </w:tr>
      <w:tr w14:paraId="489E8779"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4BC3414" w14:textId="77777777">
            <w:r w:rsidRPr="00671A3F">
              <w:t>WBLI(FM)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326A581" w14:textId="77777777">
            <w:pPr>
              <w:jc w:val="right"/>
            </w:pPr>
            <w:r w:rsidRPr="00671A3F">
              <w:t>37235</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CA80F38" w14:textId="77777777">
            <w:r w:rsidRPr="00671A3F">
              <w:t>Patchogue, NY</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65CAA84"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C065541" w14:textId="77777777">
            <w:r w:rsidRPr="00671A3F">
              <w:t>BTCH-20190702ACI</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1A018D83" w14:textId="77777777">
            <w:pPr>
              <w:jc w:val="center"/>
            </w:pPr>
          </w:p>
        </w:tc>
      </w:tr>
      <w:tr w14:paraId="30E5A292"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4BFFF3B" w14:textId="77777777">
            <w:r w:rsidRPr="00671A3F">
              <w:t>WCFB(FM)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4AF3ED8" w14:textId="77777777">
            <w:pPr>
              <w:jc w:val="right"/>
            </w:pPr>
            <w:r w:rsidRPr="00671A3F">
              <w:t>10343</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20AB816" w14:textId="77777777">
            <w:r w:rsidRPr="00671A3F">
              <w:t>Daytona Beach,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045191B"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5E0F6FB" w14:textId="77777777">
            <w:r w:rsidRPr="00671A3F">
              <w:t>BTCH-20190702ACJ</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226FAA51" w14:textId="77777777">
            <w:pPr>
              <w:jc w:val="center"/>
            </w:pPr>
            <w:r w:rsidRPr="006C7064">
              <w:t>0000082844</w:t>
            </w:r>
          </w:p>
        </w:tc>
      </w:tr>
      <w:tr w14:paraId="099FB30C"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49A76E7" w14:textId="77777777">
            <w:r w:rsidRPr="00671A3F">
              <w:t>WDBO(AM)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4D08123" w14:textId="77777777">
            <w:pPr>
              <w:jc w:val="right"/>
            </w:pPr>
            <w:r w:rsidRPr="00671A3F">
              <w:t>48726</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DF71A6C" w14:textId="77777777">
            <w:r w:rsidRPr="00671A3F">
              <w:t>Orlando,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BBD5AA0"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A4AB193" w14:textId="77777777">
            <w:r w:rsidRPr="00671A3F">
              <w:t>BTC-20190702ACK</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0E8B1B37" w14:textId="77777777">
            <w:pPr>
              <w:jc w:val="center"/>
            </w:pPr>
            <w:r w:rsidRPr="00442975">
              <w:t>0000082855</w:t>
            </w:r>
          </w:p>
        </w:tc>
      </w:tr>
      <w:tr w14:paraId="6BF928EA"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EA49153" w14:textId="77777777">
            <w:r w:rsidRPr="00671A3F">
              <w:t>WDBO-FM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A67FF50" w14:textId="77777777">
            <w:pPr>
              <w:jc w:val="right"/>
            </w:pPr>
            <w:r w:rsidRPr="00671A3F">
              <w:t>23443</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2BA5198" w14:textId="77777777">
            <w:r w:rsidRPr="00671A3F">
              <w:t>Orlando,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0D8EA2A"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C9C4511" w14:textId="77777777">
            <w:r w:rsidRPr="00671A3F">
              <w:t>BTCH-20190702ACL</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12128807" w14:textId="77777777">
            <w:pPr>
              <w:jc w:val="center"/>
            </w:pPr>
            <w:r w:rsidRPr="00D82F8E">
              <w:t>0000082864</w:t>
            </w:r>
          </w:p>
        </w:tc>
      </w:tr>
      <w:tr w14:paraId="6C090B98"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0A397F0" w14:textId="77777777">
            <w:r w:rsidRPr="00671A3F">
              <w:t>WDUV(FM)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F08A0A4" w14:textId="77777777">
            <w:pPr>
              <w:jc w:val="right"/>
            </w:pPr>
            <w:r w:rsidRPr="00671A3F">
              <w:t>1178</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9076DDF" w14:textId="77777777">
            <w:r w:rsidRPr="00671A3F">
              <w:t>New Port Richey,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D0EE9FE"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03370FE" w14:textId="77777777">
            <w:r w:rsidRPr="00671A3F">
              <w:t>BTCH-20190702ACM</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40829132" w14:textId="77777777">
            <w:pPr>
              <w:jc w:val="center"/>
            </w:pPr>
            <w:r w:rsidRPr="00D82F8E">
              <w:t>0000082835</w:t>
            </w:r>
          </w:p>
        </w:tc>
      </w:tr>
      <w:tr w14:paraId="0D817CF1"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20EBDA8" w14:textId="77777777">
            <w:r w:rsidRPr="00671A3F">
              <w:t>WEDR(FM)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A8E9E2F" w14:textId="77777777">
            <w:pPr>
              <w:jc w:val="right"/>
            </w:pPr>
            <w:r w:rsidRPr="00671A3F">
              <w:t>71418</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C576E34" w14:textId="77777777">
            <w:r w:rsidRPr="00671A3F">
              <w:t>Miami,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12BA7EB"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2D5B2D9" w14:textId="77777777">
            <w:r w:rsidRPr="00671A3F">
              <w:t>BTCH-20190702ACN</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2B3AE575" w14:textId="77777777">
            <w:pPr>
              <w:jc w:val="center"/>
            </w:pPr>
            <w:r w:rsidRPr="00D82F8E">
              <w:t>0000082949</w:t>
            </w:r>
          </w:p>
        </w:tc>
      </w:tr>
      <w:tr w14:paraId="0E06C3E6"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BA2EF4F" w14:textId="77777777">
            <w:r w:rsidRPr="00671A3F">
              <w:t>WEZI(FM)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4C387A8" w14:textId="77777777">
            <w:pPr>
              <w:jc w:val="right"/>
            </w:pPr>
            <w:r w:rsidRPr="00671A3F">
              <w:t>53602</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C382FB2" w14:textId="77777777">
            <w:r w:rsidRPr="00671A3F">
              <w:t>Jacksonville,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28A7649"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4E8B851" w14:textId="77777777">
            <w:r w:rsidRPr="00671A3F">
              <w:t>BTCH-20190702ACO</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1EF3E78D" w14:textId="77777777">
            <w:pPr>
              <w:jc w:val="center"/>
            </w:pPr>
            <w:r w:rsidRPr="006C7064">
              <w:t>0000082645</w:t>
            </w:r>
          </w:p>
        </w:tc>
      </w:tr>
      <w:tr w14:paraId="73DA61AC"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4960075" w14:textId="77777777">
            <w:r w:rsidRPr="00671A3F">
              <w:t>WFEZ(FM)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99C614A" w14:textId="77777777">
            <w:pPr>
              <w:jc w:val="right"/>
            </w:pPr>
            <w:r w:rsidRPr="00671A3F">
              <w:t>40408</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F4D5D73" w14:textId="77777777">
            <w:r w:rsidRPr="00671A3F">
              <w:t>Miami,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606F17F"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36B848E" w14:textId="77777777">
            <w:r w:rsidRPr="00671A3F">
              <w:t>BTCH-20190702ACP</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2EC9193F" w14:textId="77777777">
            <w:pPr>
              <w:jc w:val="center"/>
            </w:pPr>
            <w:r w:rsidRPr="00D82F8E">
              <w:t>0000082947</w:t>
            </w:r>
          </w:p>
        </w:tc>
      </w:tr>
      <w:tr w14:paraId="04FC14AC"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BE1F0E2" w14:textId="77777777">
            <w:r w:rsidRPr="00671A3F">
              <w:t>WFLC(FM)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5E2C912" w14:textId="77777777">
            <w:pPr>
              <w:jc w:val="right"/>
            </w:pPr>
            <w:r w:rsidRPr="00671A3F">
              <w:t>72984</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8488F82" w14:textId="77777777">
            <w:r w:rsidRPr="00671A3F">
              <w:t>Miami,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2B62B26"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1A1F7C5" w14:textId="77777777">
            <w:r w:rsidRPr="00671A3F">
              <w:t>BTCH-20190702ACQ</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5DAB056D" w14:textId="77777777">
            <w:pPr>
              <w:jc w:val="center"/>
            </w:pPr>
            <w:r w:rsidRPr="00D82F8E">
              <w:t>0000082942</w:t>
            </w:r>
          </w:p>
        </w:tc>
      </w:tr>
      <w:tr w14:paraId="594727D4"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5B1B771" w14:textId="77777777">
            <w:r w:rsidRPr="00671A3F">
              <w:t>WGAU(AM)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DD7434B" w14:textId="77777777">
            <w:pPr>
              <w:jc w:val="right"/>
            </w:pPr>
            <w:r w:rsidRPr="00671A3F">
              <w:t>11709</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63D5488" w14:textId="77777777">
            <w:r w:rsidRPr="00671A3F">
              <w:t>Athens, GA</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9E0DFC3"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2F52D6F" w14:textId="77777777">
            <w:r w:rsidRPr="00671A3F">
              <w:t>BTC-20190702ACR</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32DCBCE3" w14:textId="77777777">
            <w:pPr>
              <w:jc w:val="center"/>
            </w:pPr>
          </w:p>
        </w:tc>
      </w:tr>
      <w:tr w14:paraId="1ACF6D58"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9CFE847" w14:textId="77777777">
            <w:r w:rsidRPr="00671A3F">
              <w:t>WGMG(FM)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80EB3B9" w14:textId="77777777">
            <w:pPr>
              <w:jc w:val="right"/>
            </w:pPr>
            <w:r w:rsidRPr="00671A3F">
              <w:t>48374</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711A86F" w14:textId="77777777">
            <w:r w:rsidRPr="00671A3F">
              <w:t>Crawford, GA</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B777734"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124C74F" w14:textId="77777777">
            <w:r w:rsidRPr="00671A3F">
              <w:t>BTCH-20190702ACS</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7AFEC4C3" w14:textId="77777777">
            <w:pPr>
              <w:jc w:val="center"/>
            </w:pPr>
          </w:p>
        </w:tc>
      </w:tr>
      <w:tr w14:paraId="09E98FF2"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2A29BC4" w14:textId="77777777">
            <w:r w:rsidRPr="00671A3F">
              <w:t>WHFM(FM)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33E7D07" w14:textId="77777777">
            <w:pPr>
              <w:jc w:val="right"/>
            </w:pPr>
            <w:r w:rsidRPr="00671A3F">
              <w:t>72176</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F4F52AE" w14:textId="77777777">
            <w:r w:rsidRPr="00671A3F">
              <w:t>Southampton, NY</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123AE95"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0ED6E03" w14:textId="77777777">
            <w:r w:rsidRPr="00671A3F">
              <w:t>BTCH-20190702ACT</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7FA2216F" w14:textId="77777777">
            <w:pPr>
              <w:jc w:val="center"/>
            </w:pPr>
          </w:p>
        </w:tc>
      </w:tr>
      <w:tr w14:paraId="232D2CA2"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043EAB0" w14:textId="77777777">
            <w:r w:rsidRPr="00671A3F">
              <w:t>WHPT(FM)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88F4F7C" w14:textId="77777777">
            <w:pPr>
              <w:jc w:val="right"/>
            </w:pPr>
            <w:r w:rsidRPr="00671A3F">
              <w:t>51986</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CE910F4" w14:textId="77777777">
            <w:r w:rsidRPr="00671A3F">
              <w:t>Sarasota,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43C305E"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41843D2" w14:textId="77777777">
            <w:r w:rsidRPr="00671A3F">
              <w:t>BTCH-20190702ACU</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31EE6F36" w14:textId="77777777">
            <w:pPr>
              <w:jc w:val="center"/>
            </w:pPr>
            <w:r w:rsidRPr="00F7457A">
              <w:t>0000082772</w:t>
            </w:r>
          </w:p>
        </w:tc>
      </w:tr>
      <w:tr w14:paraId="6ECE1887"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715F74E" w14:textId="77777777">
            <w:r w:rsidRPr="00671A3F">
              <w:t>WHQT(FM)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0BD2482" w14:textId="77777777">
            <w:pPr>
              <w:jc w:val="right"/>
            </w:pPr>
            <w:r w:rsidRPr="00671A3F">
              <w:t>72982</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32E5968" w14:textId="77777777">
            <w:r w:rsidRPr="00671A3F">
              <w:t>Coral Gables,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428BDE1"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A092512" w14:textId="77777777">
            <w:r w:rsidRPr="00671A3F">
              <w:t>BTCH-20190702ACV</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4BE0168E" w14:textId="77777777">
            <w:pPr>
              <w:jc w:val="center"/>
            </w:pPr>
            <w:r w:rsidRPr="00D82F8E">
              <w:t>0000082954</w:t>
            </w:r>
          </w:p>
        </w:tc>
      </w:tr>
      <w:tr w14:paraId="5922ECCE"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38FF62A" w14:textId="77777777">
            <w:r w:rsidRPr="00671A3F">
              <w:t>WJGL(FM)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4E3A4A9" w14:textId="77777777">
            <w:pPr>
              <w:jc w:val="right"/>
            </w:pPr>
            <w:r w:rsidRPr="00671A3F">
              <w:t>53590</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C30EDE4" w14:textId="77777777">
            <w:r w:rsidRPr="00671A3F">
              <w:t>Jacksonville,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C231F77"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A7AF7B0" w14:textId="77777777">
            <w:r w:rsidRPr="00671A3F">
              <w:t>BTCH-20190702ACW</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6A7D0482" w14:textId="77777777">
            <w:pPr>
              <w:jc w:val="center"/>
            </w:pPr>
            <w:r w:rsidRPr="00D82F8E">
              <w:t>0000082627</w:t>
            </w:r>
          </w:p>
        </w:tc>
      </w:tr>
      <w:tr w14:paraId="038C2A97"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BE38529" w14:textId="77777777">
            <w:r w:rsidRPr="00671A3F">
              <w:t>WMMO(FM)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2784611" w14:textId="77777777">
            <w:pPr>
              <w:jc w:val="right"/>
            </w:pPr>
            <w:r w:rsidRPr="00671A3F">
              <w:t>23444</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B24E1A6" w14:textId="77777777">
            <w:r w:rsidRPr="00671A3F">
              <w:t>Orlando,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0F19798"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F51401D" w14:textId="77777777">
            <w:r w:rsidRPr="00671A3F">
              <w:t>BTCH-20190702ACX</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7B158494" w14:textId="77777777">
            <w:pPr>
              <w:jc w:val="center"/>
            </w:pPr>
            <w:r w:rsidRPr="007B3B15">
              <w:t>0000082880</w:t>
            </w:r>
          </w:p>
        </w:tc>
      </w:tr>
      <w:tr w14:paraId="451EAD37"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34A8A0B" w14:textId="77777777">
            <w:r w:rsidRPr="00671A3F">
              <w:t>WNGC(FM)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D9EA1C2" w14:textId="77777777">
            <w:pPr>
              <w:jc w:val="right"/>
            </w:pPr>
            <w:r w:rsidRPr="00671A3F">
              <w:t>60810</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9B0808B" w14:textId="77777777">
            <w:r w:rsidRPr="00671A3F">
              <w:t>Arcade, GA</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3403201"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0CB4494" w14:textId="77777777">
            <w:r w:rsidRPr="00671A3F">
              <w:t>BTCH-20190702ACY</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0112B10B" w14:textId="77777777">
            <w:pPr>
              <w:jc w:val="center"/>
            </w:pPr>
          </w:p>
        </w:tc>
      </w:tr>
      <w:tr w14:paraId="40F3F419"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4E7F5FE" w14:textId="77777777">
            <w:r w:rsidRPr="00671A3F">
              <w:t>WOKV(AM)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1D4DC81" w14:textId="77777777">
            <w:pPr>
              <w:jc w:val="right"/>
            </w:pPr>
            <w:r w:rsidRPr="00671A3F">
              <w:t>53601</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E1C026D" w14:textId="77777777">
            <w:r w:rsidRPr="00671A3F">
              <w:t>Jacksonville,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395E6F8"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8CA63A1" w14:textId="77777777">
            <w:r w:rsidRPr="00671A3F">
              <w:t>BTC-20190702ACZ</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775CDF6B" w14:textId="77777777">
            <w:pPr>
              <w:jc w:val="center"/>
            </w:pPr>
            <w:r w:rsidRPr="007B3B15">
              <w:t>0000082666</w:t>
            </w:r>
          </w:p>
        </w:tc>
      </w:tr>
      <w:tr w14:paraId="39ABA0BA"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9E83008" w14:textId="77777777">
            <w:r w:rsidRPr="00671A3F">
              <w:t>WOKV-FM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B8791A7" w14:textId="77777777">
            <w:pPr>
              <w:jc w:val="right"/>
            </w:pPr>
            <w:r w:rsidRPr="00671A3F">
              <w:t>72081</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AEB78F9" w14:textId="77777777">
            <w:r w:rsidRPr="00671A3F">
              <w:t>Atlantic Beach,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68CE955"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6E04BE7" w14:textId="77777777">
            <w:r w:rsidRPr="00671A3F">
              <w:t>BTCH-20190702ADA</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25CCB795" w14:textId="77777777">
            <w:pPr>
              <w:jc w:val="center"/>
            </w:pPr>
            <w:r w:rsidRPr="00116B61">
              <w:t>0000082681</w:t>
            </w:r>
          </w:p>
        </w:tc>
      </w:tr>
      <w:tr w14:paraId="016D4436"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841D1FF" w14:textId="77777777">
            <w:r w:rsidRPr="00671A3F">
              <w:t>WPOI(FM)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021CF9E" w14:textId="77777777">
            <w:pPr>
              <w:jc w:val="right"/>
            </w:pPr>
            <w:r w:rsidRPr="00671A3F">
              <w:t>66013</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C26D225" w14:textId="77777777">
            <w:r w:rsidRPr="00671A3F">
              <w:t>St. Petersburg,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8587E94"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5FCC2E5" w14:textId="77777777">
            <w:r w:rsidRPr="00671A3F">
              <w:t>BTCH-20190702ADB</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4CCD7779" w14:textId="77777777">
            <w:pPr>
              <w:jc w:val="center"/>
            </w:pPr>
            <w:r w:rsidRPr="00885B2E">
              <w:t>0000082822</w:t>
            </w:r>
          </w:p>
        </w:tc>
      </w:tr>
      <w:tr w14:paraId="2FE540E9"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7DE8AA1" w14:textId="77777777">
            <w:r w:rsidRPr="00671A3F">
              <w:t>WPUP(FM)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F79397B" w14:textId="77777777">
            <w:pPr>
              <w:jc w:val="right"/>
            </w:pPr>
            <w:r w:rsidRPr="00671A3F">
              <w:t>51120</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89ECD58" w14:textId="77777777">
            <w:r w:rsidRPr="00671A3F">
              <w:t>Watkinsville, GA</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F388282"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5F39163" w14:textId="77777777">
            <w:r w:rsidRPr="00671A3F">
              <w:t>BTCH-20190702ADC</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1C1D6CD7" w14:textId="77777777">
            <w:pPr>
              <w:jc w:val="center"/>
            </w:pPr>
          </w:p>
        </w:tc>
      </w:tr>
      <w:tr w14:paraId="4125B7A3"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8F7E518" w14:textId="77777777">
            <w:r w:rsidRPr="00671A3F">
              <w:t>WRFC(AM)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91C70E8" w14:textId="77777777">
            <w:pPr>
              <w:jc w:val="right"/>
            </w:pPr>
            <w:r w:rsidRPr="00671A3F">
              <w:t>1218</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3244E0C" w14:textId="77777777">
            <w:r w:rsidRPr="00671A3F">
              <w:t>Athens, GA</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2D2ED10"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0DD5C53" w14:textId="77777777">
            <w:r w:rsidRPr="00671A3F">
              <w:t>BTC-20190702ADD</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572BAA00" w14:textId="77777777">
            <w:pPr>
              <w:jc w:val="center"/>
            </w:pPr>
          </w:p>
        </w:tc>
      </w:tr>
      <w:tr w14:paraId="6F54E983"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F02C8CC" w14:textId="77777777">
            <w:r w:rsidRPr="00671A3F">
              <w:t>WSB(AM)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8DE191F" w14:textId="77777777">
            <w:pPr>
              <w:jc w:val="right"/>
            </w:pPr>
            <w:r w:rsidRPr="00671A3F">
              <w:t>73977</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B767A06" w14:textId="77777777">
            <w:r w:rsidRPr="00671A3F">
              <w:t>Atlanta, GA</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B342820"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AF41556" w14:textId="77777777">
            <w:r w:rsidRPr="00671A3F">
              <w:t>BTC-20190702ADE</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40E3698C" w14:textId="77777777">
            <w:pPr>
              <w:jc w:val="center"/>
            </w:pPr>
          </w:p>
        </w:tc>
      </w:tr>
      <w:tr w14:paraId="75098496"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78F35A3" w14:textId="77777777">
            <w:r w:rsidRPr="00671A3F">
              <w:t>WSB-FM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C09692F" w14:textId="77777777">
            <w:pPr>
              <w:jc w:val="right"/>
            </w:pPr>
            <w:r w:rsidRPr="00671A3F">
              <w:t>73978</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015080A" w14:textId="77777777">
            <w:r w:rsidRPr="00671A3F">
              <w:t>Atlanta, GA</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1E24AE9"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160C055" w14:textId="77777777">
            <w:r w:rsidRPr="00671A3F">
              <w:t>BTCH-20190702ADF</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27BF681A" w14:textId="77777777">
            <w:pPr>
              <w:jc w:val="center"/>
            </w:pPr>
          </w:p>
        </w:tc>
      </w:tr>
      <w:tr w14:paraId="3C9001FA"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93051DA" w14:textId="77777777">
            <w:r w:rsidRPr="00671A3F">
              <w:t>WSBB-FM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DC0C647" w14:textId="77777777">
            <w:pPr>
              <w:jc w:val="right"/>
            </w:pPr>
            <w:r w:rsidRPr="00671A3F">
              <w:t>11710</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7836079" w14:textId="77777777">
            <w:r w:rsidRPr="00671A3F">
              <w:t>Doraville, GA</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618AACB"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B5D075D" w14:textId="77777777">
            <w:r w:rsidRPr="00671A3F">
              <w:t>BTCH-20190702ADG</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0AF0378E" w14:textId="77777777">
            <w:pPr>
              <w:jc w:val="center"/>
            </w:pPr>
          </w:p>
        </w:tc>
      </w:tr>
      <w:tr w14:paraId="756AB37D"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BA8A0EB" w14:textId="77777777">
            <w:r w:rsidRPr="00671A3F">
              <w:t>WSRV(FM)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F32540E" w14:textId="77777777">
            <w:pPr>
              <w:jc w:val="right"/>
            </w:pPr>
            <w:r w:rsidRPr="00671A3F">
              <w:t>59970</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8CF5A28" w14:textId="77777777">
            <w:r w:rsidRPr="00671A3F">
              <w:t>Gainesville, GA</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5C2656E"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DBA0FF0" w14:textId="77777777">
            <w:r w:rsidRPr="00671A3F">
              <w:t>BTCH-20190702ADH</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1602685F" w14:textId="77777777">
            <w:pPr>
              <w:jc w:val="center"/>
            </w:pPr>
          </w:p>
        </w:tc>
      </w:tr>
      <w:tr w14:paraId="67185696"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974BE58" w14:textId="77777777">
            <w:r w:rsidRPr="00671A3F">
              <w:t>WWKA(FM)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EB6FA3B" w14:textId="77777777">
            <w:pPr>
              <w:jc w:val="right"/>
            </w:pPr>
            <w:r w:rsidRPr="00671A3F">
              <w:t>48716</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CAA6F1E" w14:textId="77777777">
            <w:r w:rsidRPr="00671A3F">
              <w:t>Orlando,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175A8E3"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9DD083F" w14:textId="77777777">
            <w:r w:rsidRPr="00671A3F">
              <w:t>BTCH-20190702ADI</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3F92356C" w14:textId="77777777">
            <w:pPr>
              <w:jc w:val="center"/>
            </w:pPr>
            <w:r w:rsidRPr="00622FA3">
              <w:t>0000082871</w:t>
            </w:r>
          </w:p>
        </w:tc>
      </w:tr>
      <w:tr w14:paraId="36139FC7"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BBE96FA" w14:textId="77777777">
            <w:r w:rsidRPr="00671A3F">
              <w:t>WWRM(FM)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49B2D088" w14:textId="77777777">
            <w:pPr>
              <w:jc w:val="right"/>
            </w:pPr>
            <w:r w:rsidRPr="00671A3F">
              <w:t>74200</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BF6D7D5" w14:textId="77777777">
            <w:r w:rsidRPr="00671A3F">
              <w:t>Tampa,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7C2EBD4"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BDE2220" w14:textId="77777777">
            <w:r w:rsidRPr="00671A3F">
              <w:t>BTCH-20190702ADJ</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63CFCDB6" w14:textId="77777777">
            <w:pPr>
              <w:jc w:val="center"/>
            </w:pPr>
            <w:r w:rsidRPr="00622FA3">
              <w:t>0000082789</w:t>
            </w:r>
          </w:p>
        </w:tc>
      </w:tr>
      <w:tr w14:paraId="185EA04A"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9E554E9" w14:textId="77777777">
            <w:r w:rsidRPr="00671A3F">
              <w:t>WXGL(FM)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DF72A49" w14:textId="77777777">
            <w:pPr>
              <w:jc w:val="right"/>
            </w:pPr>
            <w:r w:rsidRPr="00671A3F">
              <w:t>74199</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E1E22D6" w14:textId="77777777">
            <w:r w:rsidRPr="00671A3F">
              <w:t>St. Petersburg,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52B504D"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9B44475" w14:textId="77777777">
            <w:r w:rsidRPr="00671A3F">
              <w:t>BTCH-20190702ADK</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53B315F8" w14:textId="77777777">
            <w:pPr>
              <w:jc w:val="center"/>
            </w:pPr>
            <w:r w:rsidRPr="00622FA3">
              <w:t>0000082756</w:t>
            </w:r>
          </w:p>
        </w:tc>
      </w:tr>
      <w:tr w14:paraId="17EC63AD"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137FE85" w14:textId="77777777">
            <w:r w:rsidRPr="00671A3F">
              <w:t>WXKT(FM)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C2BDA4E" w14:textId="77777777">
            <w:pPr>
              <w:jc w:val="right"/>
            </w:pPr>
            <w:r w:rsidRPr="00671A3F">
              <w:t>3078</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962BFB3" w14:textId="77777777">
            <w:r w:rsidRPr="00671A3F">
              <w:t>Maysville, GA</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C610167"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07FC248" w14:textId="77777777">
            <w:r w:rsidRPr="00671A3F">
              <w:t>BTCH-20190702ADL</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304D135B" w14:textId="77777777">
            <w:pPr>
              <w:jc w:val="center"/>
            </w:pPr>
          </w:p>
        </w:tc>
      </w:tr>
      <w:tr w14:paraId="2AF95281"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62B8A09D" w14:textId="77777777">
            <w:r w:rsidRPr="00671A3F">
              <w:t>WXXJ(FM)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FF68CC9" w14:textId="77777777">
            <w:pPr>
              <w:jc w:val="right"/>
            </w:pPr>
            <w:r w:rsidRPr="00671A3F">
              <w:t>28894</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1083EE7D" w14:textId="77777777">
            <w:r w:rsidRPr="00671A3F">
              <w:t>Ponte Vedra Beach,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060E15E"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0FB29038" w14:textId="77777777">
            <w:r w:rsidRPr="00671A3F">
              <w:t>BTCH-20190702ADM</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5053693E" w14:textId="77777777">
            <w:pPr>
              <w:jc w:val="center"/>
            </w:pPr>
            <w:r w:rsidRPr="00622FA3">
              <w:t>0000082654</w:t>
            </w:r>
          </w:p>
        </w:tc>
      </w:tr>
      <w:tr w14:paraId="26FF4DA8"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9DEF6AE" w14:textId="77777777">
            <w:r w:rsidRPr="00671A3F">
              <w:t>W273CP</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9AA468E" w14:textId="77777777">
            <w:pPr>
              <w:jc w:val="right"/>
            </w:pPr>
            <w:r w:rsidRPr="00671A3F">
              <w:t>158583</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4618B27" w14:textId="77777777">
            <w:r w:rsidRPr="00671A3F">
              <w:t>New Port Richey,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D2441A4"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32F70EB0" w14:textId="77777777">
            <w:r w:rsidRPr="00671A3F">
              <w:t>BTCFT-20190702ADN</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4AFB552C" w14:textId="77777777">
            <w:pPr>
              <w:jc w:val="center"/>
            </w:pPr>
            <w:r w:rsidRPr="00622FA3">
              <w:t>0000082789</w:t>
            </w:r>
          </w:p>
        </w:tc>
      </w:tr>
      <w:tr w14:paraId="50BA59E4"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B52E340" w14:textId="77777777">
            <w:r w:rsidRPr="00671A3F">
              <w:t>WPYO(FM)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25E4D117" w14:textId="77777777">
            <w:pPr>
              <w:jc w:val="right"/>
            </w:pPr>
            <w:r w:rsidRPr="00671A3F">
              <w:t>1186</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63613BB" w14:textId="77777777">
            <w:r w:rsidRPr="00671A3F">
              <w:t>Maitland,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739FC57F" w14:textId="77777777">
            <w:r w:rsidRPr="00671A3F">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671A3F" w:rsidP="000B0BDF" w14:paraId="53688DCD" w14:textId="77777777">
            <w:r w:rsidRPr="00671A3F">
              <w:t>BTCH-20190702ADO</w:t>
            </w:r>
          </w:p>
        </w:tc>
        <w:tc>
          <w:tcPr>
            <w:tcW w:w="1800" w:type="dxa"/>
            <w:tcBorders>
              <w:top w:val="single" w:sz="4" w:space="0" w:color="auto"/>
              <w:left w:val="single" w:sz="4" w:space="0" w:color="auto"/>
              <w:bottom w:val="single" w:sz="4" w:space="0" w:color="auto"/>
              <w:right w:val="single" w:sz="4" w:space="0" w:color="auto"/>
            </w:tcBorders>
          </w:tcPr>
          <w:p w:rsidR="00AD59BE" w:rsidRPr="00671A3F" w:rsidP="000B0BDF" w14:paraId="6D14C444" w14:textId="77777777">
            <w:pPr>
              <w:jc w:val="center"/>
            </w:pPr>
            <w:r w:rsidRPr="00622FA3">
              <w:t>0000082847</w:t>
            </w:r>
          </w:p>
        </w:tc>
      </w:tr>
      <w:tr w14:paraId="005DC0BF"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18175CF7" w14:textId="77777777">
            <w:r w:rsidRPr="00910C10">
              <w:t>WSUN(FM)</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5356411A" w14:textId="77777777">
            <w:pPr>
              <w:jc w:val="right"/>
            </w:pPr>
            <w:r w:rsidRPr="00910C10">
              <w:t>67136</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2F0C6653" w14:textId="77777777">
            <w:r w:rsidRPr="00910C10">
              <w:t>Holiday,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09BE5CDE" w14:textId="77777777">
            <w:r w:rsidRPr="00910C10">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66FD5489" w14:textId="77777777">
            <w:r w:rsidRPr="00910C10">
              <w:t>BTCH-20190702ADP</w:t>
            </w:r>
          </w:p>
        </w:tc>
        <w:tc>
          <w:tcPr>
            <w:tcW w:w="1800" w:type="dxa"/>
            <w:tcBorders>
              <w:top w:val="single" w:sz="4" w:space="0" w:color="auto"/>
              <w:left w:val="single" w:sz="4" w:space="0" w:color="auto"/>
              <w:bottom w:val="single" w:sz="4" w:space="0" w:color="auto"/>
              <w:right w:val="single" w:sz="4" w:space="0" w:color="auto"/>
            </w:tcBorders>
          </w:tcPr>
          <w:p w:rsidR="00AD59BE" w:rsidRPr="00910C10" w:rsidP="000B0BDF" w14:paraId="1FA10C33" w14:textId="77777777">
            <w:pPr>
              <w:jc w:val="center"/>
            </w:pPr>
            <w:r w:rsidRPr="00910C10">
              <w:t>0000082746</w:t>
            </w:r>
          </w:p>
        </w:tc>
      </w:tr>
      <w:tr w14:paraId="46B69C43"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27B8060D" w14:textId="77777777">
            <w:r w:rsidRPr="00910C10">
              <w:t>WSUN-FM3</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59CCF012" w14:textId="77777777">
            <w:pPr>
              <w:jc w:val="right"/>
            </w:pPr>
            <w:r w:rsidRPr="00910C10">
              <w:t>198549</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2622D87A" w14:textId="77777777">
            <w:r w:rsidRPr="00910C10">
              <w:t>St. Petersburg,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21D7966A" w14:textId="77777777">
            <w:r w:rsidRPr="00910C10">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66B22F08" w14:textId="77777777">
            <w:r w:rsidRPr="00910C10">
              <w:t>BTCFTB-20190702ADQ</w:t>
            </w:r>
          </w:p>
        </w:tc>
        <w:tc>
          <w:tcPr>
            <w:tcW w:w="1800" w:type="dxa"/>
            <w:tcBorders>
              <w:top w:val="single" w:sz="4" w:space="0" w:color="auto"/>
              <w:left w:val="single" w:sz="4" w:space="0" w:color="auto"/>
              <w:bottom w:val="single" w:sz="4" w:space="0" w:color="auto"/>
              <w:right w:val="single" w:sz="4" w:space="0" w:color="auto"/>
            </w:tcBorders>
          </w:tcPr>
          <w:p w:rsidR="00AD59BE" w:rsidRPr="00910C10" w:rsidP="000B0BDF" w14:paraId="5CC32D88" w14:textId="77777777">
            <w:pPr>
              <w:jc w:val="center"/>
            </w:pPr>
            <w:r w:rsidRPr="00910C10">
              <w:t>0000082746</w:t>
            </w:r>
          </w:p>
        </w:tc>
      </w:tr>
      <w:tr w14:paraId="14B70E59" w14:textId="77777777" w:rsidTr="000B0BDF">
        <w:tblPrEx>
          <w:tblW w:w="9918" w:type="dxa"/>
          <w:tblLayout w:type="fixed"/>
          <w:tblLook w:val="04A0"/>
        </w:tblPrEx>
        <w:tc>
          <w:tcPr>
            <w:tcW w:w="1458"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669598B8" w14:textId="77777777">
            <w:r w:rsidRPr="00910C10">
              <w:t>WSUN-FM4</w:t>
            </w:r>
          </w:p>
        </w:tc>
        <w:tc>
          <w:tcPr>
            <w:tcW w:w="900"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1410B7A5" w14:textId="77777777">
            <w:pPr>
              <w:jc w:val="right"/>
            </w:pPr>
            <w:r w:rsidRPr="00910C10">
              <w:t>198705</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6061DE86" w14:textId="77777777">
            <w:r w:rsidRPr="00910C10">
              <w:t>Pinellas park,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25A2B39E" w14:textId="77777777">
            <w:r w:rsidRPr="00910C10">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6DD16E51" w14:textId="77777777">
            <w:r w:rsidRPr="00910C10">
              <w:t>BTCFTB-20190702ADR</w:t>
            </w:r>
          </w:p>
        </w:tc>
        <w:tc>
          <w:tcPr>
            <w:tcW w:w="1800" w:type="dxa"/>
            <w:tcBorders>
              <w:top w:val="single" w:sz="4" w:space="0" w:color="auto"/>
              <w:left w:val="single" w:sz="4" w:space="0" w:color="auto"/>
              <w:bottom w:val="single" w:sz="4" w:space="0" w:color="auto"/>
              <w:right w:val="single" w:sz="4" w:space="0" w:color="auto"/>
            </w:tcBorders>
          </w:tcPr>
          <w:p w:rsidR="00AD59BE" w:rsidRPr="00910C10" w:rsidP="000B0BDF" w14:paraId="168202ED" w14:textId="77777777">
            <w:pPr>
              <w:jc w:val="center"/>
            </w:pPr>
            <w:r w:rsidRPr="00910C10">
              <w:t>0000082746</w:t>
            </w:r>
          </w:p>
        </w:tc>
      </w:tr>
    </w:tbl>
    <w:p w:rsidR="00AD59BE" w:rsidP="00AD59BE" w14:paraId="4DAE346A" w14:textId="77777777">
      <w:pPr>
        <w:keepNext/>
        <w:widowControl/>
        <w:rPr>
          <w:szCs w:val="22"/>
        </w:rPr>
      </w:pPr>
    </w:p>
    <w:p w:rsidR="00AD59BE" w:rsidP="00AD59BE" w14:paraId="2F1D964F" w14:textId="77777777">
      <w:pPr>
        <w:keepNext/>
        <w:widowControl/>
        <w:rPr>
          <w:szCs w:val="22"/>
        </w:rPr>
      </w:pPr>
    </w:p>
    <w:p w:rsidR="00AD59BE" w:rsidP="00AD59BE" w14:paraId="1D1C1956" w14:textId="77777777">
      <w:pPr>
        <w:rPr>
          <w:b/>
        </w:rPr>
      </w:pPr>
    </w:p>
    <w:p w:rsidR="00AD59BE" w:rsidP="00AD59BE" w14:paraId="5A04BA67" w14:textId="77777777">
      <w:pPr>
        <w:keepNext/>
        <w:widowControl/>
        <w:jc w:val="center"/>
        <w:rPr>
          <w:b/>
          <w:szCs w:val="22"/>
        </w:rPr>
        <w:sectPr w:rsidSect="0074246F">
          <w:headerReference w:type="default" r:id="rId19"/>
          <w:footerReference w:type="even" r:id="rId20"/>
          <w:footerReference w:type="default" r:id="rId21"/>
          <w:headerReference w:type="first" r:id="rId22"/>
          <w:endnotePr>
            <w:numFmt w:val="decimal"/>
          </w:endnotePr>
          <w:pgSz w:w="12240" w:h="15840"/>
          <w:pgMar w:top="1440" w:right="1440" w:bottom="720" w:left="1440" w:header="720" w:footer="720" w:gutter="0"/>
          <w:cols w:space="720"/>
          <w:noEndnote/>
          <w:docGrid w:linePitch="299"/>
        </w:sectPr>
      </w:pPr>
    </w:p>
    <w:p w:rsidR="00AD59BE" w:rsidRPr="00CA73BB" w:rsidP="00AD59BE" w14:paraId="026FEA2C" w14:textId="77777777">
      <w:pPr>
        <w:jc w:val="center"/>
        <w:rPr>
          <w:b/>
          <w:u w:val="single"/>
        </w:rPr>
      </w:pPr>
      <w:r w:rsidRPr="00CA73BB">
        <w:rPr>
          <w:b/>
          <w:u w:val="single"/>
        </w:rPr>
        <w:t xml:space="preserve">Attachment </w:t>
      </w:r>
      <w:r>
        <w:rPr>
          <w:b/>
          <w:u w:val="single"/>
        </w:rPr>
        <w:t>D – Radio Divestitures to CXR Radio, LLC</w:t>
      </w:r>
    </w:p>
    <w:p w:rsidR="00AD59BE" w:rsidP="00AD59BE" w14:paraId="1A774AEA" w14:textId="77777777">
      <w:pPr>
        <w:jc w:val="center"/>
        <w:rPr>
          <w:b/>
        </w:rPr>
      </w:pPr>
    </w:p>
    <w:p w:rsidR="00AD59BE" w:rsidP="00AD59BE" w14:paraId="6D81BDF0" w14:textId="77777777">
      <w:pPr>
        <w:keepNext/>
        <w:widowControl/>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990"/>
        <w:gridCol w:w="1620"/>
        <w:gridCol w:w="1710"/>
        <w:gridCol w:w="2430"/>
        <w:gridCol w:w="1350"/>
      </w:tblGrid>
      <w:tr w14:paraId="213D782D" w14:textId="77777777" w:rsidTr="000B0BDF">
        <w:tblPrEx>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368" w:type="dxa"/>
            <w:tcBorders>
              <w:top w:val="single" w:sz="4" w:space="0" w:color="auto"/>
              <w:left w:val="single" w:sz="4" w:space="0" w:color="auto"/>
              <w:bottom w:val="single" w:sz="4" w:space="0" w:color="auto"/>
              <w:right w:val="single" w:sz="4" w:space="0" w:color="auto"/>
            </w:tcBorders>
            <w:hideMark/>
          </w:tcPr>
          <w:p w:rsidR="00AD59BE" w:rsidP="000B0BDF" w14:paraId="2560833F" w14:textId="77777777">
            <w:pPr>
              <w:pStyle w:val="ParaNum"/>
              <w:numPr>
                <w:ilvl w:val="0"/>
                <w:numId w:val="0"/>
              </w:numPr>
              <w:tabs>
                <w:tab w:val="left" w:pos="720"/>
              </w:tabs>
              <w:jc w:val="center"/>
              <w:rPr>
                <w:b/>
                <w:szCs w:val="22"/>
              </w:rPr>
            </w:pPr>
            <w:r>
              <w:rPr>
                <w:b/>
                <w:szCs w:val="22"/>
              </w:rPr>
              <w:t>Call Sign</w:t>
            </w:r>
          </w:p>
        </w:tc>
        <w:tc>
          <w:tcPr>
            <w:tcW w:w="990" w:type="dxa"/>
            <w:tcBorders>
              <w:top w:val="single" w:sz="4" w:space="0" w:color="auto"/>
              <w:left w:val="single" w:sz="4" w:space="0" w:color="auto"/>
              <w:bottom w:val="single" w:sz="4" w:space="0" w:color="auto"/>
              <w:right w:val="single" w:sz="4" w:space="0" w:color="auto"/>
            </w:tcBorders>
            <w:hideMark/>
          </w:tcPr>
          <w:p w:rsidR="00AD59BE" w:rsidP="000B0BDF" w14:paraId="0297C076" w14:textId="77777777">
            <w:pPr>
              <w:pStyle w:val="ParaNum"/>
              <w:numPr>
                <w:ilvl w:val="0"/>
                <w:numId w:val="0"/>
              </w:numPr>
              <w:tabs>
                <w:tab w:val="left" w:pos="720"/>
              </w:tabs>
              <w:jc w:val="center"/>
              <w:rPr>
                <w:b/>
                <w:szCs w:val="22"/>
              </w:rPr>
            </w:pPr>
            <w:r>
              <w:rPr>
                <w:b/>
                <w:szCs w:val="22"/>
              </w:rPr>
              <w:t>Facility ID No.</w:t>
            </w:r>
          </w:p>
        </w:tc>
        <w:tc>
          <w:tcPr>
            <w:tcW w:w="1620" w:type="dxa"/>
            <w:tcBorders>
              <w:top w:val="single" w:sz="4" w:space="0" w:color="auto"/>
              <w:left w:val="single" w:sz="4" w:space="0" w:color="auto"/>
              <w:bottom w:val="single" w:sz="4" w:space="0" w:color="auto"/>
              <w:right w:val="single" w:sz="4" w:space="0" w:color="auto"/>
            </w:tcBorders>
            <w:hideMark/>
          </w:tcPr>
          <w:p w:rsidR="00AD59BE" w:rsidP="000B0BDF" w14:paraId="12BF27AA" w14:textId="77777777">
            <w:pPr>
              <w:pStyle w:val="ParaNum"/>
              <w:numPr>
                <w:ilvl w:val="0"/>
                <w:numId w:val="0"/>
              </w:numPr>
              <w:tabs>
                <w:tab w:val="left" w:pos="720"/>
              </w:tabs>
              <w:jc w:val="center"/>
              <w:rPr>
                <w:b/>
                <w:szCs w:val="22"/>
              </w:rPr>
            </w:pPr>
            <w:r>
              <w:rPr>
                <w:b/>
                <w:szCs w:val="22"/>
              </w:rPr>
              <w:t>Community of License</w:t>
            </w:r>
          </w:p>
        </w:tc>
        <w:tc>
          <w:tcPr>
            <w:tcW w:w="1710" w:type="dxa"/>
            <w:tcBorders>
              <w:top w:val="single" w:sz="4" w:space="0" w:color="auto"/>
              <w:left w:val="single" w:sz="4" w:space="0" w:color="auto"/>
              <w:bottom w:val="single" w:sz="4" w:space="0" w:color="auto"/>
              <w:right w:val="single" w:sz="4" w:space="0" w:color="auto"/>
            </w:tcBorders>
            <w:hideMark/>
          </w:tcPr>
          <w:p w:rsidR="00AD59BE" w:rsidP="000B0BDF" w14:paraId="4A617276" w14:textId="77777777">
            <w:pPr>
              <w:pStyle w:val="ParaNum"/>
              <w:numPr>
                <w:ilvl w:val="0"/>
                <w:numId w:val="0"/>
              </w:numPr>
              <w:tabs>
                <w:tab w:val="left" w:pos="720"/>
              </w:tabs>
              <w:jc w:val="center"/>
              <w:rPr>
                <w:b/>
                <w:szCs w:val="22"/>
              </w:rPr>
            </w:pPr>
            <w:r>
              <w:rPr>
                <w:b/>
                <w:szCs w:val="22"/>
              </w:rPr>
              <w:t>Licensee</w:t>
            </w:r>
          </w:p>
        </w:tc>
        <w:tc>
          <w:tcPr>
            <w:tcW w:w="2430" w:type="dxa"/>
            <w:tcBorders>
              <w:top w:val="single" w:sz="4" w:space="0" w:color="auto"/>
              <w:left w:val="single" w:sz="4" w:space="0" w:color="auto"/>
              <w:bottom w:val="single" w:sz="4" w:space="0" w:color="auto"/>
              <w:right w:val="single" w:sz="4" w:space="0" w:color="auto"/>
            </w:tcBorders>
            <w:hideMark/>
          </w:tcPr>
          <w:p w:rsidR="00AD59BE" w:rsidP="000B0BDF" w14:paraId="1770F136" w14:textId="77777777">
            <w:pPr>
              <w:pStyle w:val="ParaNum"/>
              <w:numPr>
                <w:ilvl w:val="0"/>
                <w:numId w:val="0"/>
              </w:numPr>
              <w:tabs>
                <w:tab w:val="left" w:pos="720"/>
              </w:tabs>
              <w:jc w:val="center"/>
              <w:rPr>
                <w:b/>
                <w:szCs w:val="22"/>
              </w:rPr>
            </w:pPr>
            <w:r>
              <w:rPr>
                <w:b/>
                <w:szCs w:val="22"/>
              </w:rPr>
              <w:t>Application File Nos.</w:t>
            </w:r>
          </w:p>
        </w:tc>
        <w:tc>
          <w:tcPr>
            <w:tcW w:w="1350" w:type="dxa"/>
            <w:tcBorders>
              <w:top w:val="single" w:sz="4" w:space="0" w:color="auto"/>
              <w:left w:val="single" w:sz="4" w:space="0" w:color="auto"/>
              <w:bottom w:val="single" w:sz="4" w:space="0" w:color="auto"/>
              <w:right w:val="single" w:sz="4" w:space="0" w:color="auto"/>
            </w:tcBorders>
          </w:tcPr>
          <w:p w:rsidR="00AD59BE" w:rsidP="000B0BDF" w14:paraId="62E25E03" w14:textId="77777777">
            <w:pPr>
              <w:pStyle w:val="ParaNum"/>
              <w:numPr>
                <w:ilvl w:val="0"/>
                <w:numId w:val="0"/>
              </w:numPr>
              <w:tabs>
                <w:tab w:val="left" w:pos="720"/>
              </w:tabs>
              <w:jc w:val="center"/>
              <w:rPr>
                <w:b/>
                <w:szCs w:val="22"/>
              </w:rPr>
            </w:pPr>
            <w:r w:rsidRPr="00A96C48">
              <w:rPr>
                <w:b/>
              </w:rPr>
              <w:t>Pending License Renewal Applications</w:t>
            </w:r>
          </w:p>
        </w:tc>
      </w:tr>
      <w:tr w14:paraId="25BB558C" w14:textId="77777777" w:rsidTr="000B0BDF">
        <w:tblPrEx>
          <w:tblW w:w="9468" w:type="dxa"/>
          <w:tblLayout w:type="fixed"/>
          <w:tblLook w:val="04A0"/>
        </w:tblPrEx>
        <w:tc>
          <w:tcPr>
            <w:tcW w:w="1368" w:type="dxa"/>
            <w:tcBorders>
              <w:top w:val="single" w:sz="4" w:space="0" w:color="auto"/>
              <w:left w:val="single" w:sz="4" w:space="0" w:color="auto"/>
              <w:bottom w:val="single" w:sz="4" w:space="0" w:color="auto"/>
              <w:right w:val="single" w:sz="4" w:space="0" w:color="auto"/>
            </w:tcBorders>
            <w:vAlign w:val="bottom"/>
          </w:tcPr>
          <w:p w:rsidR="00AD59BE" w:rsidRPr="00CA73BB" w:rsidP="000B0BDF" w14:paraId="4E381D14" w14:textId="77777777">
            <w:pPr>
              <w:rPr>
                <w:bCs/>
              </w:rPr>
            </w:pPr>
            <w:r w:rsidRPr="00CA73BB">
              <w:rPr>
                <w:bCs/>
              </w:rPr>
              <w:t>WSUN(FM)</w:t>
            </w:r>
          </w:p>
        </w:tc>
        <w:tc>
          <w:tcPr>
            <w:tcW w:w="990" w:type="dxa"/>
            <w:tcBorders>
              <w:top w:val="single" w:sz="4" w:space="0" w:color="auto"/>
              <w:left w:val="single" w:sz="4" w:space="0" w:color="auto"/>
              <w:bottom w:val="single" w:sz="4" w:space="0" w:color="auto"/>
              <w:right w:val="single" w:sz="4" w:space="0" w:color="auto"/>
            </w:tcBorders>
            <w:vAlign w:val="bottom"/>
          </w:tcPr>
          <w:p w:rsidR="00AD59BE" w:rsidRPr="00CA73BB" w:rsidP="000B0BDF" w14:paraId="59C07416" w14:textId="77777777">
            <w:pPr>
              <w:jc w:val="right"/>
              <w:rPr>
                <w:bCs/>
              </w:rPr>
            </w:pPr>
            <w:r w:rsidRPr="00CA73BB">
              <w:rPr>
                <w:bCs/>
              </w:rPr>
              <w:t>67136</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CA73BB" w:rsidP="000B0BDF" w14:paraId="47325871" w14:textId="77777777">
            <w:pPr>
              <w:rPr>
                <w:bCs/>
              </w:rPr>
            </w:pPr>
            <w:r w:rsidRPr="00CA73BB">
              <w:rPr>
                <w:bCs/>
              </w:rPr>
              <w:t>Holiday,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CA73BB" w:rsidP="000B0BDF" w14:paraId="7177C8D4" w14:textId="77777777">
            <w:pPr>
              <w:rPr>
                <w:bCs/>
              </w:rPr>
            </w:pPr>
            <w:r w:rsidRPr="00CA73BB">
              <w:rPr>
                <w:bCs/>
              </w:rPr>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CA73BB" w:rsidP="000B0BDF" w14:paraId="1B606ECB" w14:textId="77777777">
            <w:pPr>
              <w:rPr>
                <w:bCs/>
              </w:rPr>
            </w:pPr>
            <w:r w:rsidRPr="00CA73BB">
              <w:rPr>
                <w:bCs/>
              </w:rPr>
              <w:t>BALH-20190702ADS</w:t>
            </w:r>
          </w:p>
        </w:tc>
        <w:tc>
          <w:tcPr>
            <w:tcW w:w="1350" w:type="dxa"/>
            <w:tcBorders>
              <w:top w:val="single" w:sz="4" w:space="0" w:color="auto"/>
              <w:left w:val="single" w:sz="4" w:space="0" w:color="auto"/>
              <w:bottom w:val="single" w:sz="4" w:space="0" w:color="auto"/>
              <w:right w:val="single" w:sz="4" w:space="0" w:color="auto"/>
            </w:tcBorders>
          </w:tcPr>
          <w:p w:rsidR="00AD59BE" w:rsidRPr="00910C10" w:rsidP="000B0BDF" w14:paraId="5D872C4C" w14:textId="77777777">
            <w:pPr>
              <w:jc w:val="center"/>
            </w:pPr>
            <w:r w:rsidRPr="00910C10">
              <w:t>0000082746</w:t>
            </w:r>
          </w:p>
        </w:tc>
      </w:tr>
      <w:tr w14:paraId="517CAF01" w14:textId="77777777" w:rsidTr="000B0BDF">
        <w:tblPrEx>
          <w:tblW w:w="9468" w:type="dxa"/>
          <w:tblLayout w:type="fixed"/>
          <w:tblLook w:val="04A0"/>
        </w:tblPrEx>
        <w:tc>
          <w:tcPr>
            <w:tcW w:w="1368"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1ECDB1F4" w14:textId="77777777">
            <w:r w:rsidRPr="00910C10">
              <w:t>WSUN-FM3</w:t>
            </w:r>
          </w:p>
        </w:tc>
        <w:tc>
          <w:tcPr>
            <w:tcW w:w="990"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5430AC2A" w14:textId="77777777">
            <w:pPr>
              <w:jc w:val="right"/>
            </w:pPr>
            <w:r w:rsidRPr="00910C10">
              <w:t>198549</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6A49AEE2" w14:textId="77777777">
            <w:r w:rsidRPr="00910C10">
              <w:t>St. Petersburg,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27C6F5F6" w14:textId="77777777">
            <w:r w:rsidRPr="00910C10">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16D69A63" w14:textId="77777777">
            <w:r w:rsidRPr="00910C10">
              <w:t>BALFTB-20190702ADT</w:t>
            </w:r>
          </w:p>
        </w:tc>
        <w:tc>
          <w:tcPr>
            <w:tcW w:w="1350" w:type="dxa"/>
            <w:tcBorders>
              <w:top w:val="single" w:sz="4" w:space="0" w:color="auto"/>
              <w:left w:val="single" w:sz="4" w:space="0" w:color="auto"/>
              <w:bottom w:val="single" w:sz="4" w:space="0" w:color="auto"/>
              <w:right w:val="single" w:sz="4" w:space="0" w:color="auto"/>
            </w:tcBorders>
          </w:tcPr>
          <w:p w:rsidR="00AD59BE" w:rsidRPr="00910C10" w:rsidP="000B0BDF" w14:paraId="41ED8E66" w14:textId="77777777">
            <w:pPr>
              <w:jc w:val="center"/>
            </w:pPr>
            <w:r w:rsidRPr="00910C10">
              <w:t>0000082746</w:t>
            </w:r>
          </w:p>
        </w:tc>
      </w:tr>
      <w:tr w14:paraId="71AA9914" w14:textId="77777777" w:rsidTr="000B0BDF">
        <w:tblPrEx>
          <w:tblW w:w="9468" w:type="dxa"/>
          <w:tblLayout w:type="fixed"/>
          <w:tblLook w:val="04A0"/>
        </w:tblPrEx>
        <w:tc>
          <w:tcPr>
            <w:tcW w:w="1368"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37528BEF" w14:textId="77777777">
            <w:r w:rsidRPr="00910C10">
              <w:t>WSUN-FM4</w:t>
            </w:r>
          </w:p>
        </w:tc>
        <w:tc>
          <w:tcPr>
            <w:tcW w:w="990"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74CF301B" w14:textId="77777777">
            <w:pPr>
              <w:jc w:val="right"/>
            </w:pPr>
            <w:r w:rsidRPr="00910C10">
              <w:t>198705</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4B75654F" w14:textId="77777777">
            <w:r w:rsidRPr="00910C10">
              <w:t>Pinellas Park,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71BC57F2" w14:textId="77777777">
            <w:r w:rsidRPr="00910C10">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910C10" w:rsidP="000B0BDF" w14:paraId="6186CD5B" w14:textId="77777777">
            <w:r w:rsidRPr="00910C10">
              <w:t>BALFTB-20190702ADU</w:t>
            </w:r>
          </w:p>
        </w:tc>
        <w:tc>
          <w:tcPr>
            <w:tcW w:w="1350" w:type="dxa"/>
            <w:tcBorders>
              <w:top w:val="single" w:sz="4" w:space="0" w:color="auto"/>
              <w:left w:val="single" w:sz="4" w:space="0" w:color="auto"/>
              <w:bottom w:val="single" w:sz="4" w:space="0" w:color="auto"/>
              <w:right w:val="single" w:sz="4" w:space="0" w:color="auto"/>
            </w:tcBorders>
          </w:tcPr>
          <w:p w:rsidR="00AD59BE" w:rsidRPr="00910C10" w:rsidP="000B0BDF" w14:paraId="0B811260" w14:textId="77777777">
            <w:pPr>
              <w:jc w:val="center"/>
            </w:pPr>
            <w:r w:rsidRPr="00910C10">
              <w:t>0000082746</w:t>
            </w:r>
          </w:p>
        </w:tc>
      </w:tr>
      <w:tr w14:paraId="3127420C" w14:textId="77777777" w:rsidTr="000B0BDF">
        <w:tblPrEx>
          <w:tblW w:w="9468" w:type="dxa"/>
          <w:tblLayout w:type="fixed"/>
          <w:tblLook w:val="04A0"/>
        </w:tblPrEx>
        <w:tc>
          <w:tcPr>
            <w:tcW w:w="1368" w:type="dxa"/>
            <w:tcBorders>
              <w:top w:val="single" w:sz="4" w:space="0" w:color="auto"/>
              <w:left w:val="single" w:sz="4" w:space="0" w:color="auto"/>
              <w:bottom w:val="single" w:sz="4" w:space="0" w:color="auto"/>
              <w:right w:val="single" w:sz="4" w:space="0" w:color="auto"/>
            </w:tcBorders>
            <w:vAlign w:val="bottom"/>
          </w:tcPr>
          <w:p w:rsidR="00AD59BE" w:rsidRPr="00CA73BB" w:rsidP="000B0BDF" w14:paraId="38BF9AEA" w14:textId="77777777">
            <w:pPr>
              <w:rPr>
                <w:bCs/>
              </w:rPr>
            </w:pPr>
            <w:r w:rsidRPr="00CA73BB">
              <w:rPr>
                <w:bCs/>
              </w:rPr>
              <w:t>WPYO(FM)</w:t>
            </w:r>
          </w:p>
        </w:tc>
        <w:tc>
          <w:tcPr>
            <w:tcW w:w="990" w:type="dxa"/>
            <w:tcBorders>
              <w:top w:val="single" w:sz="4" w:space="0" w:color="auto"/>
              <w:left w:val="single" w:sz="4" w:space="0" w:color="auto"/>
              <w:bottom w:val="single" w:sz="4" w:space="0" w:color="auto"/>
              <w:right w:val="single" w:sz="4" w:space="0" w:color="auto"/>
            </w:tcBorders>
            <w:vAlign w:val="bottom"/>
          </w:tcPr>
          <w:p w:rsidR="00AD59BE" w:rsidRPr="00CA73BB" w:rsidP="000B0BDF" w14:paraId="29A6C638" w14:textId="77777777">
            <w:pPr>
              <w:jc w:val="right"/>
              <w:rPr>
                <w:bCs/>
              </w:rPr>
            </w:pPr>
            <w:r w:rsidRPr="00CA73BB">
              <w:rPr>
                <w:bCs/>
              </w:rPr>
              <w:t>1186</w:t>
            </w:r>
          </w:p>
        </w:tc>
        <w:tc>
          <w:tcPr>
            <w:tcW w:w="1620" w:type="dxa"/>
            <w:tcBorders>
              <w:top w:val="single" w:sz="4" w:space="0" w:color="auto"/>
              <w:left w:val="single" w:sz="4" w:space="0" w:color="auto"/>
              <w:bottom w:val="single" w:sz="4" w:space="0" w:color="auto"/>
              <w:right w:val="single" w:sz="4" w:space="0" w:color="auto"/>
            </w:tcBorders>
            <w:vAlign w:val="bottom"/>
          </w:tcPr>
          <w:p w:rsidR="00AD59BE" w:rsidRPr="00CA73BB" w:rsidP="000B0BDF" w14:paraId="7E0F298F" w14:textId="77777777">
            <w:pPr>
              <w:rPr>
                <w:bCs/>
              </w:rPr>
            </w:pPr>
            <w:r w:rsidRPr="00CA73BB">
              <w:rPr>
                <w:bCs/>
              </w:rPr>
              <w:t>Maitland, FL</w:t>
            </w:r>
          </w:p>
        </w:tc>
        <w:tc>
          <w:tcPr>
            <w:tcW w:w="1710" w:type="dxa"/>
            <w:tcBorders>
              <w:top w:val="single" w:sz="4" w:space="0" w:color="auto"/>
              <w:left w:val="single" w:sz="4" w:space="0" w:color="auto"/>
              <w:bottom w:val="single" w:sz="4" w:space="0" w:color="auto"/>
              <w:right w:val="single" w:sz="4" w:space="0" w:color="auto"/>
            </w:tcBorders>
            <w:vAlign w:val="bottom"/>
          </w:tcPr>
          <w:p w:rsidR="00AD59BE" w:rsidRPr="00CA73BB" w:rsidP="000B0BDF" w14:paraId="26BA3D46" w14:textId="77777777">
            <w:pPr>
              <w:rPr>
                <w:bCs/>
              </w:rPr>
            </w:pPr>
            <w:r w:rsidRPr="00CA73BB">
              <w:rPr>
                <w:bCs/>
              </w:rPr>
              <w:t>Cox Radio, Inc.</w:t>
            </w:r>
          </w:p>
        </w:tc>
        <w:tc>
          <w:tcPr>
            <w:tcW w:w="2430" w:type="dxa"/>
            <w:tcBorders>
              <w:top w:val="single" w:sz="4" w:space="0" w:color="auto"/>
              <w:left w:val="single" w:sz="4" w:space="0" w:color="auto"/>
              <w:bottom w:val="single" w:sz="4" w:space="0" w:color="auto"/>
              <w:right w:val="single" w:sz="4" w:space="0" w:color="auto"/>
            </w:tcBorders>
            <w:vAlign w:val="bottom"/>
          </w:tcPr>
          <w:p w:rsidR="00AD59BE" w:rsidRPr="00CA73BB" w:rsidP="000B0BDF" w14:paraId="51CD76AD" w14:textId="77777777">
            <w:pPr>
              <w:rPr>
                <w:bCs/>
              </w:rPr>
            </w:pPr>
            <w:r w:rsidRPr="00CA73BB">
              <w:rPr>
                <w:bCs/>
              </w:rPr>
              <w:t>BALH-20190702ADV</w:t>
            </w:r>
          </w:p>
        </w:tc>
        <w:tc>
          <w:tcPr>
            <w:tcW w:w="1350" w:type="dxa"/>
            <w:tcBorders>
              <w:top w:val="single" w:sz="4" w:space="0" w:color="auto"/>
              <w:left w:val="single" w:sz="4" w:space="0" w:color="auto"/>
              <w:bottom w:val="single" w:sz="4" w:space="0" w:color="auto"/>
              <w:right w:val="single" w:sz="4" w:space="0" w:color="auto"/>
            </w:tcBorders>
          </w:tcPr>
          <w:p w:rsidR="00AD59BE" w:rsidRPr="00B724FC" w:rsidP="000B0BDF" w14:paraId="524EB94B" w14:textId="77777777">
            <w:pPr>
              <w:jc w:val="center"/>
            </w:pPr>
            <w:r w:rsidRPr="00C4084E">
              <w:t>0000082847</w:t>
            </w:r>
          </w:p>
        </w:tc>
      </w:tr>
    </w:tbl>
    <w:p w:rsidR="00AD59BE" w:rsidP="00AD59BE" w14:paraId="4A1D8AFE" w14:textId="77777777"/>
    <w:p w:rsidR="00412FC5" w:rsidRPr="00AD59BE" w:rsidP="00AD59BE" w14:paraId="6A6A1ACC" w14:textId="77777777"/>
    <w:sectPr w:rsidSect="0055614C">
      <w:headerReference w:type="default" r:id="rId23"/>
      <w:footerReference w:type="even" r:id="rId24"/>
      <w:footerReference w:type="default" r:id="rId25"/>
      <w:headerReference w:type="first" r:id="rId26"/>
      <w:footerReference w:type="first" r:id="rId2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9BE" w:rsidP="0055614C" w14:paraId="5F289DCB" w14:textId="77777777">
    <w:pPr>
      <w:pStyle w:val="Footer"/>
      <w:framePr w:wrap="around" w:vAnchor="text" w:hAnchor="margin" w:xAlign="center" w:y="1"/>
    </w:pPr>
    <w:r>
      <w:fldChar w:fldCharType="begin"/>
    </w:r>
    <w:r>
      <w:instrText xml:space="preserve">PAGE  </w:instrText>
    </w:r>
    <w:r>
      <w:fldChar w:fldCharType="separate"/>
    </w:r>
    <w:r>
      <w:fldChar w:fldCharType="end"/>
    </w:r>
  </w:p>
  <w:p w:rsidR="00AD59BE" w14:paraId="343A618B"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4027A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E30FE54"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9D92B0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B5525E0" w14:textId="77777777">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509AA18"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9BE" w:rsidP="0006030A" w14:paraId="6F21A4F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9BE" w14:paraId="1317C5D0"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9BE" w:rsidP="0055614C" w14:paraId="2B5109FE" w14:textId="77777777">
    <w:pPr>
      <w:pStyle w:val="Footer"/>
      <w:framePr w:wrap="around" w:vAnchor="text" w:hAnchor="margin" w:xAlign="center" w:y="1"/>
    </w:pPr>
    <w:r>
      <w:fldChar w:fldCharType="begin"/>
    </w:r>
    <w:r>
      <w:instrText xml:space="preserve">PAGE  </w:instrText>
    </w:r>
    <w:r>
      <w:fldChar w:fldCharType="separate"/>
    </w:r>
    <w:r>
      <w:fldChar w:fldCharType="end"/>
    </w:r>
  </w:p>
  <w:p w:rsidR="00AD59BE" w14:paraId="5EF9147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9BE" w:rsidP="0074246F" w14:paraId="3CFAB29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9BE" w:rsidP="0055614C" w14:paraId="585F41EE" w14:textId="77777777">
    <w:pPr>
      <w:pStyle w:val="Footer"/>
      <w:framePr w:wrap="around" w:vAnchor="text" w:hAnchor="margin" w:xAlign="center" w:y="1"/>
    </w:pPr>
    <w:r>
      <w:fldChar w:fldCharType="begin"/>
    </w:r>
    <w:r>
      <w:instrText xml:space="preserve">PAGE  </w:instrText>
    </w:r>
    <w:r>
      <w:fldChar w:fldCharType="separate"/>
    </w:r>
    <w:r>
      <w:fldChar w:fldCharType="end"/>
    </w:r>
  </w:p>
  <w:p w:rsidR="00AD59BE" w14:paraId="5971335B"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9BE" w:rsidP="0074246F" w14:paraId="3EFA3AF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9BE" w:rsidP="0055614C" w14:paraId="2D55AC45" w14:textId="77777777">
    <w:pPr>
      <w:pStyle w:val="Footer"/>
      <w:framePr w:wrap="around" w:vAnchor="text" w:hAnchor="margin" w:xAlign="center" w:y="1"/>
    </w:pPr>
    <w:r>
      <w:fldChar w:fldCharType="begin"/>
    </w:r>
    <w:r>
      <w:instrText xml:space="preserve">PAGE  </w:instrText>
    </w:r>
    <w:r>
      <w:fldChar w:fldCharType="separate"/>
    </w:r>
    <w:r>
      <w:fldChar w:fldCharType="end"/>
    </w:r>
  </w:p>
  <w:p w:rsidR="00AD59BE" w14:paraId="4ABE9AD9"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9BE" w:rsidP="0074246F" w14:paraId="03FFE76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59BE" w14:paraId="0392ECDD" w14:textId="77777777">
      <w:r>
        <w:separator/>
      </w:r>
    </w:p>
  </w:footnote>
  <w:footnote w:type="continuationSeparator" w:id="1">
    <w:p w:rsidR="00AD59BE" w:rsidP="00C721AC" w14:paraId="220A87E9" w14:textId="77777777">
      <w:pPr>
        <w:spacing w:before="120"/>
        <w:rPr>
          <w:sz w:val="20"/>
        </w:rPr>
      </w:pPr>
      <w:r>
        <w:rPr>
          <w:sz w:val="20"/>
        </w:rPr>
        <w:t xml:space="preserve">(Continued from previous page)  </w:t>
      </w:r>
      <w:r>
        <w:rPr>
          <w:sz w:val="20"/>
        </w:rPr>
        <w:separator/>
      </w:r>
    </w:p>
  </w:footnote>
  <w:footnote w:type="continuationNotice" w:id="2">
    <w:p w:rsidR="00AD59BE" w:rsidP="00C721AC" w14:paraId="496FB184" w14:textId="77777777">
      <w:pPr>
        <w:jc w:val="right"/>
        <w:rPr>
          <w:sz w:val="20"/>
        </w:rPr>
      </w:pPr>
      <w:r>
        <w:rPr>
          <w:sz w:val="20"/>
        </w:rPr>
        <w:t>(continued….)</w:t>
      </w:r>
    </w:p>
  </w:footnote>
  <w:footnote w:id="3">
    <w:p w:rsidR="00AD59BE" w:rsidRPr="00F854C1" w:rsidP="00AD59BE" w14:paraId="7385E2B2" w14:textId="77777777">
      <w:pPr>
        <w:autoSpaceDE w:val="0"/>
        <w:autoSpaceDN w:val="0"/>
        <w:adjustRightInd w:val="0"/>
        <w:spacing w:after="120"/>
        <w:rPr>
          <w:b/>
          <w:highlight w:val="yellow"/>
        </w:rPr>
      </w:pPr>
      <w:r w:rsidRPr="00943FE7">
        <w:rPr>
          <w:rStyle w:val="FootnoteReference"/>
        </w:rPr>
        <w:footnoteRef/>
      </w:r>
      <w:r w:rsidRPr="00943FE7">
        <w:t xml:space="preserve"> </w:t>
      </w:r>
      <w:r w:rsidRPr="00B34B79">
        <w:rPr>
          <w:sz w:val="20"/>
        </w:rPr>
        <w:t xml:space="preserve">A list of the </w:t>
      </w:r>
      <w:r>
        <w:rPr>
          <w:sz w:val="20"/>
        </w:rPr>
        <w:t>Television Applications</w:t>
      </w:r>
      <w:r w:rsidRPr="00B34B79">
        <w:rPr>
          <w:sz w:val="20"/>
        </w:rPr>
        <w:t xml:space="preserve"> can be found in Attachment</w:t>
      </w:r>
      <w:r>
        <w:rPr>
          <w:sz w:val="20"/>
        </w:rPr>
        <w:t>s</w:t>
      </w:r>
      <w:r w:rsidRPr="00B34B79">
        <w:rPr>
          <w:sz w:val="20"/>
        </w:rPr>
        <w:t xml:space="preserve"> A</w:t>
      </w:r>
      <w:r>
        <w:rPr>
          <w:sz w:val="20"/>
        </w:rPr>
        <w:t xml:space="preserve"> and B (collectively, the Attachments)</w:t>
      </w:r>
      <w:r w:rsidRPr="00B34B79">
        <w:rPr>
          <w:sz w:val="20"/>
        </w:rPr>
        <w:t xml:space="preserve">.  Copies of the </w:t>
      </w:r>
      <w:r>
        <w:rPr>
          <w:sz w:val="20"/>
        </w:rPr>
        <w:t>Television Applications</w:t>
      </w:r>
      <w:r w:rsidRPr="00B34B79">
        <w:rPr>
          <w:sz w:val="20"/>
        </w:rPr>
        <w:t xml:space="preserve"> are available in the Commission’s Consolidated Database System (CDBS).</w:t>
      </w:r>
      <w:r>
        <w:rPr>
          <w:sz w:val="20"/>
        </w:rPr>
        <w:t xml:space="preserve">  The Television Applicants have filed separate applications requesting Commission consent for the transfer of control of certain earth station, microwave, and land mobile facilities held by Cox and Northwest.</w:t>
      </w:r>
    </w:p>
  </w:footnote>
  <w:footnote w:id="4">
    <w:p w:rsidR="00AD59BE" w:rsidP="00AD59BE" w14:paraId="7256CD75" w14:textId="4D402496">
      <w:pPr>
        <w:pStyle w:val="FootnoteText"/>
        <w:widowControl w:val="0"/>
      </w:pPr>
      <w:r>
        <w:rPr>
          <w:rStyle w:val="FootnoteReference"/>
        </w:rPr>
        <w:footnoteRef/>
      </w:r>
      <w:r>
        <w:t xml:space="preserve"> </w:t>
      </w:r>
      <w:r w:rsidRPr="00212459">
        <w:t xml:space="preserve">The </w:t>
      </w:r>
      <w:r>
        <w:t>Television Applicants</w:t>
      </w:r>
      <w:r w:rsidRPr="00212459">
        <w:t xml:space="preserve"> assert that Terrier Media’s post-consummation national broadcast television audience reach will be approximately 6.98%, which has been confirmed by staff analysis.  </w:t>
      </w:r>
      <w:r>
        <w:t>Television Applications</w:t>
      </w:r>
      <w:r w:rsidRPr="00212459">
        <w:t xml:space="preserve">, Amended </w:t>
      </w:r>
      <w:r>
        <w:t>Television Comprehensive Exhibit</w:t>
      </w:r>
      <w:r w:rsidRPr="00212459">
        <w:t xml:space="preserve"> at 35 n.11 (</w:t>
      </w:r>
      <w:r>
        <w:t>Television Comprehensive Exhibit</w:t>
      </w:r>
      <w:r w:rsidRPr="00212459">
        <w:t>).  This is well below the 39% national audience reach cap.  47 CFR §</w:t>
      </w:r>
      <w:r>
        <w:t> </w:t>
      </w:r>
      <w:r w:rsidRPr="00212459">
        <w:t xml:space="preserve">73.3555(e).  </w:t>
      </w:r>
      <w:r>
        <w:t xml:space="preserve">Of note, as discussed below, the Television Applicants have amended the original Television Comprehensive Exhibit on multiple occasions.  </w:t>
      </w:r>
      <w:r>
        <w:rPr>
          <w:i/>
        </w:rPr>
        <w:t xml:space="preserve">See infra </w:t>
      </w:r>
      <w:r>
        <w:t xml:space="preserve">para. </w:t>
      </w:r>
      <w:r>
        <w:fldChar w:fldCharType="begin"/>
      </w:r>
      <w:r>
        <w:instrText xml:space="preserve"> REF _Ref18486429 \r \h </w:instrText>
      </w:r>
      <w:r>
        <w:fldChar w:fldCharType="separate"/>
      </w:r>
      <w:r w:rsidR="00373966">
        <w:t>3</w:t>
      </w:r>
      <w:r>
        <w:fldChar w:fldCharType="end"/>
      </w:r>
      <w:r>
        <w:t>.  To avoid confusion, any discussion of or citation to the Television Comprehensive Exhibit will refer to the version with all amendments.</w:t>
      </w:r>
    </w:p>
  </w:footnote>
  <w:footnote w:id="5">
    <w:p w:rsidR="00AD59BE" w:rsidRPr="00CE73B1" w:rsidP="00AD59BE" w14:paraId="0714F905" w14:textId="77777777">
      <w:pPr>
        <w:pStyle w:val="FootnoteText"/>
        <w:widowControl w:val="0"/>
      </w:pPr>
      <w:r w:rsidRPr="00CE73B1">
        <w:rPr>
          <w:rStyle w:val="FootnoteReference"/>
        </w:rPr>
        <w:footnoteRef/>
      </w:r>
      <w:r w:rsidRPr="00CE73B1">
        <w:t xml:space="preserve"> The Radio Transfer Application and Divestiture Applications were accepted for filing on July 11, 2019.  </w:t>
      </w:r>
      <w:r w:rsidRPr="00CE73B1">
        <w:rPr>
          <w:i/>
        </w:rPr>
        <w:t xml:space="preserve">See Media Bureau Establishes Pleading Cycle for Applications to Transfer Control of Cox Radio, Inc., to Terrier Media Buyer, Inc., and Permit-But-Disclose Ex Parte Status for the </w:t>
      </w:r>
      <w:r w:rsidRPr="00CE73B1">
        <w:t>Proceeding, Public Notice, 34 FCC Rcd 5318</w:t>
      </w:r>
      <w:r w:rsidRPr="00CE73B1">
        <w:t xml:space="preserve"> </w:t>
      </w:r>
      <w:r w:rsidRPr="00CE73B1">
        <w:t xml:space="preserve">(MB 2019).  Copies of the Radio Applications can be found in the Commission’s Consolidated Database System (CDBS).  For a list of the stations that are the subject of the proposed transfer of control, as well as related divestitures, see Attachments C and D. </w:t>
      </w:r>
    </w:p>
  </w:footnote>
  <w:footnote w:id="6">
    <w:p w:rsidR="00AD59BE" w:rsidRPr="003E556F" w:rsidP="00AD59BE" w14:paraId="4AA1DD81" w14:textId="77777777">
      <w:pPr>
        <w:pStyle w:val="FootnoteText"/>
        <w:widowControl w:val="0"/>
      </w:pPr>
      <w:r w:rsidRPr="00CE73B1">
        <w:rPr>
          <w:rStyle w:val="FootnoteReference"/>
        </w:rPr>
        <w:footnoteRef/>
      </w:r>
      <w:r w:rsidRPr="00CE73B1">
        <w:t xml:space="preserve"> Pursuant to the proposed transaction, Terrier Media is also acquiring CEI’s national advertising representation business and CEI’s</w:t>
      </w:r>
      <w:r w:rsidRPr="003E556F">
        <w:t xml:space="preserve"> Washington, DC news bureau operation. </w:t>
      </w:r>
    </w:p>
  </w:footnote>
  <w:footnote w:id="7">
    <w:p w:rsidR="00AD59BE" w:rsidRPr="003E556F" w:rsidP="00AD59BE" w14:paraId="3EBB698B" w14:textId="77777777">
      <w:pPr>
        <w:pStyle w:val="FootnoteText"/>
        <w:widowControl w:val="0"/>
      </w:pPr>
      <w:r w:rsidRPr="003E556F">
        <w:rPr>
          <w:rStyle w:val="FootnoteReference"/>
        </w:rPr>
        <w:footnoteRef/>
      </w:r>
      <w:r w:rsidRPr="003E556F">
        <w:t xml:space="preserve"> 47 CFR § 73.3555(a).</w:t>
      </w:r>
    </w:p>
  </w:footnote>
  <w:footnote w:id="8">
    <w:p w:rsidR="00AD59BE" w:rsidRPr="0036654D" w:rsidP="00AD59BE" w14:paraId="36CCBE82" w14:textId="77777777">
      <w:pPr>
        <w:pStyle w:val="FootnoteText"/>
        <w:widowControl w:val="0"/>
      </w:pPr>
      <w:r>
        <w:rPr>
          <w:rStyle w:val="FootnoteReference"/>
        </w:rPr>
        <w:footnoteRef/>
      </w:r>
      <w:r>
        <w:t xml:space="preserve"> </w:t>
      </w:r>
      <w:r>
        <w:rPr>
          <w:i/>
        </w:rPr>
        <w:t>See</w:t>
      </w:r>
      <w:r>
        <w:t xml:space="preserve"> Television Comprehensive Exhibit at 1; Television Applications, Attach. 20, Northwest Purchase Agreement at 17.</w:t>
      </w:r>
    </w:p>
  </w:footnote>
  <w:footnote w:id="9">
    <w:p w:rsidR="00AD59BE" w:rsidRPr="00C229E8" w:rsidP="00AD59BE" w14:paraId="67B53FDD" w14:textId="77777777">
      <w:pPr>
        <w:pStyle w:val="FootnoteText"/>
        <w:widowControl w:val="0"/>
      </w:pPr>
      <w:r>
        <w:rPr>
          <w:rStyle w:val="FootnoteReference"/>
        </w:rPr>
        <w:footnoteRef/>
      </w:r>
      <w:r>
        <w:t xml:space="preserve"> </w:t>
      </w:r>
      <w:r>
        <w:rPr>
          <w:i/>
        </w:rPr>
        <w:t>See</w:t>
      </w:r>
      <w:r>
        <w:t xml:space="preserve"> Television Comprehensive Exhibit at 1-2; Television Applications, Attach. 20, Cox Purchase Agreement at 2.</w:t>
      </w:r>
    </w:p>
  </w:footnote>
  <w:footnote w:id="10">
    <w:p w:rsidR="00AD59BE" w:rsidP="00AD59BE" w14:paraId="2F5FFBCB" w14:textId="77777777">
      <w:pPr>
        <w:pStyle w:val="FootnoteText"/>
        <w:widowControl w:val="0"/>
      </w:pPr>
      <w:r>
        <w:rPr>
          <w:rStyle w:val="FootnoteReference"/>
        </w:rPr>
        <w:footnoteRef/>
      </w:r>
      <w:r>
        <w:t xml:space="preserve"> Television Comprehensive Exhibit at 3.</w:t>
      </w:r>
    </w:p>
  </w:footnote>
  <w:footnote w:id="11">
    <w:p w:rsidR="00AD59BE" w:rsidRPr="002D6F80" w:rsidP="00AD59BE" w14:paraId="104B73EA" w14:textId="77777777">
      <w:pPr>
        <w:pStyle w:val="FootnoteText"/>
      </w:pPr>
      <w:r>
        <w:rPr>
          <w:rStyle w:val="FootnoteReference"/>
        </w:rPr>
        <w:footnoteRef/>
      </w:r>
      <w:r>
        <w:t xml:space="preserve"> </w:t>
      </w:r>
      <w:bookmarkStart w:id="2" w:name="_Hlk23501811"/>
      <w:r>
        <w:rPr>
          <w:i/>
        </w:rPr>
        <w:t>See</w:t>
      </w:r>
      <w:r>
        <w:t xml:space="preserve"> Television Applications, Attach. 1, “October 2019 Amendment” (filed Oct. 29, 2019) (Television October 2019 Amendment).</w:t>
      </w:r>
      <w:bookmarkEnd w:id="2"/>
    </w:p>
  </w:footnote>
  <w:footnote w:id="12">
    <w:p w:rsidR="00AD59BE" w:rsidRPr="00E4548C" w:rsidP="00AD59BE" w14:paraId="39AA9154" w14:textId="77777777">
      <w:pPr>
        <w:pStyle w:val="FootnoteText"/>
        <w:widowControl w:val="0"/>
      </w:pPr>
      <w:r>
        <w:rPr>
          <w:rStyle w:val="FootnoteReference"/>
        </w:rPr>
        <w:footnoteRef/>
      </w:r>
      <w:r>
        <w:t xml:space="preserve"> </w:t>
      </w:r>
      <w:r w:rsidRPr="00823BFD">
        <w:rPr>
          <w:i/>
        </w:rPr>
        <w:t>See</w:t>
      </w:r>
      <w:r>
        <w:rPr>
          <w:i/>
        </w:rPr>
        <w:t xml:space="preserve"> </w:t>
      </w:r>
      <w:r>
        <w:t>Television Comprehensive Exhibit at 2.</w:t>
      </w:r>
    </w:p>
  </w:footnote>
  <w:footnote w:id="13">
    <w:p w:rsidR="00AD59BE" w:rsidP="00AD59BE" w14:paraId="5F961BA1" w14:textId="77777777">
      <w:pPr>
        <w:pStyle w:val="FootnoteText"/>
        <w:widowControl w:val="0"/>
      </w:pPr>
      <w:r>
        <w:rPr>
          <w:rStyle w:val="FootnoteReference"/>
        </w:rPr>
        <w:footnoteRef/>
      </w:r>
      <w:r>
        <w:t xml:space="preserve"> </w:t>
      </w:r>
      <w:r w:rsidRPr="00214298">
        <w:rPr>
          <w:i/>
        </w:rPr>
        <w:t>Id</w:t>
      </w:r>
      <w:r>
        <w:t>.</w:t>
      </w:r>
    </w:p>
  </w:footnote>
  <w:footnote w:id="14">
    <w:p w:rsidR="00AD59BE" w:rsidP="00AD59BE" w14:paraId="1CAEE0B5" w14:textId="77777777">
      <w:pPr>
        <w:pStyle w:val="FootnoteText"/>
        <w:widowControl w:val="0"/>
      </w:pPr>
      <w:r>
        <w:rPr>
          <w:rStyle w:val="FootnoteReference"/>
        </w:rPr>
        <w:footnoteRef/>
      </w:r>
      <w:r>
        <w:t xml:space="preserve"> </w:t>
      </w:r>
      <w:r>
        <w:rPr>
          <w:i/>
        </w:rPr>
        <w:t xml:space="preserve">Id. </w:t>
      </w:r>
      <w:r>
        <w:t xml:space="preserve">at 2-3; </w:t>
      </w:r>
      <w:r>
        <w:rPr>
          <w:i/>
        </w:rPr>
        <w:t xml:space="preserve">see also </w:t>
      </w:r>
      <w:r w:rsidRPr="00A50F6D">
        <w:t>47 CFR § 73.3555, Notes 2(f)(1)</w:t>
      </w:r>
      <w:r>
        <w:t>-</w:t>
      </w:r>
      <w:r w:rsidRPr="00A50F6D">
        <w:t>(2).</w:t>
      </w:r>
    </w:p>
  </w:footnote>
  <w:footnote w:id="15">
    <w:p w:rsidR="00AD59BE" w:rsidP="00AD59BE" w14:paraId="7BEF44D6" w14:textId="77777777">
      <w:pPr>
        <w:pStyle w:val="FootnoteText"/>
        <w:widowControl w:val="0"/>
      </w:pPr>
      <w:r>
        <w:rPr>
          <w:rStyle w:val="FootnoteReference"/>
        </w:rPr>
        <w:footnoteRef/>
      </w:r>
      <w:r>
        <w:t xml:space="preserve"> Television Comprehensive Exhibit at 2.</w:t>
      </w:r>
    </w:p>
  </w:footnote>
  <w:footnote w:id="16">
    <w:p w:rsidR="00AD59BE" w:rsidP="00AD59BE" w14:paraId="2530B1B7" w14:textId="77777777">
      <w:pPr>
        <w:pStyle w:val="FootnoteText"/>
        <w:widowControl w:val="0"/>
      </w:pPr>
      <w:r>
        <w:rPr>
          <w:rStyle w:val="FootnoteReference"/>
        </w:rPr>
        <w:footnoteRef/>
      </w:r>
      <w:r>
        <w:t xml:space="preserve"> </w:t>
      </w:r>
      <w:r w:rsidRPr="005A64AB">
        <w:rPr>
          <w:i/>
        </w:rPr>
        <w:t>Terrier Media Buyer, Inc.</w:t>
      </w:r>
      <w:r>
        <w:t xml:space="preserve">, Declaratory Ruling, </w:t>
      </w:r>
      <w:r w:rsidRPr="00DE03BD" w:rsidR="00855E5F">
        <w:t>MB Docket 19-</w:t>
      </w:r>
      <w:r w:rsidR="00855E5F">
        <w:t xml:space="preserve">196, </w:t>
      </w:r>
      <w:r>
        <w:t xml:space="preserve">DA </w:t>
      </w:r>
      <w:r w:rsidRPr="00A7371F">
        <w:t>19</w:t>
      </w:r>
      <w:r>
        <w:rPr>
          <w:spacing w:val="-2"/>
        </w:rPr>
        <w:t>-</w:t>
      </w:r>
      <w:r w:rsidRPr="00AD59BE">
        <w:rPr>
          <w:spacing w:val="-2"/>
        </w:rPr>
        <w:t>1205</w:t>
      </w:r>
      <w:r w:rsidRPr="00A7371F">
        <w:t xml:space="preserve"> (MB </w:t>
      </w:r>
      <w:r>
        <w:t xml:space="preserve">rel. </w:t>
      </w:r>
      <w:r w:rsidRPr="00A7371F">
        <w:t xml:space="preserve">Nov. </w:t>
      </w:r>
      <w:r>
        <w:t>22, 2019) (</w:t>
      </w:r>
      <w:r>
        <w:rPr>
          <w:i/>
        </w:rPr>
        <w:t>Terrier Declaratory Ruling</w:t>
      </w:r>
      <w:r>
        <w:t>).</w:t>
      </w:r>
    </w:p>
  </w:footnote>
  <w:footnote w:id="17">
    <w:p w:rsidR="00AD59BE" w:rsidP="00AD59BE" w14:paraId="581E8994" w14:textId="77777777">
      <w:pPr>
        <w:pStyle w:val="FootnoteText"/>
        <w:widowControl w:val="0"/>
      </w:pPr>
      <w:r>
        <w:rPr>
          <w:rStyle w:val="FootnoteReference"/>
        </w:rPr>
        <w:footnoteRef/>
      </w:r>
      <w:r>
        <w:t xml:space="preserve"> Television Comprehensive Exhibit at 5.</w:t>
      </w:r>
    </w:p>
  </w:footnote>
  <w:footnote w:id="18">
    <w:p w:rsidR="00AD59BE" w:rsidP="00AD59BE" w14:paraId="2690D346" w14:textId="77777777">
      <w:pPr>
        <w:pStyle w:val="FootnoteText"/>
        <w:widowControl w:val="0"/>
      </w:pPr>
      <w:r>
        <w:rPr>
          <w:rStyle w:val="FootnoteReference"/>
        </w:rPr>
        <w:footnoteRef/>
      </w:r>
      <w:r>
        <w:t xml:space="preserve"> </w:t>
      </w:r>
      <w:r w:rsidRPr="00056FBB">
        <w:rPr>
          <w:i/>
        </w:rPr>
        <w:t>Id</w:t>
      </w:r>
      <w:r>
        <w:t>. at 2-3.</w:t>
      </w:r>
    </w:p>
  </w:footnote>
  <w:footnote w:id="19">
    <w:p w:rsidR="00AD59BE" w:rsidRPr="004D13D2" w:rsidP="00AD59BE" w14:paraId="1D05FC79" w14:textId="77777777">
      <w:pPr>
        <w:pStyle w:val="FootnoteText"/>
        <w:widowControl w:val="0"/>
      </w:pPr>
      <w:r>
        <w:rPr>
          <w:rStyle w:val="FootnoteReference"/>
        </w:rPr>
        <w:footnoteRef/>
      </w:r>
      <w:r>
        <w:t xml:space="preserve"> </w:t>
      </w:r>
      <w:r>
        <w:rPr>
          <w:i/>
        </w:rPr>
        <w:t>Id.</w:t>
      </w:r>
      <w:r>
        <w:t xml:space="preserve"> at 2.</w:t>
      </w:r>
    </w:p>
  </w:footnote>
  <w:footnote w:id="20">
    <w:p w:rsidR="00AD59BE" w:rsidRPr="00136552" w:rsidP="00AD59BE" w14:paraId="09B371D9" w14:textId="77777777">
      <w:pPr>
        <w:pStyle w:val="FootnoteText"/>
        <w:widowControl w:val="0"/>
      </w:pPr>
      <w:r>
        <w:rPr>
          <w:rStyle w:val="FootnoteReference"/>
        </w:rPr>
        <w:footnoteRef/>
      </w:r>
      <w:r>
        <w:t xml:space="preserve"> </w:t>
      </w:r>
      <w:r>
        <w:rPr>
          <w:i/>
        </w:rPr>
        <w:t>Id</w:t>
      </w:r>
      <w:r>
        <w:t xml:space="preserve">. at 3. </w:t>
      </w:r>
    </w:p>
  </w:footnote>
  <w:footnote w:id="21">
    <w:p w:rsidR="00AD59BE" w:rsidP="00AD59BE" w14:paraId="442334AC" w14:textId="77777777">
      <w:pPr>
        <w:pStyle w:val="FootnoteText"/>
        <w:widowControl w:val="0"/>
      </w:pPr>
      <w:r>
        <w:rPr>
          <w:rStyle w:val="FootnoteReference"/>
        </w:rPr>
        <w:footnoteRef/>
      </w:r>
      <w:r>
        <w:t xml:space="preserve"> </w:t>
      </w:r>
      <w:r>
        <w:rPr>
          <w:i/>
        </w:rPr>
        <w:t>See</w:t>
      </w:r>
      <w:r>
        <w:t xml:space="preserve"> </w:t>
      </w:r>
      <w:r w:rsidRPr="003F69F1">
        <w:rPr>
          <w:i/>
        </w:rPr>
        <w:t>Media Bureau Announces Filing of Petition for Declaratory Ruling by Terrier Media Buyer, Inc., and Permit-But</w:t>
      </w:r>
      <w:r>
        <w:rPr>
          <w:i/>
        </w:rPr>
        <w:t>-</w:t>
      </w:r>
      <w:r w:rsidRPr="003F69F1">
        <w:rPr>
          <w:i/>
        </w:rPr>
        <w:t>Disclose Ex Parte Status for the Proceeding</w:t>
      </w:r>
      <w:r>
        <w:t xml:space="preserve">, MB Docket 19-196, Public Notice, 34 FCC Rcd 5314 (MB 2019) (seeking comment on the petition in a separate proceeding).  Terrier Media supplemented its petition on June 28, 2019, July 26, 2019, August 29, 2019, and September 25, 2019.  </w:t>
      </w:r>
    </w:p>
  </w:footnote>
  <w:footnote w:id="22">
    <w:p w:rsidR="00AD59BE" w:rsidRPr="00DA16DB" w:rsidP="00AD59BE" w14:paraId="15A89616" w14:textId="77777777">
      <w:pPr>
        <w:pStyle w:val="FootnoteText"/>
        <w:widowControl w:val="0"/>
      </w:pPr>
      <w:r>
        <w:rPr>
          <w:rStyle w:val="FootnoteReference"/>
        </w:rPr>
        <w:footnoteRef/>
      </w:r>
      <w:r w:rsidRPr="005A64AB">
        <w:rPr>
          <w:i/>
        </w:rPr>
        <w:t xml:space="preserve"> </w:t>
      </w:r>
      <w:r w:rsidRPr="00C92119">
        <w:rPr>
          <w:i/>
        </w:rPr>
        <w:t>Terrier Declaratory Ruling</w:t>
      </w:r>
      <w:r w:rsidRPr="00C92119">
        <w:t xml:space="preserve"> at 6-9, paras. </w:t>
      </w:r>
      <w:r w:rsidRPr="00150AFE">
        <w:t>14-17.</w:t>
      </w:r>
      <w:r>
        <w:t xml:space="preserve">  The finding of </w:t>
      </w:r>
      <w:r>
        <w:rPr>
          <w:i/>
        </w:rPr>
        <w:t xml:space="preserve">de facto </w:t>
      </w:r>
      <w:r>
        <w:t xml:space="preserve">control creates an attributable interest in the station licensees, which subjects AGM to all applicable requirements and obligations under the Act and Commission rules, such as filing ownership reports.  </w:t>
      </w:r>
      <w:r>
        <w:rPr>
          <w:i/>
        </w:rPr>
        <w:t xml:space="preserve">See </w:t>
      </w:r>
      <w:r>
        <w:t>47 CFR § 73.3615.</w:t>
      </w:r>
    </w:p>
  </w:footnote>
  <w:footnote w:id="23">
    <w:p w:rsidR="00AD59BE" w:rsidP="00AD59BE" w14:paraId="7F92772C" w14:textId="77777777">
      <w:pPr>
        <w:pStyle w:val="FootnoteText"/>
        <w:widowControl w:val="0"/>
      </w:pPr>
      <w:r>
        <w:rPr>
          <w:rStyle w:val="FootnoteReference"/>
        </w:rPr>
        <w:footnoteRef/>
      </w:r>
      <w:r>
        <w:t xml:space="preserve"> </w:t>
      </w:r>
      <w:r w:rsidRPr="00BC63C7">
        <w:t xml:space="preserve">47 CFR § 73.3555(a).  </w:t>
      </w:r>
    </w:p>
  </w:footnote>
  <w:footnote w:id="24">
    <w:p w:rsidR="00AD59BE" w:rsidP="00AD59BE" w14:paraId="30F2C121" w14:textId="77777777">
      <w:pPr>
        <w:pStyle w:val="FootnoteText"/>
        <w:widowControl w:val="0"/>
      </w:pPr>
      <w:r>
        <w:rPr>
          <w:rStyle w:val="FootnoteReference"/>
        </w:rPr>
        <w:footnoteRef/>
      </w:r>
      <w:r>
        <w:t xml:space="preserve"> </w:t>
      </w:r>
      <w:r w:rsidRPr="00BC63C7">
        <w:t xml:space="preserve">Television Comprehensive Exhibit at 36-37; </w:t>
      </w:r>
      <w:r w:rsidRPr="00C92119">
        <w:rPr>
          <w:i/>
        </w:rPr>
        <w:t xml:space="preserve">see also </w:t>
      </w:r>
      <w:r w:rsidRPr="00BC63C7">
        <w:t>BIA Radio Market Study at 1-2 (identifying the existing Cox stations in the market).  The analysis prepared by BIA Advisory Services identified 38 stations in the relevant geographic market.  Television Applications, Attach. 6, BIA Dayton, OH Radio Market Study at 1-2 (BIA Radio Market Study).</w:t>
      </w:r>
    </w:p>
  </w:footnote>
  <w:footnote w:id="25">
    <w:p w:rsidR="00AD59BE" w:rsidRPr="00F46A8D" w:rsidP="00AD59BE" w14:paraId="6BE7E96D" w14:textId="77777777">
      <w:pPr>
        <w:pStyle w:val="FootnoteText"/>
        <w:widowControl w:val="0"/>
      </w:pPr>
      <w:r>
        <w:rPr>
          <w:rStyle w:val="FootnoteReference"/>
        </w:rPr>
        <w:footnoteRef/>
      </w:r>
      <w:r>
        <w:t xml:space="preserve"> </w:t>
      </w:r>
      <w:bookmarkStart w:id="5" w:name="_Hlk24449058"/>
      <w:r w:rsidRPr="005A64AB">
        <w:rPr>
          <w:i/>
          <w:iCs/>
        </w:rPr>
        <w:t>Prometheus Radio Project</w:t>
      </w:r>
      <w:r w:rsidRPr="00415CA3">
        <w:t>, 939 F.3d 567 (3rd Cir. 2019) (</w:t>
      </w:r>
      <w:r w:rsidRPr="005A64AB">
        <w:rPr>
          <w:i/>
          <w:iCs/>
        </w:rPr>
        <w:t>Prometheus IV</w:t>
      </w:r>
      <w:r w:rsidRPr="0007448A">
        <w:t xml:space="preserve">), </w:t>
      </w:r>
      <w:r w:rsidRPr="008415F5">
        <w:rPr>
          <w:i/>
        </w:rPr>
        <w:t>petition for rehearing</w:t>
      </w:r>
      <w:r>
        <w:rPr>
          <w:i/>
        </w:rPr>
        <w:t xml:space="preserve"> en banc</w:t>
      </w:r>
      <w:r w:rsidRPr="008415F5">
        <w:rPr>
          <w:i/>
        </w:rPr>
        <w:t xml:space="preserve"> </w:t>
      </w:r>
      <w:r>
        <w:rPr>
          <w:i/>
        </w:rPr>
        <w:t>denied</w:t>
      </w:r>
      <w:r>
        <w:t>.</w:t>
      </w:r>
      <w:r w:rsidRPr="00415CA3">
        <w:t xml:space="preserve">  </w:t>
      </w:r>
      <w:bookmarkEnd w:id="5"/>
    </w:p>
  </w:footnote>
  <w:footnote w:id="26">
    <w:p w:rsidR="00AD59BE" w:rsidRPr="003712C2" w:rsidP="00AD59BE" w14:paraId="3AF2DDA7" w14:textId="77777777">
      <w:pPr>
        <w:pStyle w:val="FootnoteText"/>
        <w:widowControl w:val="0"/>
      </w:pPr>
      <w:r>
        <w:rPr>
          <w:rStyle w:val="FootnoteReference"/>
        </w:rPr>
        <w:footnoteRef/>
      </w:r>
      <w:r>
        <w:t xml:space="preserve"> </w:t>
      </w:r>
      <w:r>
        <w:rPr>
          <w:i/>
          <w:iCs/>
        </w:rPr>
        <w:t xml:space="preserve">2014 Quadrennial Regulatory Review – Review of the Commission’s Broadcast Ownership Rules and Other Rules Adopted Pursuant to Section 202 of the Telecommunications Act of 1996 et al, </w:t>
      </w:r>
      <w:r>
        <w:t>Order on Reconsideration and Notice of Proposed Rulemaking, 32 FCC Rcd 9802 (2017) (</w:t>
      </w:r>
      <w:r w:rsidRPr="005A64AB">
        <w:rPr>
          <w:i/>
          <w:iCs/>
        </w:rPr>
        <w:t>2010/2014 Quadrennial Review Order on Reconsideration</w:t>
      </w:r>
      <w:r>
        <w:t xml:space="preserve">).  </w:t>
      </w:r>
    </w:p>
  </w:footnote>
  <w:footnote w:id="27">
    <w:p w:rsidR="00AD59BE" w:rsidRPr="00AD59BE" w:rsidP="00AD59BE" w14:paraId="122E2E9B" w14:textId="77777777">
      <w:pPr>
        <w:pStyle w:val="FootnoteText"/>
        <w:widowControl w:val="0"/>
        <w:rPr>
          <w:color w:val="000000" w:themeColor="text1"/>
        </w:rPr>
      </w:pPr>
      <w:r>
        <w:rPr>
          <w:rStyle w:val="FootnoteReference"/>
        </w:rPr>
        <w:footnoteRef/>
      </w:r>
      <w:r>
        <w:t xml:space="preserve"> </w:t>
      </w:r>
      <w:r w:rsidRPr="00AD59BE">
        <w:rPr>
          <w:i/>
          <w:iCs/>
          <w:color w:val="000000" w:themeColor="text1"/>
        </w:rPr>
        <w:t>Id.</w:t>
      </w:r>
      <w:r w:rsidRPr="00AD59BE">
        <w:rPr>
          <w:color w:val="000000" w:themeColor="text1"/>
        </w:rPr>
        <w:t xml:space="preserve"> at 9803, para. 2.</w:t>
      </w:r>
    </w:p>
  </w:footnote>
  <w:footnote w:id="28">
    <w:p w:rsidR="00AD59BE" w:rsidRPr="00AD59BE" w:rsidP="00AD59BE" w14:paraId="10BEA91C" w14:textId="77777777">
      <w:pPr>
        <w:pStyle w:val="FootnoteText"/>
        <w:rPr>
          <w:color w:val="000000" w:themeColor="text1"/>
        </w:rPr>
      </w:pPr>
      <w:r w:rsidRPr="00AD59BE">
        <w:rPr>
          <w:rStyle w:val="FootnoteReference"/>
          <w:color w:val="000000" w:themeColor="text1"/>
        </w:rPr>
        <w:footnoteRef/>
      </w:r>
      <w:r w:rsidRPr="00AD59BE">
        <w:rPr>
          <w:color w:val="000000" w:themeColor="text1"/>
        </w:rPr>
        <w:t xml:space="preserve"> </w:t>
      </w:r>
      <w:r w:rsidRPr="00AD59BE">
        <w:rPr>
          <w:i/>
          <w:iCs/>
          <w:color w:val="000000" w:themeColor="text1"/>
        </w:rPr>
        <w:t>Prometheus Radio Project v. FCC</w:t>
      </w:r>
      <w:r w:rsidRPr="00AD59BE">
        <w:rPr>
          <w:color w:val="000000" w:themeColor="text1"/>
        </w:rPr>
        <w:t>, Order, Case No. 17-1107 et al (3rd Cir. Nov. 20, 2019) (denying petitions for rehearing).</w:t>
      </w:r>
    </w:p>
  </w:footnote>
  <w:footnote w:id="29">
    <w:p w:rsidR="00AD59BE" w:rsidP="00AD59BE" w14:paraId="7D6A3E81" w14:textId="77777777">
      <w:pPr>
        <w:pStyle w:val="FootnoteText"/>
      </w:pPr>
      <w:r>
        <w:rPr>
          <w:rStyle w:val="FootnoteReference"/>
        </w:rPr>
        <w:footnoteRef/>
      </w:r>
      <w:r>
        <w:rPr>
          <w:i/>
        </w:rPr>
        <w:t xml:space="preserve"> See </w:t>
      </w:r>
      <w:r>
        <w:t xml:space="preserve">F. R. App. P. 41(b).  </w:t>
      </w:r>
    </w:p>
  </w:footnote>
  <w:footnote w:id="30">
    <w:p w:rsidR="00AD59BE" w:rsidRPr="00A607C5" w:rsidP="00AD59BE" w14:paraId="6FECE8ED" w14:textId="77777777">
      <w:pPr>
        <w:pStyle w:val="FootnoteText"/>
      </w:pPr>
      <w:r>
        <w:rPr>
          <w:rStyle w:val="FootnoteReference"/>
        </w:rPr>
        <w:footnoteRef/>
      </w:r>
      <w:r>
        <w:t xml:space="preserve"> </w:t>
      </w:r>
      <w:r>
        <w:rPr>
          <w:i/>
        </w:rPr>
        <w:t>2014 Quadrennial Review Order – Review of the Commission’s Broadcast Ownership Rules and Other Rules Adopted Pursuant to Section 202 of the Telecommunications Act of 1996 et al.</w:t>
      </w:r>
      <w:r>
        <w:t>, Second Report and Order, 31 FCC Rcd 9864 (2016) (</w:t>
      </w:r>
      <w:r>
        <w:rPr>
          <w:i/>
        </w:rPr>
        <w:t>2010/2014 Quadrennial Review Order</w:t>
      </w:r>
      <w:r>
        <w:t>).</w:t>
      </w:r>
    </w:p>
  </w:footnote>
  <w:footnote w:id="31">
    <w:p w:rsidR="00AD59BE" w:rsidRPr="00E244C1" w:rsidP="00AD59BE" w14:paraId="6EB0B4EB" w14:textId="77777777">
      <w:pPr>
        <w:pStyle w:val="FootnoteText"/>
        <w:widowControl w:val="0"/>
      </w:pPr>
      <w:r>
        <w:rPr>
          <w:rStyle w:val="FootnoteReference"/>
        </w:rPr>
        <w:footnoteRef/>
      </w:r>
      <w:r>
        <w:t xml:space="preserve"> October 2019 Amendment at 1-2.  </w:t>
      </w:r>
    </w:p>
  </w:footnote>
  <w:footnote w:id="32">
    <w:p w:rsidR="00AD59BE" w:rsidP="00AD59BE" w14:paraId="0C19A013" w14:textId="77777777">
      <w:pPr>
        <w:pStyle w:val="FootnoteText"/>
        <w:widowControl w:val="0"/>
      </w:pPr>
      <w:r>
        <w:rPr>
          <w:rStyle w:val="FootnoteReference"/>
        </w:rPr>
        <w:footnoteRef/>
      </w:r>
      <w:r>
        <w:t xml:space="preserve"> </w:t>
      </w:r>
      <w:r w:rsidRPr="00CD786D">
        <w:rPr>
          <w:i/>
          <w:iCs/>
        </w:rPr>
        <w:t>Id.</w:t>
      </w:r>
      <w:r w:rsidRPr="002E0C33">
        <w:t xml:space="preserve"> at 2.</w:t>
      </w:r>
    </w:p>
  </w:footnote>
  <w:footnote w:id="33">
    <w:p w:rsidR="00AD59BE" w:rsidRPr="00C26A76" w:rsidP="00AD59BE" w14:paraId="4E1EA064" w14:textId="77777777">
      <w:pPr>
        <w:pStyle w:val="FootnoteText"/>
        <w:widowControl w:val="0"/>
      </w:pPr>
      <w:r>
        <w:rPr>
          <w:rStyle w:val="FootnoteReference"/>
        </w:rPr>
        <w:footnoteRef/>
      </w:r>
      <w:r>
        <w:t xml:space="preserve"> </w:t>
      </w:r>
      <w:r w:rsidRPr="00594117">
        <w:rPr>
          <w:i/>
        </w:rPr>
        <w:t>See Review of the Commission’s Regulations Governing Attribution of Broadcast and Cable/MDS Interests</w:t>
      </w:r>
      <w:r w:rsidRPr="00594117">
        <w:t>, MM Docket No. 94-150 et al., Order, 16 FCC Rcd 22310, 22310, para. 1 (2001) (“for purposes of the broadcast attribution rules, no minority voting interest will be cognizable, subject to the equity/debt plus rule, if there is a single holder of more than 50 percent of the outstanding voting stock of the corporate broadcast licensee, cable television system, or daily newspaper in which the minority interest is held”).</w:t>
      </w:r>
    </w:p>
  </w:footnote>
  <w:footnote w:id="34">
    <w:p w:rsidR="00AD59BE" w:rsidP="00AD59BE" w14:paraId="07FBEB9B" w14:textId="77777777">
      <w:pPr>
        <w:pStyle w:val="FootnoteText"/>
        <w:widowControl w:val="0"/>
      </w:pPr>
      <w:r w:rsidRPr="008D6A70">
        <w:rPr>
          <w:rStyle w:val="FootnoteReference"/>
        </w:rPr>
        <w:footnoteRef/>
      </w:r>
      <w:r>
        <w:t xml:space="preserve"> </w:t>
      </w:r>
      <w:r>
        <w:rPr>
          <w:iCs/>
        </w:rPr>
        <w:t>October 2019 Amendment</w:t>
      </w:r>
      <w:r w:rsidRPr="006462D2">
        <w:t xml:space="preserve"> at 1 &amp; n.3 (citing</w:t>
      </w:r>
      <w:r w:rsidRPr="006462D2">
        <w:rPr>
          <w:i/>
          <w:iCs/>
        </w:rPr>
        <w:t xml:space="preserve"> Hispanic Broadcasting Corporation</w:t>
      </w:r>
      <w:r w:rsidRPr="006462D2">
        <w:t xml:space="preserve">, Memorandum Opinion and Order, 18 FCC Rcd 18834, 18849, para. 42 (2003) (“the Commission has consistently held that a nonvoting shareholder’s approval rights over fundamental corporate matters are permissible investor protections that neither restrict a corporation’s discretion or rise to the level of attributable influence.”)).  </w:t>
      </w:r>
    </w:p>
  </w:footnote>
  <w:footnote w:id="35">
    <w:p w:rsidR="00AD59BE" w:rsidP="00AD59BE" w14:paraId="668A5387" w14:textId="77777777">
      <w:pPr>
        <w:pStyle w:val="FootnoteText"/>
        <w:widowControl w:val="0"/>
      </w:pPr>
      <w:r>
        <w:rPr>
          <w:rStyle w:val="FootnoteReference"/>
        </w:rPr>
        <w:footnoteRef/>
      </w:r>
      <w:r>
        <w:t xml:space="preserve"> </w:t>
      </w:r>
      <w:r w:rsidRPr="006462D2">
        <w:rPr>
          <w:i/>
          <w:iCs/>
        </w:rPr>
        <w:t>Id.</w:t>
      </w:r>
      <w:r w:rsidRPr="006462D2">
        <w:t xml:space="preserve"> at 1-2.  </w:t>
      </w:r>
    </w:p>
  </w:footnote>
  <w:footnote w:id="36">
    <w:p w:rsidR="00AD59BE" w:rsidP="00AD59BE" w14:paraId="63B3410D" w14:textId="77777777">
      <w:pPr>
        <w:pStyle w:val="FootnoteText"/>
        <w:widowControl w:val="0"/>
      </w:pPr>
      <w:r>
        <w:rPr>
          <w:rStyle w:val="FootnoteReference"/>
        </w:rPr>
        <w:footnoteRef/>
      </w:r>
      <w:r>
        <w:t xml:space="preserve"> </w:t>
      </w:r>
      <w:r w:rsidRPr="006462D2">
        <w:rPr>
          <w:i/>
          <w:iCs/>
        </w:rPr>
        <w:t>See id.</w:t>
      </w:r>
      <w:r w:rsidRPr="006462D2">
        <w:t>, Certifications of Joseph D. Glatt and Christian Weideman.</w:t>
      </w:r>
      <w:r>
        <w:t xml:space="preserve">  As discussed below, as a result of this restructuring, we find that the Television Applications will comply with our pre-2017 media </w:t>
      </w:r>
      <w:r w:rsidRPr="00540F79">
        <w:t xml:space="preserve">ownership rules </w:t>
      </w:r>
      <w:r>
        <w:t>when the</w:t>
      </w:r>
      <w:r w:rsidRPr="00540F79">
        <w:t xml:space="preserve"> mandate vacating our </w:t>
      </w:r>
      <w:r w:rsidRPr="00540F79">
        <w:rPr>
          <w:i/>
        </w:rPr>
        <w:t>2010/2014 Quadrennial Review Order on Reconsideration</w:t>
      </w:r>
      <w:r w:rsidRPr="00540F79">
        <w:t xml:space="preserve"> issue</w:t>
      </w:r>
      <w:r>
        <w:t>s</w:t>
      </w:r>
      <w:r w:rsidRPr="00540F79">
        <w:t>.  Thus, w</w:t>
      </w:r>
      <w:r>
        <w:t xml:space="preserve">e condition our grant on these representations.  </w:t>
      </w:r>
      <w:r>
        <w:rPr>
          <w:i/>
        </w:rPr>
        <w:t>See infra</w:t>
      </w:r>
      <w:r>
        <w:t xml:space="preserve"> para. 25. </w:t>
      </w:r>
    </w:p>
  </w:footnote>
  <w:footnote w:id="37">
    <w:p w:rsidR="00AD59BE" w:rsidRPr="00514805" w:rsidP="00AD59BE" w14:paraId="6ED375D9" w14:textId="77777777">
      <w:pPr>
        <w:pStyle w:val="FootnoteText"/>
        <w:widowControl w:val="0"/>
      </w:pPr>
      <w:r>
        <w:rPr>
          <w:rStyle w:val="FootnoteReference"/>
        </w:rPr>
        <w:footnoteRef/>
      </w:r>
      <w:r>
        <w:t xml:space="preserve"> Television Comprehensive Exhibit at 5- 7.  These efforts include:  “</w:t>
      </w:r>
      <w:r w:rsidRPr="00242B25">
        <w:t xml:space="preserve">capitalizing on the stations’ compelling local content by making that content available in multiple markets; improving the stations’ physical plant, including studio, back office and transmission equipment; growing each station’s digital presence in its local market through improvements in station websites and </w:t>
      </w:r>
      <w:r>
        <w:t>applications</w:t>
      </w:r>
      <w:r w:rsidRPr="00242B25">
        <w:t>; and deploying the resources required to promote deployment of ATSC 3.0.</w:t>
      </w:r>
      <w:r>
        <w:t xml:space="preserve">”  </w:t>
      </w:r>
      <w:r>
        <w:rPr>
          <w:i/>
        </w:rPr>
        <w:t>Id</w:t>
      </w:r>
      <w:r>
        <w:t>. at 5-6.</w:t>
      </w:r>
    </w:p>
  </w:footnote>
  <w:footnote w:id="38">
    <w:p w:rsidR="00AD59BE" w:rsidRPr="00331478" w:rsidP="00AD59BE" w14:paraId="415CF5C6" w14:textId="77777777">
      <w:pPr>
        <w:pStyle w:val="FootnoteText"/>
      </w:pPr>
      <w:r>
        <w:rPr>
          <w:rStyle w:val="FootnoteReference"/>
        </w:rPr>
        <w:footnoteRef/>
      </w:r>
      <w:r>
        <w:t xml:space="preserve"> </w:t>
      </w:r>
      <w:r>
        <w:rPr>
          <w:i/>
        </w:rPr>
        <w:t>Id</w:t>
      </w:r>
      <w:r>
        <w:t>. at 6-7 (“</w:t>
      </w:r>
      <w:r w:rsidRPr="00AB2212">
        <w:t xml:space="preserve">Terrier Media expects to support those efforts with key investments that will enable the stations to better serve the public. </w:t>
      </w:r>
      <w:r>
        <w:t xml:space="preserve"> </w:t>
      </w:r>
      <w:r w:rsidRPr="00AB2212">
        <w:t>Terrier Media will continue the stations’ focus on the journalistic integrity, news quality, and commitment to community that Northwest and Cox have demonstrated in their ownership of the stations.</w:t>
      </w:r>
      <w:r>
        <w:t>”).</w:t>
      </w:r>
    </w:p>
  </w:footnote>
  <w:footnote w:id="39">
    <w:p w:rsidR="00AD59BE" w:rsidRPr="00DB2604" w:rsidP="00AD59BE" w14:paraId="264D9528" w14:textId="77777777">
      <w:pPr>
        <w:pStyle w:val="FootnoteText"/>
        <w:widowControl w:val="0"/>
      </w:pPr>
      <w:r>
        <w:rPr>
          <w:rStyle w:val="FootnoteReference"/>
        </w:rPr>
        <w:footnoteRef/>
      </w:r>
      <w:r>
        <w:t xml:space="preserve"> </w:t>
      </w:r>
      <w:r>
        <w:rPr>
          <w:i/>
        </w:rPr>
        <w:t>Id</w:t>
      </w:r>
      <w:r>
        <w:t>. at 7-8.</w:t>
      </w:r>
    </w:p>
  </w:footnote>
  <w:footnote w:id="40">
    <w:p w:rsidR="00AD59BE" w:rsidP="00AD59BE" w14:paraId="095FEC69" w14:textId="77777777">
      <w:pPr>
        <w:pStyle w:val="FootnoteText"/>
        <w:widowControl w:val="0"/>
      </w:pPr>
      <w:r>
        <w:rPr>
          <w:rStyle w:val="FootnoteReference"/>
        </w:rPr>
        <w:footnoteRef/>
      </w:r>
      <w:r>
        <w:t xml:space="preserve"> </w:t>
      </w:r>
      <w:r>
        <w:rPr>
          <w:i/>
        </w:rPr>
        <w:t>Id</w:t>
      </w:r>
      <w:r>
        <w:t>. at 7.</w:t>
      </w:r>
    </w:p>
  </w:footnote>
  <w:footnote w:id="41">
    <w:p w:rsidR="00AD59BE" w:rsidRPr="000975A1" w:rsidP="00AD59BE" w14:paraId="3FFD398F" w14:textId="77777777">
      <w:pPr>
        <w:pStyle w:val="FootnoteText"/>
        <w:widowControl w:val="0"/>
      </w:pPr>
      <w:r>
        <w:rPr>
          <w:rStyle w:val="FootnoteReference"/>
        </w:rPr>
        <w:footnoteRef/>
      </w:r>
      <w:r>
        <w:t xml:space="preserve"> </w:t>
      </w:r>
      <w:r>
        <w:rPr>
          <w:i/>
        </w:rPr>
        <w:t>Id</w:t>
      </w:r>
      <w:r>
        <w:t xml:space="preserve">. at 4, 7.  They clarify, however, that AGM and its affiliates are not broadcast operators, and that neither AGM nor any AGM-affiliated fund will hold any limited partnership interest in PMC Equity or any stock interest in Terrier Holdings or in any Terrier Holdings subsidiary.  </w:t>
      </w:r>
      <w:r>
        <w:rPr>
          <w:i/>
        </w:rPr>
        <w:t>Id</w:t>
      </w:r>
      <w:r>
        <w:t>. at 4.</w:t>
      </w:r>
    </w:p>
  </w:footnote>
  <w:footnote w:id="42">
    <w:p w:rsidR="00AD59BE" w:rsidRPr="003F69F1" w:rsidP="00AD59BE" w14:paraId="7095EC60" w14:textId="77777777">
      <w:pPr>
        <w:pStyle w:val="FootnoteText"/>
        <w:widowControl w:val="0"/>
      </w:pPr>
      <w:r>
        <w:rPr>
          <w:rStyle w:val="FootnoteReference"/>
        </w:rPr>
        <w:footnoteRef/>
      </w:r>
      <w:r>
        <w:t xml:space="preserve"> </w:t>
      </w:r>
      <w:r>
        <w:rPr>
          <w:i/>
        </w:rPr>
        <w:t>Id</w:t>
      </w:r>
      <w:r>
        <w:t>. at 7.</w:t>
      </w:r>
    </w:p>
  </w:footnote>
  <w:footnote w:id="43">
    <w:p w:rsidR="00AD59BE" w:rsidRPr="003F69F1" w:rsidP="00AD59BE" w14:paraId="429A1F61" w14:textId="77777777">
      <w:pPr>
        <w:pStyle w:val="FootnoteText"/>
        <w:widowControl w:val="0"/>
      </w:pPr>
      <w:r>
        <w:rPr>
          <w:rStyle w:val="FootnoteReference"/>
        </w:rPr>
        <w:footnoteRef/>
      </w:r>
      <w:r>
        <w:t xml:space="preserve"> </w:t>
      </w:r>
      <w:r>
        <w:rPr>
          <w:i/>
        </w:rPr>
        <w:t>Id</w:t>
      </w:r>
      <w:r>
        <w:t>.</w:t>
      </w:r>
    </w:p>
  </w:footnote>
  <w:footnote w:id="44">
    <w:p w:rsidR="00AD59BE" w:rsidRPr="00823BFD" w:rsidP="00AD59BE" w14:paraId="2DB2937F" w14:textId="77777777">
      <w:pPr>
        <w:pStyle w:val="FootnoteText"/>
        <w:widowControl w:val="0"/>
      </w:pPr>
      <w:r>
        <w:rPr>
          <w:rStyle w:val="FootnoteReference"/>
        </w:rPr>
        <w:footnoteRef/>
      </w:r>
      <w:r>
        <w:t xml:space="preserve"> </w:t>
      </w:r>
      <w:r>
        <w:rPr>
          <w:i/>
          <w:iCs/>
        </w:rPr>
        <w:t xml:space="preserve">See supra </w:t>
      </w:r>
      <w:r>
        <w:t>n. 3.</w:t>
      </w:r>
    </w:p>
  </w:footnote>
  <w:footnote w:id="45">
    <w:p w:rsidR="00AD59BE" w:rsidP="00AD59BE" w14:paraId="36D13F03" w14:textId="77777777">
      <w:pPr>
        <w:pStyle w:val="FootnoteText"/>
        <w:widowControl w:val="0"/>
      </w:pPr>
      <w:r>
        <w:rPr>
          <w:rStyle w:val="FootnoteReference"/>
        </w:rPr>
        <w:footnoteRef/>
      </w:r>
      <w:r>
        <w:t xml:space="preserve"> Radio Transfer Application, Attach. 20, Stock Purchase Agreement at 2,</w:t>
      </w:r>
      <w:r w:rsidRPr="007C422E">
        <w:t xml:space="preserve"> </w:t>
      </w:r>
      <w:r>
        <w:t>p</w:t>
      </w:r>
      <w:r w:rsidRPr="007C422E">
        <w:t>ara</w:t>
      </w:r>
      <w:r>
        <w:t>.</w:t>
      </w:r>
      <w:r w:rsidRPr="007C422E">
        <w:t xml:space="preserve"> 1.2 and Form of Promissory Note</w:t>
      </w:r>
      <w:r>
        <w:t xml:space="preserve"> at 1</w:t>
      </w:r>
      <w:r w:rsidRPr="007C422E">
        <w:t xml:space="preserve">.  </w:t>
      </w:r>
    </w:p>
  </w:footnote>
  <w:footnote w:id="46">
    <w:p w:rsidR="00AD59BE" w:rsidP="00AD59BE" w14:paraId="146B21B2" w14:textId="77777777">
      <w:pPr>
        <w:pStyle w:val="FootnoteText"/>
        <w:widowControl w:val="0"/>
      </w:pPr>
      <w:r>
        <w:rPr>
          <w:rStyle w:val="FootnoteReference"/>
        </w:rPr>
        <w:footnoteRef/>
      </w:r>
      <w:r>
        <w:t xml:space="preserve"> Radio Transfer Application, Attach. 1, “October 2019 Amendment” at 1 (filed Oct. 29, 2019) (Radio October 2019 Amendment).</w:t>
      </w:r>
    </w:p>
  </w:footnote>
  <w:footnote w:id="47">
    <w:p w:rsidR="00AD59BE" w:rsidRPr="00C10F1C" w:rsidP="00AD59BE" w14:paraId="6CF867B4" w14:textId="77777777">
      <w:pPr>
        <w:pStyle w:val="FootnoteText"/>
        <w:widowControl w:val="0"/>
      </w:pPr>
      <w:r w:rsidRPr="003E556F">
        <w:rPr>
          <w:rStyle w:val="FootnoteReference"/>
        </w:rPr>
        <w:footnoteRef/>
      </w:r>
      <w:r w:rsidRPr="003E556F">
        <w:t xml:space="preserve"> </w:t>
      </w:r>
      <w:r>
        <w:t xml:space="preserve">Radio </w:t>
      </w:r>
      <w:r w:rsidRPr="003E556F">
        <w:t>Transfer Application, Comprehensive Exhibit at 2, 13, and “Ownership Structure for Terrier Media Buyer, Inc.”</w:t>
      </w:r>
      <w:r>
        <w:t>; October 2019 Amendment.</w:t>
      </w:r>
    </w:p>
  </w:footnote>
  <w:footnote w:id="48">
    <w:p w:rsidR="00AD59BE" w:rsidRPr="003E556F" w:rsidP="00AD59BE" w14:paraId="10AF4D85" w14:textId="77777777">
      <w:pPr>
        <w:pStyle w:val="FootnoteText"/>
        <w:widowControl w:val="0"/>
      </w:pPr>
      <w:r w:rsidRPr="003E556F">
        <w:rPr>
          <w:rStyle w:val="FootnoteReference"/>
        </w:rPr>
        <w:footnoteRef/>
      </w:r>
      <w:r w:rsidRPr="003E556F">
        <w:t xml:space="preserve"> </w:t>
      </w:r>
      <w:r>
        <w:rPr>
          <w:i/>
        </w:rPr>
        <w:t xml:space="preserve">See </w:t>
      </w:r>
      <w:r>
        <w:t xml:space="preserve">Radio Transfer Application, Comprehensive Exhibit at 25 and </w:t>
      </w:r>
      <w:r w:rsidRPr="003E556F">
        <w:t>Attachment 3 (Local Radio Market Studies).</w:t>
      </w:r>
    </w:p>
  </w:footnote>
  <w:footnote w:id="49">
    <w:p w:rsidR="00AD59BE" w:rsidRPr="003E556F" w:rsidP="00AD59BE" w14:paraId="303D94CD" w14:textId="77777777">
      <w:pPr>
        <w:pStyle w:val="FootnoteText"/>
        <w:widowControl w:val="0"/>
      </w:pPr>
      <w:r w:rsidRPr="003E556F">
        <w:rPr>
          <w:rStyle w:val="FootnoteReference"/>
        </w:rPr>
        <w:footnoteRef/>
      </w:r>
      <w:r w:rsidRPr="003E556F">
        <w:t xml:space="preserve"> </w:t>
      </w:r>
      <w:r w:rsidRPr="003E556F">
        <w:rPr>
          <w:i/>
        </w:rPr>
        <w:t>Id.</w:t>
      </w:r>
      <w:r w:rsidRPr="003E556F">
        <w:t xml:space="preserve"> </w:t>
      </w:r>
    </w:p>
  </w:footnote>
  <w:footnote w:id="50">
    <w:p w:rsidR="00AD59BE" w:rsidP="00AD59BE" w14:paraId="458239C4" w14:textId="77777777">
      <w:pPr>
        <w:pStyle w:val="FootnoteText"/>
        <w:widowControl w:val="0"/>
      </w:pPr>
      <w:r>
        <w:rPr>
          <w:rStyle w:val="FootnoteReference"/>
        </w:rPr>
        <w:footnoteRef/>
      </w:r>
      <w:r>
        <w:t xml:space="preserve"> </w:t>
      </w:r>
      <w:r>
        <w:rPr>
          <w:i/>
        </w:rPr>
        <w:t>See</w:t>
      </w:r>
      <w:r>
        <w:t xml:space="preserve"> Radio Applications, Attach. 1, “October 2019 Amendment” (filed Oct. 29, 2019).  In addition to the representations discussed above, that amendment states:  “With the changes described below, upon consummation of the Northwest Transaction and the Cox Transactions, Terrier will be in compliance with such media ownership rules in all markets covered by the pending applications.”  </w:t>
      </w:r>
      <w:r>
        <w:rPr>
          <w:i/>
          <w:iCs/>
        </w:rPr>
        <w:t xml:space="preserve">Id. </w:t>
      </w:r>
      <w:r>
        <w:t>at 1</w:t>
      </w:r>
    </w:p>
  </w:footnote>
  <w:footnote w:id="51">
    <w:p w:rsidR="00AD59BE" w:rsidP="00AD59BE" w14:paraId="2FEEDE02" w14:textId="77777777">
      <w:pPr>
        <w:pStyle w:val="FootnoteText"/>
        <w:widowControl w:val="0"/>
      </w:pPr>
      <w:r>
        <w:rPr>
          <w:rStyle w:val="FootnoteReference"/>
        </w:rPr>
        <w:footnoteRef/>
      </w:r>
      <w:r>
        <w:t xml:space="preserve"> Radio Transfer Application, Comprehensive Exhibit, at 8.</w:t>
      </w:r>
    </w:p>
  </w:footnote>
  <w:footnote w:id="52">
    <w:p w:rsidR="00AD59BE" w:rsidRPr="00790CAD" w:rsidP="00AD59BE" w14:paraId="79C7C957" w14:textId="77777777">
      <w:pPr>
        <w:pStyle w:val="FootnoteText"/>
        <w:widowControl w:val="0"/>
      </w:pPr>
      <w:r>
        <w:rPr>
          <w:rStyle w:val="FootnoteReference"/>
        </w:rPr>
        <w:footnoteRef/>
      </w:r>
      <w:r>
        <w:t xml:space="preserve"> </w:t>
      </w:r>
      <w:r w:rsidRPr="00140B19">
        <w:rPr>
          <w:i/>
        </w:rPr>
        <w:t>See</w:t>
      </w:r>
      <w:r>
        <w:rPr>
          <w:i/>
        </w:rPr>
        <w:t xml:space="preserve"> </w:t>
      </w:r>
      <w:r w:rsidRPr="00180D8A">
        <w:rPr>
          <w:i/>
        </w:rPr>
        <w:t xml:space="preserve">Media Bureau Establishes Pleading Cycle for </w:t>
      </w:r>
      <w:r>
        <w:rPr>
          <w:i/>
        </w:rPr>
        <w:t>Television Applications</w:t>
      </w:r>
      <w:r w:rsidRPr="00180D8A">
        <w:rPr>
          <w:i/>
        </w:rPr>
        <w:t xml:space="preserve"> to Transfer Control </w:t>
      </w:r>
      <w:r>
        <w:rPr>
          <w:i/>
        </w:rPr>
        <w:t xml:space="preserve">of NBI Holdings, LLC, and Cox Enterprises, </w:t>
      </w:r>
      <w:r w:rsidRPr="00180D8A">
        <w:rPr>
          <w:i/>
        </w:rPr>
        <w:t>Inc.</w:t>
      </w:r>
      <w:r>
        <w:rPr>
          <w:i/>
        </w:rPr>
        <w:t>, to Terrier Media Buyer, Inc.,</w:t>
      </w:r>
      <w:r w:rsidRPr="00180D8A">
        <w:rPr>
          <w:i/>
        </w:rPr>
        <w:t xml:space="preserve"> and Permit-But-Disclose Ex Parte Status for the Proceeding</w:t>
      </w:r>
      <w:r w:rsidRPr="00180D8A">
        <w:t xml:space="preserve">, MB Docket </w:t>
      </w:r>
      <w:r>
        <w:t xml:space="preserve">No. </w:t>
      </w:r>
      <w:r w:rsidRPr="00180D8A">
        <w:t>19-</w:t>
      </w:r>
      <w:r>
        <w:t>98</w:t>
      </w:r>
      <w:r w:rsidRPr="00180D8A">
        <w:t xml:space="preserve">, </w:t>
      </w:r>
      <w:r>
        <w:t>Public Notice, 34 FCC Rcd 2274</w:t>
      </w:r>
      <w:r w:rsidRPr="00180D8A">
        <w:t xml:space="preserve"> (MB 2019)</w:t>
      </w:r>
      <w:r>
        <w:t>.</w:t>
      </w:r>
    </w:p>
  </w:footnote>
  <w:footnote w:id="53">
    <w:p w:rsidR="00AD59BE" w:rsidP="00AD59BE" w14:paraId="00840DEA" w14:textId="77777777">
      <w:pPr>
        <w:pStyle w:val="FootnoteText"/>
        <w:widowControl w:val="0"/>
      </w:pPr>
      <w:r>
        <w:rPr>
          <w:rStyle w:val="FootnoteReference"/>
        </w:rPr>
        <w:footnoteRef/>
      </w:r>
      <w:r>
        <w:t xml:space="preserve"> Comments of The American Television Alliance, MB Docket No. 19-98, at 1-10 (filed May 10, 2019) (ATVA Comments).</w:t>
      </w:r>
    </w:p>
  </w:footnote>
  <w:footnote w:id="54">
    <w:p w:rsidR="00AD59BE" w:rsidP="00AD59BE" w14:paraId="65166E7F" w14:textId="77777777">
      <w:pPr>
        <w:pStyle w:val="FootnoteText"/>
        <w:widowControl w:val="0"/>
      </w:pPr>
      <w:r>
        <w:rPr>
          <w:rStyle w:val="FootnoteReference"/>
        </w:rPr>
        <w:footnoteRef/>
      </w:r>
      <w:r>
        <w:t xml:space="preserve"> Petition to Deny of </w:t>
      </w:r>
      <w:r w:rsidRPr="00092E9F">
        <w:t>Common Cause, Common Cause Ohio, and United Church of Chris</w:t>
      </w:r>
      <w:r>
        <w:t xml:space="preserve">t, OC Inc., MB Docket No. 19-98, at 2-7 (filed May 10, 2019) </w:t>
      </w:r>
      <w:r w:rsidRPr="00092E9F">
        <w:t>(Common Cause et al. Petition)</w:t>
      </w:r>
      <w:r>
        <w:t>.</w:t>
      </w:r>
    </w:p>
  </w:footnote>
  <w:footnote w:id="55">
    <w:p w:rsidR="00AD59BE" w:rsidP="00AD59BE" w14:paraId="2899E996" w14:textId="77777777">
      <w:pPr>
        <w:pStyle w:val="FootnoteText"/>
        <w:widowControl w:val="0"/>
      </w:pPr>
      <w:r>
        <w:rPr>
          <w:rStyle w:val="FootnoteReference"/>
        </w:rPr>
        <w:footnoteRef/>
      </w:r>
      <w:r>
        <w:t xml:space="preserve"> Petition to Deny of Darryl Beauford Petition, MB Docket No. 19-98, at 3-20 (filed May 3, 2019) (Beauford Petition).</w:t>
      </w:r>
    </w:p>
  </w:footnote>
  <w:footnote w:id="56">
    <w:p w:rsidR="00AD59BE" w:rsidP="00AD59BE" w14:paraId="33A2F091" w14:textId="77777777">
      <w:pPr>
        <w:pStyle w:val="FootnoteText"/>
        <w:widowControl w:val="0"/>
      </w:pPr>
      <w:r>
        <w:rPr>
          <w:rStyle w:val="FootnoteReference"/>
        </w:rPr>
        <w:footnoteRef/>
      </w:r>
      <w:r>
        <w:t xml:space="preserve"> </w:t>
      </w:r>
      <w:r w:rsidRPr="00CF4007">
        <w:rPr>
          <w:i/>
          <w:iCs/>
        </w:rPr>
        <w:t xml:space="preserve">See </w:t>
      </w:r>
      <w:r w:rsidRPr="005938B7">
        <w:t>Written Ex Parte of Common Cause and United Church of Christ, OC Inc., MB D</w:t>
      </w:r>
      <w:r>
        <w:t>ocke</w:t>
      </w:r>
      <w:r w:rsidRPr="005938B7">
        <w:t xml:space="preserve">t No. 19-98 (filed Nov. 15, 2019) (CC-UCC </w:t>
      </w:r>
      <w:r w:rsidRPr="00CF4007">
        <w:rPr>
          <w:i/>
        </w:rPr>
        <w:t>Ex Parte</w:t>
      </w:r>
      <w:r w:rsidRPr="005938B7">
        <w:t>).</w:t>
      </w:r>
    </w:p>
  </w:footnote>
  <w:footnote w:id="57">
    <w:p w:rsidR="00AD59BE" w:rsidP="00AD59BE" w14:paraId="0CF3B2AF" w14:textId="77777777">
      <w:pPr>
        <w:pStyle w:val="FootnoteText"/>
        <w:widowControl w:val="0"/>
      </w:pPr>
      <w:r>
        <w:rPr>
          <w:rStyle w:val="FootnoteReference"/>
        </w:rPr>
        <w:footnoteRef/>
      </w:r>
      <w:r>
        <w:t xml:space="preserve"> </w:t>
      </w:r>
      <w:r w:rsidRPr="00CB5A3E">
        <w:t>Section 310(d)</w:t>
      </w:r>
      <w:r>
        <w:t xml:space="preserve"> of the Act </w:t>
      </w:r>
      <w:r w:rsidRPr="00CB5A3E">
        <w:t xml:space="preserve">requires that the Commission consider an application as if the proposed assignee/transferee were applying for the license directly.  47 U.S.C. § 310(d); </w:t>
      </w:r>
      <w:r w:rsidRPr="00654518">
        <w:rPr>
          <w:i/>
          <w:iCs/>
        </w:rPr>
        <w:t>see also SBC Comm</w:t>
      </w:r>
      <w:r>
        <w:rPr>
          <w:i/>
          <w:iCs/>
        </w:rPr>
        <w:t>unications</w:t>
      </w:r>
      <w:r w:rsidRPr="00654518">
        <w:rPr>
          <w:i/>
          <w:iCs/>
        </w:rPr>
        <w:t xml:space="preserve"> Inc</w:t>
      </w:r>
      <w:r>
        <w:rPr>
          <w:i/>
          <w:iCs/>
        </w:rPr>
        <w:t>orporated</w:t>
      </w:r>
      <w:r w:rsidRPr="00654518">
        <w:rPr>
          <w:i/>
          <w:iCs/>
        </w:rPr>
        <w:t xml:space="preserve"> and AT&amp;T Corp</w:t>
      </w:r>
      <w:r>
        <w:rPr>
          <w:i/>
          <w:iCs/>
        </w:rPr>
        <w:t>oration</w:t>
      </w:r>
      <w:r w:rsidRPr="00654518">
        <w:rPr>
          <w:i/>
          <w:iCs/>
        </w:rPr>
        <w:t xml:space="preserve"> </w:t>
      </w:r>
      <w:r>
        <w:rPr>
          <w:i/>
          <w:iCs/>
        </w:rPr>
        <w:t>Television Applications</w:t>
      </w:r>
      <w:r w:rsidRPr="00654518">
        <w:rPr>
          <w:i/>
          <w:iCs/>
        </w:rPr>
        <w:t xml:space="preserve"> for Approval of Transfer of Control</w:t>
      </w:r>
      <w:r w:rsidRPr="00CB5A3E">
        <w:t>, Memorandum Opinion and Order, 20 FCC Rcd 18290, 18300, para. 16 (2005) (</w:t>
      </w:r>
      <w:r w:rsidRPr="00654518">
        <w:rPr>
          <w:i/>
          <w:iCs/>
        </w:rPr>
        <w:t>SBC-AT&amp;T Order</w:t>
      </w:r>
      <w:r w:rsidRPr="00CB5A3E">
        <w:t>).</w:t>
      </w:r>
    </w:p>
  </w:footnote>
  <w:footnote w:id="58">
    <w:p w:rsidR="00AD59BE" w:rsidP="00AD59BE" w14:paraId="7C1AAC67" w14:textId="77777777">
      <w:pPr>
        <w:pStyle w:val="FootnoteText"/>
        <w:widowControl w:val="0"/>
      </w:pPr>
      <w:r>
        <w:rPr>
          <w:rStyle w:val="FootnoteReference"/>
        </w:rPr>
        <w:footnoteRef/>
      </w:r>
      <w:r>
        <w:t xml:space="preserve"> </w:t>
      </w:r>
      <w:r w:rsidRPr="00654518">
        <w:rPr>
          <w:i/>
          <w:iCs/>
        </w:rPr>
        <w:t>See, e.g.</w:t>
      </w:r>
      <w:r w:rsidRPr="0046640F">
        <w:rPr>
          <w:iCs/>
        </w:rPr>
        <w:t>,</w:t>
      </w:r>
      <w:r w:rsidRPr="00654518">
        <w:rPr>
          <w:i/>
          <w:iCs/>
        </w:rPr>
        <w:t xml:space="preserve"> SBC-AT&amp;T Order</w:t>
      </w:r>
      <w:r w:rsidRPr="00CB5A3E">
        <w:t xml:space="preserve">, 20 FCC Rcd at 18300, para. 16.  </w:t>
      </w:r>
    </w:p>
  </w:footnote>
  <w:footnote w:id="59">
    <w:p w:rsidR="00AD59BE" w:rsidRPr="00654518" w:rsidP="00AD59BE" w14:paraId="2654DA8A" w14:textId="77777777">
      <w:pPr>
        <w:pStyle w:val="FootnoteText"/>
        <w:widowControl w:val="0"/>
        <w:rPr>
          <w:i/>
          <w:iCs/>
        </w:rPr>
      </w:pPr>
      <w:r>
        <w:rPr>
          <w:rStyle w:val="FootnoteReference"/>
        </w:rPr>
        <w:footnoteRef/>
      </w:r>
      <w:r>
        <w:t xml:space="preserve"> </w:t>
      </w:r>
      <w:r>
        <w:rPr>
          <w:i/>
          <w:iCs/>
        </w:rPr>
        <w:t>Id.</w:t>
      </w:r>
    </w:p>
  </w:footnote>
  <w:footnote w:id="60">
    <w:p w:rsidR="00AD59BE" w:rsidRPr="00E43301" w:rsidP="00AD59BE" w14:paraId="2050A1FF" w14:textId="77777777">
      <w:pPr>
        <w:pStyle w:val="FootnoteText"/>
        <w:widowControl w:val="0"/>
      </w:pPr>
      <w:r w:rsidRPr="008C7C9E">
        <w:rPr>
          <w:rStyle w:val="FootnoteReference"/>
        </w:rPr>
        <w:footnoteRef/>
      </w:r>
      <w:r w:rsidRPr="008C7C9E">
        <w:t xml:space="preserve"> 47 U.S.C. § 309</w:t>
      </w:r>
      <w:r>
        <w:t>(e)</w:t>
      </w:r>
      <w:r w:rsidRPr="008C7C9E">
        <w:t xml:space="preserve">; </w:t>
      </w:r>
      <w:r w:rsidRPr="008C7C9E">
        <w:rPr>
          <w:i/>
        </w:rPr>
        <w:t>see</w:t>
      </w:r>
      <w:r>
        <w:rPr>
          <w:i/>
        </w:rPr>
        <w:t xml:space="preserve"> also</w:t>
      </w:r>
      <w:r>
        <w:rPr>
          <w:i/>
          <w:iCs/>
          <w:color w:val="000000"/>
          <w:bdr w:val="none" w:sz="0" w:space="0" w:color="auto" w:frame="1"/>
        </w:rPr>
        <w:t xml:space="preserve"> </w:t>
      </w:r>
      <w:r>
        <w:rPr>
          <w:i/>
        </w:rPr>
        <w:t>General Motors Corporation and Hughes Electronics Corporation, Transferors, and the News Corporation Limited</w:t>
      </w:r>
      <w:r w:rsidRPr="008C7C9E">
        <w:rPr>
          <w:i/>
        </w:rPr>
        <w:t>,</w:t>
      </w:r>
      <w:r>
        <w:rPr>
          <w:i/>
        </w:rPr>
        <w:t xml:space="preserve"> Transferee</w:t>
      </w:r>
      <w:r>
        <w:t>,</w:t>
      </w:r>
      <w:r w:rsidRPr="008C7C9E">
        <w:rPr>
          <w:i/>
        </w:rPr>
        <w:t xml:space="preserve"> </w:t>
      </w:r>
      <w:r>
        <w:t xml:space="preserve">Memorandum Opinion and Order, </w:t>
      </w:r>
      <w:r w:rsidRPr="008C7C9E">
        <w:t xml:space="preserve">19 FCC Rcd </w:t>
      </w:r>
      <w:r>
        <w:t>473,</w:t>
      </w:r>
      <w:r w:rsidRPr="008C7C9E">
        <w:t xml:space="preserve"> 483</w:t>
      </w:r>
      <w:r>
        <w:t>, para. 15</w:t>
      </w:r>
      <w:r w:rsidRPr="008C7C9E">
        <w:t xml:space="preserve"> n.49</w:t>
      </w:r>
      <w:r>
        <w:t xml:space="preserve"> (2004)</w:t>
      </w:r>
      <w:r w:rsidRPr="008C7C9E">
        <w:t>;</w:t>
      </w:r>
      <w:r w:rsidRPr="00E43301">
        <w:rPr>
          <w:i/>
        </w:rPr>
        <w:t xml:space="preserve"> </w:t>
      </w:r>
      <w:r>
        <w:rPr>
          <w:i/>
        </w:rPr>
        <w:t>Application of EchoStar Communications Corporation, General Motors Corporation, and Hughes Electronics Corporation and EchoStar Communications Corporation</w:t>
      </w:r>
      <w:r>
        <w:t>, Hearing Designation Order, 17 FCC Rcd 20559, 20574,</w:t>
      </w:r>
      <w:r>
        <w:rPr>
          <w:i/>
        </w:rPr>
        <w:t xml:space="preserve"> </w:t>
      </w:r>
      <w:r>
        <w:t>para. 211 (2002).</w:t>
      </w:r>
    </w:p>
  </w:footnote>
  <w:footnote w:id="61">
    <w:p w:rsidR="00AD59BE" w:rsidRPr="000E7E27" w:rsidP="00AD59BE" w14:paraId="50638083" w14:textId="77777777">
      <w:pPr>
        <w:pStyle w:val="FootnoteText"/>
        <w:widowControl w:val="0"/>
        <w:rPr>
          <w:sz w:val="18"/>
          <w:szCs w:val="18"/>
        </w:rPr>
      </w:pPr>
      <w:r>
        <w:rPr>
          <w:rStyle w:val="FootnoteReference"/>
        </w:rPr>
        <w:footnoteRef/>
      </w:r>
      <w:r w:rsidRPr="0046640F">
        <w:t xml:space="preserve"> </w:t>
      </w:r>
      <w:r w:rsidRPr="000D7B79">
        <w:t xml:space="preserve">47 U.S.C. § 309(d)(1); </w:t>
      </w:r>
      <w:r w:rsidRPr="000D7B79">
        <w:rPr>
          <w:i/>
          <w:iCs/>
        </w:rPr>
        <w:t>Astroline Commc’ns Co., Ltd. Partnership v. FCC</w:t>
      </w:r>
      <w:r w:rsidRPr="000D7B79">
        <w:t>, 857 F.2d 1556</w:t>
      </w:r>
      <w:r>
        <w:t>, 1561</w:t>
      </w:r>
      <w:r w:rsidRPr="000D7B79">
        <w:t xml:space="preserve"> (D.C. Cir. 1988) (</w:t>
      </w:r>
      <w:r w:rsidRPr="000D7B79">
        <w:rPr>
          <w:i/>
          <w:iCs/>
        </w:rPr>
        <w:t>Astroline</w:t>
      </w:r>
      <w:r w:rsidRPr="000D7B79">
        <w:t>).</w:t>
      </w:r>
    </w:p>
  </w:footnote>
  <w:footnote w:id="62">
    <w:p w:rsidR="00AD59BE" w:rsidRPr="000E7E27" w:rsidP="00AD59BE" w14:paraId="1446095E" w14:textId="77777777">
      <w:pPr>
        <w:pStyle w:val="FootnoteText"/>
        <w:widowControl w:val="0"/>
      </w:pPr>
      <w:r w:rsidRPr="000E7E27">
        <w:rPr>
          <w:rStyle w:val="FootnoteReference"/>
        </w:rPr>
        <w:footnoteRef/>
      </w:r>
      <w:r w:rsidRPr="000E7E27">
        <w:t xml:space="preserve"> </w:t>
      </w:r>
      <w:hyperlink r:id="rId1" w:anchor="co_pp_sp_350_181" w:history="1">
        <w:r w:rsidRPr="000E7E27">
          <w:rPr>
            <w:i/>
            <w:iCs/>
          </w:rPr>
          <w:t>Gencom, Inc. v. FCC</w:t>
        </w:r>
        <w:r w:rsidRPr="000E7E27">
          <w:t>, 832 F.2d 171, 181 (D.C. Cir. 1987)</w:t>
        </w:r>
      </w:hyperlink>
      <w:r w:rsidRPr="000E7E27">
        <w:t>.</w:t>
      </w:r>
    </w:p>
  </w:footnote>
  <w:footnote w:id="63">
    <w:p w:rsidR="00AD59BE" w:rsidRPr="000E7E27" w:rsidP="00AD59BE" w14:paraId="5DE22494" w14:textId="77777777">
      <w:pPr>
        <w:pStyle w:val="FootnoteText"/>
        <w:widowControl w:val="0"/>
      </w:pPr>
      <w:r w:rsidRPr="000E7E27">
        <w:rPr>
          <w:rStyle w:val="FootnoteReference"/>
        </w:rPr>
        <w:footnoteRef/>
      </w:r>
      <w:r w:rsidRPr="000E7E27">
        <w:t xml:space="preserve"> </w:t>
      </w:r>
      <w:hyperlink r:id="rId2" w:anchor="co_pp_sp_350_1561" w:history="1">
        <w:r w:rsidRPr="000E7E27">
          <w:rPr>
            <w:i/>
            <w:iCs/>
          </w:rPr>
          <w:t>Astroline</w:t>
        </w:r>
        <w:r w:rsidRPr="000E7E27">
          <w:t>, 857 F.2d at 1561</w:t>
        </w:r>
      </w:hyperlink>
      <w:r w:rsidRPr="000E7E27">
        <w:t xml:space="preserve">; </w:t>
      </w:r>
      <w:hyperlink r:id="rId3" w:anchor="co_pp_7fdd00001ca15" w:history="1">
        <w:r w:rsidRPr="000E7E27">
          <w:t>47 U.S.C. § 309(e)</w:t>
        </w:r>
      </w:hyperlink>
      <w:r w:rsidRPr="000E7E27">
        <w:t>.</w:t>
      </w:r>
    </w:p>
  </w:footnote>
  <w:footnote w:id="64">
    <w:p w:rsidR="00AD59BE" w:rsidRPr="000E7E27" w:rsidP="00AD59BE" w14:paraId="47A21BE7" w14:textId="77777777">
      <w:pPr>
        <w:pStyle w:val="FootnoteText"/>
        <w:widowControl w:val="0"/>
      </w:pPr>
      <w:r w:rsidRPr="000E7E27">
        <w:rPr>
          <w:rStyle w:val="FootnoteReference"/>
        </w:rPr>
        <w:footnoteRef/>
      </w:r>
      <w:r w:rsidRPr="000E7E27">
        <w:t xml:space="preserve"> </w:t>
      </w:r>
      <w:hyperlink r:id="rId4" w:anchor="co_pp_sp_506_1410" w:history="1">
        <w:r w:rsidRPr="000E7E27">
          <w:rPr>
            <w:i/>
            <w:iCs/>
          </w:rPr>
          <w:t>Mobile Commc’ns Corp. of Am. v FCC</w:t>
        </w:r>
        <w:r w:rsidRPr="000E7E27">
          <w:t>, 77 F.3d 1399, 1410 (D.C. Cir. 1996)</w:t>
        </w:r>
      </w:hyperlink>
      <w:r w:rsidRPr="000E7E27">
        <w:t xml:space="preserve"> (quoting </w:t>
      </w:r>
      <w:hyperlink r:id="rId5" w:anchor="co_pp_sp_350_394" w:history="1">
        <w:r w:rsidRPr="000E7E27">
          <w:rPr>
            <w:i/>
            <w:iCs/>
          </w:rPr>
          <w:t>Citizens for Jazz on WRVR v. FCC</w:t>
        </w:r>
        <w:r w:rsidRPr="000E7E27">
          <w:t>, 775 F.2d 392, 394 (D.C. Cir. 1985)</w:t>
        </w:r>
      </w:hyperlink>
      <w:r>
        <w:t xml:space="preserve"> (</w:t>
      </w:r>
      <w:r w:rsidRPr="000E7E27">
        <w:rPr>
          <w:i/>
          <w:iCs/>
        </w:rPr>
        <w:t>Citizens for Jazz</w:t>
      </w:r>
      <w:r w:rsidRPr="0046640F">
        <w:rPr>
          <w:iCs/>
        </w:rPr>
        <w:t>)</w:t>
      </w:r>
      <w:r w:rsidRPr="000E7E27">
        <w:t>).</w:t>
      </w:r>
    </w:p>
  </w:footnote>
  <w:footnote w:id="65">
    <w:p w:rsidR="00AD59BE" w:rsidRPr="000E7E27" w:rsidP="00AD59BE" w14:paraId="31155A77" w14:textId="77777777">
      <w:pPr>
        <w:pStyle w:val="FootnoteText"/>
        <w:widowControl w:val="0"/>
      </w:pPr>
      <w:r w:rsidRPr="000E7E27">
        <w:rPr>
          <w:rStyle w:val="FootnoteReference"/>
        </w:rPr>
        <w:footnoteRef/>
      </w:r>
      <w:r w:rsidRPr="000E7E27">
        <w:t xml:space="preserve"> </w:t>
      </w:r>
      <w:r w:rsidRPr="000E7E27">
        <w:rPr>
          <w:i/>
          <w:iCs/>
        </w:rPr>
        <w:t>Id.</w:t>
      </w:r>
      <w:r w:rsidRPr="000E7E27">
        <w:t xml:space="preserve"> (quoting </w:t>
      </w:r>
      <w:r w:rsidRPr="000E7E27">
        <w:rPr>
          <w:i/>
          <w:iCs/>
        </w:rPr>
        <w:t>Citizens for Jazz</w:t>
      </w:r>
      <w:r w:rsidRPr="000E7E27">
        <w:t>, 775 F.2d at 394).</w:t>
      </w:r>
    </w:p>
  </w:footnote>
  <w:footnote w:id="66">
    <w:p w:rsidR="00AD59BE" w:rsidRPr="00387665" w:rsidP="00AD59BE" w14:paraId="1B3C5023" w14:textId="77777777">
      <w:pPr>
        <w:pStyle w:val="FootnoteText"/>
        <w:widowControl w:val="0"/>
        <w:rPr>
          <w:sz w:val="18"/>
          <w:szCs w:val="18"/>
        </w:rPr>
      </w:pPr>
      <w:r>
        <w:rPr>
          <w:rStyle w:val="FootnoteReference"/>
        </w:rPr>
        <w:footnoteRef/>
      </w:r>
      <w:r w:rsidRPr="0046640F">
        <w:t xml:space="preserve"> </w:t>
      </w:r>
      <w:r w:rsidRPr="000D7B79">
        <w:t xml:space="preserve">47 U.S.C. § 309(d)(1); </w:t>
      </w:r>
      <w:r w:rsidRPr="000D7B79">
        <w:rPr>
          <w:i/>
          <w:iCs/>
        </w:rPr>
        <w:t>Astroline Commc’ns Co., Ltd. Partnership v. FCC</w:t>
      </w:r>
      <w:r w:rsidRPr="000D7B79">
        <w:t>, 857 F.2d 1556</w:t>
      </w:r>
      <w:r>
        <w:t>, 1561</w:t>
      </w:r>
      <w:r w:rsidRPr="000D7B79">
        <w:t xml:space="preserve"> (D.C. Cir. 1988) (</w:t>
      </w:r>
      <w:r w:rsidRPr="000D7B79">
        <w:rPr>
          <w:i/>
          <w:iCs/>
        </w:rPr>
        <w:t>Astroline</w:t>
      </w:r>
      <w:r w:rsidRPr="000D7B79">
        <w:t>)</w:t>
      </w:r>
      <w:r>
        <w:t>.</w:t>
      </w:r>
    </w:p>
  </w:footnote>
  <w:footnote w:id="67">
    <w:p w:rsidR="00AD59BE" w:rsidP="00AD59BE" w14:paraId="73DB1E70" w14:textId="77777777">
      <w:pPr>
        <w:pStyle w:val="FootnoteText"/>
        <w:widowControl w:val="0"/>
      </w:pPr>
      <w:r>
        <w:rPr>
          <w:rStyle w:val="FootnoteReference"/>
        </w:rPr>
        <w:footnoteRef/>
      </w:r>
      <w:r>
        <w:t xml:space="preserve"> 47 CFR § </w:t>
      </w:r>
      <w:r w:rsidRPr="00F67CEC">
        <w:t>73.3555(a)(1)</w:t>
      </w:r>
      <w:r>
        <w:t>.</w:t>
      </w:r>
    </w:p>
  </w:footnote>
  <w:footnote w:id="68">
    <w:p w:rsidR="00AD59BE" w:rsidRPr="000E7E27" w:rsidP="00AD59BE" w14:paraId="382B92B8" w14:textId="77777777">
      <w:pPr>
        <w:pStyle w:val="FootnoteText"/>
        <w:widowControl w:val="0"/>
      </w:pPr>
      <w:r w:rsidRPr="000E7E27">
        <w:rPr>
          <w:rStyle w:val="FootnoteReference"/>
        </w:rPr>
        <w:footnoteRef/>
      </w:r>
      <w:r w:rsidRPr="000E7E27">
        <w:t xml:space="preserve"> </w:t>
      </w:r>
      <w:hyperlink r:id="rId2" w:anchor="co_pp_sp_350_1561" w:history="1">
        <w:r w:rsidRPr="000E7E27">
          <w:rPr>
            <w:i/>
            <w:iCs/>
          </w:rPr>
          <w:t>Astroline</w:t>
        </w:r>
        <w:r w:rsidRPr="000E7E27">
          <w:t>, 857 F.2d at 1561</w:t>
        </w:r>
      </w:hyperlink>
      <w:r w:rsidRPr="000E7E27">
        <w:t xml:space="preserve">; </w:t>
      </w:r>
      <w:hyperlink r:id="rId3" w:anchor="co_pp_7fdd00001ca15" w:history="1">
        <w:r w:rsidRPr="000E7E27">
          <w:t>47 U.S.C. § 309(e)</w:t>
        </w:r>
      </w:hyperlink>
      <w:r w:rsidRPr="000E7E27">
        <w:t>.</w:t>
      </w:r>
    </w:p>
  </w:footnote>
  <w:footnote w:id="69">
    <w:p w:rsidR="00AD59BE" w:rsidRPr="00FD452C" w:rsidP="00AD59BE" w14:paraId="7AA86333" w14:textId="77777777">
      <w:pPr>
        <w:spacing w:after="120"/>
        <w:rPr>
          <w:sz w:val="20"/>
        </w:rPr>
      </w:pPr>
      <w:r>
        <w:rPr>
          <w:rStyle w:val="FootnoteReference"/>
        </w:rPr>
        <w:footnoteRef/>
      </w:r>
      <w:r>
        <w:t xml:space="preserve"> </w:t>
      </w:r>
      <w:r w:rsidRPr="00421633">
        <w:rPr>
          <w:i/>
          <w:sz w:val="20"/>
          <w:bdr w:val="none" w:sz="0" w:space="0" w:color="auto" w:frame="1"/>
          <w:shd w:val="clear" w:color="auto" w:fill="FFFFFF"/>
        </w:rPr>
        <w:t>Id</w:t>
      </w:r>
      <w:r w:rsidRPr="008D171E">
        <w:rPr>
          <w:sz w:val="20"/>
          <w:bdr w:val="none" w:sz="0" w:space="0" w:color="auto" w:frame="1"/>
          <w:shd w:val="clear" w:color="auto" w:fill="FFFFFF"/>
        </w:rPr>
        <w:t>. § 309(d)</w:t>
      </w:r>
      <w:r w:rsidRPr="008D171E">
        <w:rPr>
          <w:color w:val="3D3D3D"/>
          <w:sz w:val="20"/>
          <w:shd w:val="clear" w:color="auto" w:fill="FFFFFF"/>
        </w:rPr>
        <w:t>; </w:t>
      </w:r>
      <w:r w:rsidRPr="008D171E">
        <w:rPr>
          <w:sz w:val="20"/>
          <w:bdr w:val="none" w:sz="0" w:space="0" w:color="auto" w:frame="1"/>
          <w:shd w:val="clear" w:color="auto" w:fill="FFFFFF"/>
        </w:rPr>
        <w:t>47 CFR § 73.3584</w:t>
      </w:r>
      <w:r>
        <w:rPr>
          <w:sz w:val="20"/>
          <w:bdr w:val="none" w:sz="0" w:space="0" w:color="auto" w:frame="1"/>
          <w:shd w:val="clear" w:color="auto" w:fill="FFFFFF"/>
        </w:rPr>
        <w:t>.</w:t>
      </w:r>
    </w:p>
  </w:footnote>
  <w:footnote w:id="70">
    <w:p w:rsidR="00AD59BE" w:rsidP="00AD59BE" w14:paraId="28F28ADF" w14:textId="77777777">
      <w:pPr>
        <w:pStyle w:val="FootnoteText"/>
        <w:widowControl w:val="0"/>
      </w:pPr>
      <w:r>
        <w:rPr>
          <w:rStyle w:val="FootnoteReference"/>
        </w:rPr>
        <w:footnoteRef/>
      </w:r>
      <w:r>
        <w:t xml:space="preserve"> </w:t>
      </w:r>
      <w:r w:rsidRPr="008D171E">
        <w:rPr>
          <w:bdr w:val="none" w:sz="0" w:space="0" w:color="auto" w:frame="1"/>
          <w:shd w:val="clear" w:color="auto" w:fill="FFFFFF"/>
        </w:rPr>
        <w:t>47 U.S.C. § 309(d)</w:t>
      </w:r>
      <w:r>
        <w:rPr>
          <w:color w:val="3D3D3D"/>
          <w:shd w:val="clear" w:color="auto" w:fill="FFFFFF"/>
        </w:rPr>
        <w:t>.</w:t>
      </w:r>
    </w:p>
  </w:footnote>
  <w:footnote w:id="71">
    <w:p w:rsidR="00AD59BE" w:rsidRPr="00393B8E" w:rsidP="00AD59BE" w14:paraId="7BC663DA" w14:textId="77777777">
      <w:pPr>
        <w:pStyle w:val="FootnoteText"/>
        <w:widowControl w:val="0"/>
      </w:pPr>
      <w:r>
        <w:rPr>
          <w:rStyle w:val="FootnoteReference"/>
        </w:rPr>
        <w:footnoteRef/>
      </w:r>
      <w:r>
        <w:t xml:space="preserve"> </w:t>
      </w:r>
      <w:r>
        <w:rPr>
          <w:i/>
        </w:rPr>
        <w:t>Id.</w:t>
      </w:r>
    </w:p>
  </w:footnote>
  <w:footnote w:id="72">
    <w:p w:rsidR="00AD59BE" w:rsidP="00AD59BE" w14:paraId="04F1900B" w14:textId="77777777">
      <w:pPr>
        <w:pStyle w:val="FootnoteText"/>
        <w:widowControl w:val="0"/>
      </w:pPr>
      <w:r>
        <w:rPr>
          <w:rStyle w:val="FootnoteReference"/>
        </w:rPr>
        <w:footnoteRef/>
      </w:r>
      <w:r>
        <w:t xml:space="preserve"> </w:t>
      </w:r>
      <w:r w:rsidRPr="00393B8E">
        <w:rPr>
          <w:i/>
          <w:iCs/>
          <w:snapToGrid w:val="0"/>
          <w:kern w:val="28"/>
          <w:bdr w:val="none" w:sz="0" w:space="0" w:color="auto" w:frame="1"/>
          <w:shd w:val="clear" w:color="auto" w:fill="FFFFFF"/>
        </w:rPr>
        <w:t>See, e.g.</w:t>
      </w:r>
      <w:r>
        <w:rPr>
          <w:iCs/>
          <w:snapToGrid w:val="0"/>
          <w:kern w:val="28"/>
          <w:bdr w:val="none" w:sz="0" w:space="0" w:color="auto" w:frame="1"/>
          <w:shd w:val="clear" w:color="auto" w:fill="FFFFFF"/>
        </w:rPr>
        <w:t>,</w:t>
      </w:r>
      <w:r>
        <w:rPr>
          <w:i/>
          <w:iCs/>
          <w:snapToGrid w:val="0"/>
          <w:kern w:val="28"/>
          <w:bdr w:val="none" w:sz="0" w:space="0" w:color="auto" w:frame="1"/>
          <w:shd w:val="clear" w:color="auto" w:fill="FFFFFF"/>
        </w:rPr>
        <w:t xml:space="preserve"> </w:t>
      </w:r>
      <w:r w:rsidRPr="00393B8E">
        <w:rPr>
          <w:i/>
          <w:iCs/>
          <w:snapToGrid w:val="0"/>
          <w:kern w:val="28"/>
          <w:bdr w:val="none" w:sz="0" w:space="0" w:color="auto" w:frame="1"/>
          <w:shd w:val="clear" w:color="auto" w:fill="FFFFFF"/>
        </w:rPr>
        <w:t>Lujan v. Defenders of Wildlife</w:t>
      </w:r>
      <w:r w:rsidRPr="00393B8E">
        <w:rPr>
          <w:snapToGrid w:val="0"/>
          <w:kern w:val="28"/>
          <w:bdr w:val="none" w:sz="0" w:space="0" w:color="auto" w:frame="1"/>
          <w:shd w:val="clear" w:color="auto" w:fill="FFFFFF"/>
        </w:rPr>
        <w:t>, 504 U.S. 555 (1992)</w:t>
      </w:r>
      <w:r w:rsidRPr="00393B8E">
        <w:rPr>
          <w:snapToGrid w:val="0"/>
          <w:kern w:val="28"/>
          <w:shd w:val="clear" w:color="auto" w:fill="FFFFFF"/>
        </w:rPr>
        <w:t>; </w:t>
      </w:r>
      <w:r w:rsidRPr="00393B8E">
        <w:rPr>
          <w:i/>
          <w:iCs/>
          <w:snapToGrid w:val="0"/>
          <w:kern w:val="28"/>
          <w:bdr w:val="none" w:sz="0" w:space="0" w:color="auto" w:frame="1"/>
          <w:shd w:val="clear" w:color="auto" w:fill="FFFFFF"/>
        </w:rPr>
        <w:t>MCI Communications Corp</w:t>
      </w:r>
      <w:r>
        <w:rPr>
          <w:i/>
          <w:iCs/>
          <w:snapToGrid w:val="0"/>
          <w:kern w:val="28"/>
          <w:bdr w:val="none" w:sz="0" w:space="0" w:color="auto" w:frame="1"/>
          <w:shd w:val="clear" w:color="auto" w:fill="FFFFFF"/>
        </w:rPr>
        <w:t>oration</w:t>
      </w:r>
      <w:r w:rsidRPr="00393B8E">
        <w:rPr>
          <w:snapToGrid w:val="0"/>
          <w:kern w:val="28"/>
          <w:bdr w:val="none" w:sz="0" w:space="0" w:color="auto" w:frame="1"/>
          <w:shd w:val="clear" w:color="auto" w:fill="FFFFFF"/>
        </w:rPr>
        <w:t>, Memorandum</w:t>
      </w:r>
      <w:r w:rsidRPr="00393B8E">
        <w:rPr>
          <w:snapToGrid w:val="0"/>
          <w:kern w:val="28"/>
          <w:u w:val="single"/>
          <w:bdr w:val="none" w:sz="0" w:space="0" w:color="auto" w:frame="1"/>
          <w:shd w:val="clear" w:color="auto" w:fill="FFFFFF"/>
        </w:rPr>
        <w:t xml:space="preserve"> </w:t>
      </w:r>
      <w:r w:rsidRPr="004F4A0D">
        <w:rPr>
          <w:snapToGrid w:val="0"/>
          <w:kern w:val="28"/>
          <w:bdr w:val="none" w:sz="0" w:space="0" w:color="auto" w:frame="1"/>
          <w:shd w:val="clear" w:color="auto" w:fill="FFFFFF"/>
        </w:rPr>
        <w:t>Opinion and Order, 12 FCC Rcd 7790 (1997)</w:t>
      </w:r>
      <w:r w:rsidRPr="00393B8E">
        <w:rPr>
          <w:snapToGrid w:val="0"/>
          <w:kern w:val="28"/>
          <w:shd w:val="clear" w:color="auto" w:fill="FFFFFF"/>
        </w:rPr>
        <w:t>; </w:t>
      </w:r>
      <w:r w:rsidRPr="00393B8E">
        <w:rPr>
          <w:i/>
          <w:iCs/>
          <w:snapToGrid w:val="0"/>
          <w:kern w:val="28"/>
          <w:bdr w:val="none" w:sz="0" w:space="0" w:color="auto" w:frame="1"/>
          <w:shd w:val="clear" w:color="auto" w:fill="FFFFFF"/>
        </w:rPr>
        <w:t>Timothy K. Brady</w:t>
      </w:r>
      <w:r w:rsidRPr="00393B8E">
        <w:rPr>
          <w:snapToGrid w:val="0"/>
          <w:kern w:val="28"/>
          <w:bdr w:val="none" w:sz="0" w:space="0" w:color="auto" w:frame="1"/>
          <w:shd w:val="clear" w:color="auto" w:fill="FFFFFF"/>
        </w:rPr>
        <w:t>, Letter Order, 20 FCC Rcd 11987 (</w:t>
      </w:r>
      <w:r>
        <w:rPr>
          <w:snapToGrid w:val="0"/>
          <w:kern w:val="28"/>
          <w:bdr w:val="none" w:sz="0" w:space="0" w:color="auto" w:frame="1"/>
          <w:shd w:val="clear" w:color="auto" w:fill="FFFFFF"/>
        </w:rPr>
        <w:t>MB</w:t>
      </w:r>
      <w:r w:rsidRPr="00393B8E">
        <w:rPr>
          <w:snapToGrid w:val="0"/>
          <w:kern w:val="28"/>
          <w:bdr w:val="none" w:sz="0" w:space="0" w:color="auto" w:frame="1"/>
          <w:shd w:val="clear" w:color="auto" w:fill="FFFFFF"/>
        </w:rPr>
        <w:t xml:space="preserve"> 2005)</w:t>
      </w:r>
      <w:r w:rsidRPr="00393B8E">
        <w:rPr>
          <w:snapToGrid w:val="0"/>
          <w:kern w:val="28"/>
          <w:shd w:val="clear" w:color="auto" w:fill="FFFFFF"/>
        </w:rPr>
        <w:t>.</w:t>
      </w:r>
    </w:p>
  </w:footnote>
  <w:footnote w:id="73">
    <w:p w:rsidR="00AD59BE" w:rsidRPr="00C43DE2" w:rsidP="00AD59BE" w14:paraId="422FB490" w14:textId="77777777">
      <w:pPr>
        <w:pStyle w:val="FootnoteText"/>
        <w:widowControl w:val="0"/>
      </w:pPr>
      <w:r w:rsidRPr="000E7E27">
        <w:rPr>
          <w:rStyle w:val="FootnoteReference"/>
        </w:rPr>
        <w:footnoteRef/>
      </w:r>
      <w:r w:rsidRPr="000E7E27">
        <w:t xml:space="preserve"> </w:t>
      </w:r>
      <w:r w:rsidRPr="000E7E27">
        <w:rPr>
          <w:i/>
          <w:iCs/>
        </w:rPr>
        <w:t>Id.</w:t>
      </w:r>
      <w:r w:rsidRPr="000E7E27">
        <w:t xml:space="preserve"> (quoting </w:t>
      </w:r>
      <w:r w:rsidRPr="000E7E27">
        <w:rPr>
          <w:i/>
          <w:iCs/>
        </w:rPr>
        <w:t>Citizens for Jazz</w:t>
      </w:r>
      <w:r w:rsidRPr="000E7E27">
        <w:t>, 775 F.2d at 394).</w:t>
      </w:r>
    </w:p>
  </w:footnote>
  <w:footnote w:id="74">
    <w:p w:rsidR="00AD59BE" w:rsidRPr="00393B8E" w:rsidP="00AD59BE" w14:paraId="3B2EC57D" w14:textId="77777777">
      <w:pPr>
        <w:spacing w:after="120"/>
        <w:rPr>
          <w:sz w:val="20"/>
        </w:rPr>
      </w:pPr>
      <w:r>
        <w:rPr>
          <w:rStyle w:val="FootnoteReference"/>
        </w:rPr>
        <w:footnoteRef/>
      </w:r>
      <w:r>
        <w:t xml:space="preserve"> </w:t>
      </w:r>
      <w:r w:rsidRPr="00B2127A">
        <w:rPr>
          <w:rStyle w:val="Emphasis"/>
          <w:sz w:val="20"/>
          <w:bdr w:val="none" w:sz="0" w:space="0" w:color="auto" w:frame="1"/>
          <w:shd w:val="clear" w:color="auto" w:fill="FFFFFF"/>
        </w:rPr>
        <w:t>See, e.g.</w:t>
      </w:r>
      <w:r w:rsidRPr="00421633">
        <w:rPr>
          <w:rStyle w:val="Emphasis"/>
          <w:i w:val="0"/>
          <w:sz w:val="20"/>
          <w:bdr w:val="none" w:sz="0" w:space="0" w:color="auto" w:frame="1"/>
          <w:shd w:val="clear" w:color="auto" w:fill="FFFFFF"/>
        </w:rPr>
        <w:t xml:space="preserve">, </w:t>
      </w:r>
      <w:r w:rsidRPr="00B2127A">
        <w:rPr>
          <w:rStyle w:val="Emphasis"/>
          <w:sz w:val="20"/>
          <w:bdr w:val="none" w:sz="0" w:space="0" w:color="auto" w:frame="1"/>
        </w:rPr>
        <w:t>Entercom License, LLC</w:t>
      </w:r>
      <w:r w:rsidRPr="00421633">
        <w:rPr>
          <w:rStyle w:val="Emphasis"/>
          <w:i w:val="0"/>
          <w:sz w:val="20"/>
          <w:bdr w:val="none" w:sz="0" w:space="0" w:color="auto" w:frame="1"/>
        </w:rPr>
        <w:t>,</w:t>
      </w:r>
      <w:r w:rsidRPr="00B2127A">
        <w:rPr>
          <w:rStyle w:val="Emphasis"/>
          <w:sz w:val="20"/>
          <w:bdr w:val="none" w:sz="0" w:space="0" w:color="auto" w:frame="1"/>
        </w:rPr>
        <w:t xml:space="preserve"> </w:t>
      </w:r>
      <w:r w:rsidRPr="00833BC2">
        <w:rPr>
          <w:rStyle w:val="Emphasis"/>
          <w:i w:val="0"/>
          <w:sz w:val="20"/>
          <w:bdr w:val="none" w:sz="0" w:space="0" w:color="auto" w:frame="1"/>
        </w:rPr>
        <w:t>Hearing Designation Order,</w:t>
      </w:r>
      <w:r w:rsidRPr="00654518">
        <w:rPr>
          <w:rStyle w:val="Emphasis"/>
          <w:sz w:val="20"/>
          <w:bdr w:val="none" w:sz="0" w:space="0" w:color="auto" w:frame="1"/>
        </w:rPr>
        <w:t xml:space="preserve"> </w:t>
      </w:r>
      <w:r w:rsidRPr="00833BC2">
        <w:rPr>
          <w:rStyle w:val="Emphasis"/>
          <w:i w:val="0"/>
          <w:sz w:val="20"/>
          <w:bdr w:val="none" w:sz="0" w:space="0" w:color="auto" w:frame="1"/>
        </w:rPr>
        <w:t>31 FCC Rcd 12196, 12205 (2016)</w:t>
      </w:r>
      <w:r>
        <w:rPr>
          <w:rStyle w:val="Emphasis"/>
          <w:i w:val="0"/>
          <w:sz w:val="20"/>
          <w:bdr w:val="none" w:sz="0" w:space="0" w:color="auto" w:frame="1"/>
        </w:rPr>
        <w:t xml:space="preserve"> (</w:t>
      </w:r>
      <w:r w:rsidRPr="00421633">
        <w:rPr>
          <w:rStyle w:val="Emphasis"/>
          <w:sz w:val="20"/>
          <w:bdr w:val="none" w:sz="0" w:space="0" w:color="auto" w:frame="1"/>
        </w:rPr>
        <w:t>Entercom</w:t>
      </w:r>
      <w:r>
        <w:rPr>
          <w:rStyle w:val="Emphasis"/>
          <w:i w:val="0"/>
          <w:sz w:val="20"/>
          <w:bdr w:val="none" w:sz="0" w:space="0" w:color="auto" w:frame="1"/>
        </w:rPr>
        <w:t>)</w:t>
      </w:r>
      <w:r w:rsidRPr="00833BC2">
        <w:rPr>
          <w:rStyle w:val="Emphasis"/>
          <w:i w:val="0"/>
          <w:sz w:val="20"/>
          <w:bdr w:val="none" w:sz="0" w:space="0" w:color="auto" w:frame="1"/>
          <w:shd w:val="clear" w:color="auto" w:fill="FFFFFF"/>
        </w:rPr>
        <w:t>;</w:t>
      </w:r>
      <w:r>
        <w:rPr>
          <w:rStyle w:val="Emphasis"/>
          <w:i w:val="0"/>
          <w:sz w:val="20"/>
          <w:bdr w:val="none" w:sz="0" w:space="0" w:color="auto" w:frame="1"/>
          <w:shd w:val="clear" w:color="auto" w:fill="FFFFFF"/>
        </w:rPr>
        <w:t xml:space="preserve"> </w:t>
      </w:r>
      <w:r w:rsidRPr="00B2127A">
        <w:rPr>
          <w:rStyle w:val="Emphasis"/>
          <w:sz w:val="20"/>
          <w:bdr w:val="none" w:sz="0" w:space="0" w:color="auto" w:frame="1"/>
          <w:shd w:val="clear" w:color="auto" w:fill="FFFFFF"/>
        </w:rPr>
        <w:t>Melodie Virtue, Esq.</w:t>
      </w:r>
      <w:r w:rsidRPr="00421633">
        <w:rPr>
          <w:rStyle w:val="Emphasis"/>
          <w:i w:val="0"/>
          <w:sz w:val="20"/>
          <w:bdr w:val="none" w:sz="0" w:space="0" w:color="auto" w:frame="1"/>
          <w:shd w:val="clear" w:color="auto" w:fill="FFFFFF"/>
        </w:rPr>
        <w:t>,</w:t>
      </w:r>
      <w:r w:rsidRPr="00B2127A">
        <w:rPr>
          <w:sz w:val="20"/>
          <w:bdr w:val="none" w:sz="0" w:space="0" w:color="auto" w:frame="1"/>
          <w:shd w:val="clear" w:color="auto" w:fill="FFFFFF"/>
        </w:rPr>
        <w:t> Letter Decision, 30 FCC Rcd 6045 (MB 2015)</w:t>
      </w:r>
      <w:r>
        <w:rPr>
          <w:sz w:val="20"/>
          <w:bdr w:val="none" w:sz="0" w:space="0" w:color="auto" w:frame="1"/>
          <w:shd w:val="clear" w:color="auto" w:fill="FFFFFF"/>
        </w:rPr>
        <w:t>.</w:t>
      </w:r>
    </w:p>
  </w:footnote>
  <w:footnote w:id="75">
    <w:p w:rsidR="00AD59BE" w:rsidP="00AD59BE" w14:paraId="0C5B29B3" w14:textId="77777777">
      <w:pPr>
        <w:pStyle w:val="FootnoteText"/>
        <w:widowControl w:val="0"/>
      </w:pPr>
      <w:r>
        <w:rPr>
          <w:rStyle w:val="FootnoteReference"/>
        </w:rPr>
        <w:footnoteRef/>
      </w:r>
      <w:r>
        <w:t xml:space="preserve"> </w:t>
      </w:r>
      <w:r w:rsidRPr="0077285D">
        <w:rPr>
          <w:rStyle w:val="Emphasis"/>
          <w:bdr w:val="none" w:sz="0" w:space="0" w:color="auto" w:frame="1"/>
          <w:shd w:val="clear" w:color="auto" w:fill="FFFFFF"/>
        </w:rPr>
        <w:t>See Rainbow/PUSH Coalition</w:t>
      </w:r>
      <w:r>
        <w:rPr>
          <w:rStyle w:val="Emphasis"/>
          <w:bdr w:val="none" w:sz="0" w:space="0" w:color="auto" w:frame="1"/>
          <w:shd w:val="clear" w:color="auto" w:fill="FFFFFF"/>
        </w:rPr>
        <w:t xml:space="preserve"> v. FCC</w:t>
      </w:r>
      <w:r w:rsidRPr="0077285D">
        <w:rPr>
          <w:bdr w:val="none" w:sz="0" w:space="0" w:color="auto" w:frame="1"/>
          <w:shd w:val="clear" w:color="auto" w:fill="FFFFFF"/>
        </w:rPr>
        <w:t xml:space="preserve">, 330 F.3d </w:t>
      </w:r>
      <w:r>
        <w:rPr>
          <w:bdr w:val="none" w:sz="0" w:space="0" w:color="auto" w:frame="1"/>
          <w:shd w:val="clear" w:color="auto" w:fill="FFFFFF"/>
        </w:rPr>
        <w:t>539, 542-43</w:t>
      </w:r>
      <w:r w:rsidRPr="0077285D">
        <w:rPr>
          <w:bdr w:val="none" w:sz="0" w:space="0" w:color="auto" w:frame="1"/>
          <w:shd w:val="clear" w:color="auto" w:fill="FFFFFF"/>
        </w:rPr>
        <w:t xml:space="preserve"> (D.C. Cir. 200</w:t>
      </w:r>
      <w:r>
        <w:rPr>
          <w:bdr w:val="none" w:sz="0" w:space="0" w:color="auto" w:frame="1"/>
          <w:shd w:val="clear" w:color="auto" w:fill="FFFFFF"/>
        </w:rPr>
        <w:t>3</w:t>
      </w:r>
      <w:r w:rsidRPr="0077285D">
        <w:rPr>
          <w:bdr w:val="none" w:sz="0" w:space="0" w:color="auto" w:frame="1"/>
          <w:shd w:val="clear" w:color="auto" w:fill="FFFFFF"/>
        </w:rPr>
        <w:t>)</w:t>
      </w:r>
      <w:r w:rsidRPr="0077285D">
        <w:rPr>
          <w:shd w:val="clear" w:color="auto" w:fill="FFFFFF"/>
        </w:rPr>
        <w:t xml:space="preserve">. </w:t>
      </w:r>
      <w:r>
        <w:rPr>
          <w:shd w:val="clear" w:color="auto" w:fill="FFFFFF"/>
        </w:rPr>
        <w:t xml:space="preserve"> </w:t>
      </w:r>
    </w:p>
  </w:footnote>
  <w:footnote w:id="76">
    <w:p w:rsidR="00AD59BE" w:rsidP="00AD59BE" w14:paraId="205B70FA" w14:textId="77777777">
      <w:pPr>
        <w:pStyle w:val="FootnoteText"/>
        <w:widowControl w:val="0"/>
      </w:pPr>
      <w:r>
        <w:rPr>
          <w:rStyle w:val="FootnoteReference"/>
        </w:rPr>
        <w:footnoteRef/>
      </w:r>
      <w:r>
        <w:t xml:space="preserve"> </w:t>
      </w:r>
      <w:r w:rsidRPr="002A4CC5">
        <w:rPr>
          <w:i/>
        </w:rPr>
        <w:t>Entercom</w:t>
      </w:r>
      <w:r w:rsidRPr="00421633">
        <w:t>,</w:t>
      </w:r>
      <w:r>
        <w:t xml:space="preserve"> 31 FCC Rcd at 12206.  </w:t>
      </w:r>
    </w:p>
  </w:footnote>
  <w:footnote w:id="77">
    <w:p w:rsidR="00AD59BE" w:rsidP="00AD59BE" w14:paraId="6F09DC17" w14:textId="77777777">
      <w:pPr>
        <w:pStyle w:val="FootnoteText"/>
        <w:widowControl w:val="0"/>
      </w:pPr>
      <w:r>
        <w:rPr>
          <w:rStyle w:val="FootnoteReference"/>
        </w:rPr>
        <w:footnoteRef/>
      </w:r>
      <w:r>
        <w:t xml:space="preserve"> </w:t>
      </w:r>
      <w:r>
        <w:rPr>
          <w:i/>
        </w:rPr>
        <w:t>Applications of Tribune Media Company (Transferor) and Nexstar Media Group, Inc. (Transferee) et al.</w:t>
      </w:r>
      <w:r>
        <w:t>, Memorandum Opinion and Order, FCC 19-89 (Sep. 16, 2019) at 14, para. 25 (</w:t>
      </w:r>
      <w:r>
        <w:rPr>
          <w:i/>
        </w:rPr>
        <w:t>Nexstar-Tribune Order</w:t>
      </w:r>
      <w:r>
        <w:t xml:space="preserve">); </w:t>
      </w:r>
      <w:r>
        <w:rPr>
          <w:i/>
        </w:rPr>
        <w:t xml:space="preserve">see also </w:t>
      </w:r>
      <w:r>
        <w:rPr>
          <w:i/>
          <w:iCs/>
        </w:rPr>
        <w:t>Applications</w:t>
      </w:r>
      <w:r w:rsidRPr="009C53EE">
        <w:rPr>
          <w:i/>
          <w:iCs/>
        </w:rPr>
        <w:t xml:space="preserve"> to Transfer Control of License Subsidiaries of Media General, Inc., to Nexstar Broadcasting, Inc.</w:t>
      </w:r>
      <w:r w:rsidRPr="009C53EE">
        <w:t>,</w:t>
      </w:r>
      <w:r>
        <w:t xml:space="preserve"> </w:t>
      </w:r>
      <w:r w:rsidRPr="009C53EE">
        <w:t>Memorandum Opinion and Order, 32 FCC Rcd 183, 1</w:t>
      </w:r>
      <w:r>
        <w:t xml:space="preserve">90, </w:t>
      </w:r>
      <w:r w:rsidRPr="005C18B5">
        <w:t>para. 18</w:t>
      </w:r>
      <w:r>
        <w:t xml:space="preserve"> </w:t>
      </w:r>
      <w:r w:rsidRPr="009C53EE">
        <w:t>(MB/WTB 2017)</w:t>
      </w:r>
      <w:r>
        <w:t xml:space="preserve"> (</w:t>
      </w:r>
      <w:r>
        <w:rPr>
          <w:i/>
        </w:rPr>
        <w:t>Nexstar-Media General Order</w:t>
      </w:r>
      <w:r>
        <w:t>)</w:t>
      </w:r>
      <w:r>
        <w:rPr>
          <w:i/>
        </w:rPr>
        <w:t xml:space="preserve"> </w:t>
      </w:r>
      <w:r>
        <w:t>(organizational standing is “geographically limited to the market with respect to which viewer membership is identified in its declaration”).</w:t>
      </w:r>
    </w:p>
  </w:footnote>
  <w:footnote w:id="78">
    <w:p w:rsidR="00AD59BE" w:rsidP="00AD59BE" w14:paraId="684D642D" w14:textId="77777777">
      <w:pPr>
        <w:pStyle w:val="FootnoteText"/>
        <w:widowControl w:val="0"/>
      </w:pPr>
      <w:r>
        <w:rPr>
          <w:rStyle w:val="FootnoteReference"/>
        </w:rPr>
        <w:footnoteRef/>
      </w:r>
      <w:r>
        <w:t xml:space="preserve"> 47 U.S.C. § 309(d); 47 CFR § 73.3584.</w:t>
      </w:r>
    </w:p>
  </w:footnote>
  <w:footnote w:id="79">
    <w:p w:rsidR="00AD59BE" w:rsidRPr="000975A1" w:rsidP="00AD59BE" w14:paraId="7C08FC11" w14:textId="77777777">
      <w:pPr>
        <w:pStyle w:val="FootnoteText"/>
        <w:widowControl w:val="0"/>
      </w:pPr>
      <w:r>
        <w:rPr>
          <w:rStyle w:val="FootnoteReference"/>
        </w:rPr>
        <w:footnoteRef/>
      </w:r>
      <w:r>
        <w:t xml:space="preserve"> We note that the Television Applicants do not argue that Beauford lacks standing, unlike their specific opposition to the standing of ATVA and Common Cause et al.  </w:t>
      </w:r>
      <w:r>
        <w:rPr>
          <w:i/>
        </w:rPr>
        <w:t xml:space="preserve">See </w:t>
      </w:r>
      <w:r>
        <w:t>Consolidated Opposition at 5-7.</w:t>
      </w:r>
    </w:p>
  </w:footnote>
  <w:footnote w:id="80">
    <w:p w:rsidR="00AD59BE" w:rsidP="00AD59BE" w14:paraId="7FBB23B0" w14:textId="77777777">
      <w:pPr>
        <w:pStyle w:val="FootnoteText"/>
        <w:widowControl w:val="0"/>
      </w:pPr>
      <w:r>
        <w:rPr>
          <w:rStyle w:val="FootnoteReference"/>
        </w:rPr>
        <w:footnoteRef/>
      </w:r>
      <w:r>
        <w:t xml:space="preserve"> Common Cause et al. Petition, Declaration of Bob Daley.</w:t>
      </w:r>
    </w:p>
  </w:footnote>
  <w:footnote w:id="81">
    <w:p w:rsidR="00AD59BE" w:rsidP="00AD59BE" w14:paraId="49551F88" w14:textId="77777777">
      <w:pPr>
        <w:pStyle w:val="FootnoteText"/>
        <w:widowControl w:val="0"/>
      </w:pPr>
      <w:r>
        <w:rPr>
          <w:rStyle w:val="FootnoteReference"/>
        </w:rPr>
        <w:footnoteRef/>
      </w:r>
      <w:r>
        <w:t xml:space="preserve"> </w:t>
      </w:r>
      <w:r w:rsidRPr="00421633">
        <w:rPr>
          <w:i/>
        </w:rPr>
        <w:t>Id</w:t>
      </w:r>
      <w:r>
        <w:t>.</w:t>
      </w:r>
    </w:p>
  </w:footnote>
  <w:footnote w:id="82">
    <w:p w:rsidR="00AD59BE" w:rsidRPr="00EB0AA0" w:rsidP="00AD59BE" w14:paraId="61A78357" w14:textId="77777777">
      <w:pPr>
        <w:spacing w:after="120"/>
        <w:rPr>
          <w:color w:val="000000"/>
          <w:sz w:val="20"/>
          <w:bdr w:val="none" w:sz="0" w:space="0" w:color="auto" w:frame="1"/>
          <w:shd w:val="clear" w:color="auto" w:fill="FFFFFF"/>
        </w:rPr>
      </w:pPr>
      <w:r>
        <w:rPr>
          <w:rStyle w:val="FootnoteReference"/>
        </w:rPr>
        <w:footnoteRef/>
      </w:r>
      <w:r>
        <w:t xml:space="preserve"> </w:t>
      </w:r>
      <w:r w:rsidRPr="00BC4208">
        <w:rPr>
          <w:sz w:val="20"/>
        </w:rPr>
        <w:t xml:space="preserve">Consolidated Opposition at 5-6.  </w:t>
      </w:r>
      <w:r w:rsidRPr="00CB16FB">
        <w:rPr>
          <w:rStyle w:val="cosearchterm"/>
          <w:bCs/>
          <w:i/>
          <w:iCs/>
          <w:color w:val="000000"/>
          <w:sz w:val="20"/>
          <w:bdr w:val="none" w:sz="0" w:space="0" w:color="auto" w:frame="1"/>
          <w:shd w:val="clear" w:color="auto" w:fill="FFFFFF"/>
        </w:rPr>
        <w:t>See CHET-5</w:t>
      </w:r>
      <w:r w:rsidRPr="00CB16FB">
        <w:rPr>
          <w:rStyle w:val="cosearchterm"/>
          <w:b/>
          <w:bCs/>
          <w:i/>
          <w:iCs/>
          <w:color w:val="000000"/>
          <w:sz w:val="20"/>
          <w:bdr w:val="none" w:sz="0" w:space="0" w:color="auto" w:frame="1"/>
          <w:shd w:val="clear" w:color="auto" w:fill="FFFFFF"/>
        </w:rPr>
        <w:t xml:space="preserve"> </w:t>
      </w:r>
      <w:r w:rsidRPr="00CB16FB">
        <w:rPr>
          <w:rStyle w:val="Emphasis"/>
          <w:color w:val="000000"/>
          <w:sz w:val="20"/>
          <w:bdr w:val="none" w:sz="0" w:space="0" w:color="auto" w:frame="1"/>
          <w:shd w:val="clear" w:color="auto" w:fill="FFFFFF"/>
        </w:rPr>
        <w:t>Broadcasting, L.P.</w:t>
      </w:r>
      <w:r w:rsidRPr="00CB16FB">
        <w:rPr>
          <w:color w:val="000000"/>
          <w:sz w:val="20"/>
          <w:bdr w:val="none" w:sz="0" w:space="0" w:color="auto" w:frame="1"/>
          <w:shd w:val="clear" w:color="auto" w:fill="FFFFFF"/>
        </w:rPr>
        <w:t>, Memorandum Opinion and Order, 14 FCC Rcd 13041, 13042 (1999)</w:t>
      </w:r>
      <w:r w:rsidRPr="00BC2ED0">
        <w:rPr>
          <w:color w:val="000000"/>
          <w:sz w:val="20"/>
          <w:shd w:val="clear" w:color="auto" w:fill="FFFFFF"/>
        </w:rPr>
        <w:t> (“[W]e will</w:t>
      </w:r>
      <w:r w:rsidRPr="000B338F">
        <w:rPr>
          <w:color w:val="000000"/>
          <w:sz w:val="20"/>
          <w:shd w:val="clear" w:color="auto" w:fill="FFFFFF"/>
        </w:rPr>
        <w:t xml:space="preserve"> accord party-in-interest status to a pe</w:t>
      </w:r>
      <w:r w:rsidRPr="00802A2A">
        <w:rPr>
          <w:color w:val="000000"/>
          <w:sz w:val="20"/>
          <w:shd w:val="clear" w:color="auto" w:fill="FFFFFF"/>
        </w:rPr>
        <w:t xml:space="preserve">titioner who demonstrates </w:t>
      </w:r>
      <w:r w:rsidRPr="00802A2A">
        <w:rPr>
          <w:i/>
          <w:color w:val="000000"/>
          <w:sz w:val="20"/>
          <w:shd w:val="clear" w:color="auto" w:fill="FFFFFF"/>
        </w:rPr>
        <w:t>either</w:t>
      </w:r>
      <w:r w:rsidRPr="00802A2A">
        <w:rPr>
          <w:color w:val="000000"/>
          <w:sz w:val="20"/>
          <w:shd w:val="clear" w:color="auto" w:fill="FFFFFF"/>
        </w:rPr>
        <w:t xml:space="preserve"> residence in the station’s service area </w:t>
      </w:r>
      <w:r w:rsidRPr="00802A2A">
        <w:rPr>
          <w:i/>
          <w:color w:val="000000"/>
          <w:sz w:val="20"/>
          <w:shd w:val="clear" w:color="auto" w:fill="FFFFFF"/>
        </w:rPr>
        <w:t>or</w:t>
      </w:r>
      <w:r w:rsidRPr="00802A2A">
        <w:rPr>
          <w:color w:val="000000"/>
          <w:sz w:val="20"/>
          <w:shd w:val="clear" w:color="auto" w:fill="FFFFFF"/>
        </w:rPr>
        <w:t xml:space="preserve"> that the petitioner listens to or views the station regularly . . . .”) (emphasis added).  </w:t>
      </w:r>
      <w:r w:rsidRPr="00802A2A">
        <w:rPr>
          <w:i/>
          <w:color w:val="000000"/>
          <w:sz w:val="20"/>
          <w:shd w:val="clear" w:color="auto" w:fill="FFFFFF"/>
        </w:rPr>
        <w:t>See also</w:t>
      </w:r>
      <w:r w:rsidRPr="00802A2A">
        <w:rPr>
          <w:color w:val="000000"/>
          <w:sz w:val="20"/>
          <w:shd w:val="clear" w:color="auto" w:fill="FFFFFF"/>
        </w:rPr>
        <w:t xml:space="preserve"> </w:t>
      </w:r>
      <w:r w:rsidRPr="00802A2A">
        <w:rPr>
          <w:rStyle w:val="Emphasis"/>
          <w:color w:val="000000"/>
          <w:sz w:val="20"/>
          <w:bdr w:val="none" w:sz="0" w:space="0" w:color="auto" w:frame="1"/>
          <w:shd w:val="clear" w:color="auto" w:fill="FFFFFF"/>
        </w:rPr>
        <w:t>Standing of a Party to Petition to Deny a Broadcast Application</w:t>
      </w:r>
      <w:r w:rsidRPr="00802A2A">
        <w:rPr>
          <w:color w:val="000000"/>
          <w:sz w:val="20"/>
          <w:bdr w:val="none" w:sz="0" w:space="0" w:color="auto" w:frame="1"/>
          <w:shd w:val="clear" w:color="auto" w:fill="FFFFFF"/>
        </w:rPr>
        <w:t>, Memorandum Opinion and Order, 82 FCC 2d 89, n.68 (1980) (</w:t>
      </w:r>
      <w:r w:rsidRPr="00802A2A">
        <w:rPr>
          <w:color w:val="000000"/>
          <w:sz w:val="20"/>
          <w:shd w:val="clear" w:color="auto" w:fill="FFFFFF"/>
        </w:rPr>
        <w:t>explaining that while it is “is reasonable to presume that a local resident who petitions to deny a broadcast application is a listener or viewer of the station,” in some cases the petitioning local residents “may no longer listen to the station in question because of the shortcomings alleged as to a licensee’s performance”).</w:t>
      </w:r>
      <w:r>
        <w:t xml:space="preserve"> </w:t>
      </w:r>
    </w:p>
  </w:footnote>
  <w:footnote w:id="83">
    <w:p w:rsidR="00AD59BE" w:rsidP="00AD59BE" w14:paraId="72667FC3" w14:textId="77777777">
      <w:pPr>
        <w:pStyle w:val="FootnoteText"/>
        <w:widowControl w:val="0"/>
      </w:pPr>
      <w:r>
        <w:rPr>
          <w:rStyle w:val="FootnoteReference"/>
        </w:rPr>
        <w:footnoteRef/>
      </w:r>
      <w:r>
        <w:t xml:space="preserve"> </w:t>
      </w:r>
      <w:r>
        <w:rPr>
          <w:i/>
          <w:iCs/>
        </w:rPr>
        <w:t xml:space="preserve">See Nexstar-Tribune Order </w:t>
      </w:r>
      <w:r>
        <w:t xml:space="preserve">at 14, para. 25; </w:t>
      </w:r>
      <w:r>
        <w:rPr>
          <w:i/>
          <w:iCs/>
        </w:rPr>
        <w:t>Nexstar-Media General Order</w:t>
      </w:r>
      <w:r>
        <w:t>, 32 FCC Rcd at 190, para. 18.</w:t>
      </w:r>
    </w:p>
  </w:footnote>
  <w:footnote w:id="84">
    <w:p w:rsidR="00AD59BE" w:rsidP="00AD59BE" w14:paraId="61404FE7" w14:textId="77777777">
      <w:pPr>
        <w:pStyle w:val="FootnoteText"/>
        <w:widowControl w:val="0"/>
      </w:pPr>
      <w:r>
        <w:rPr>
          <w:rStyle w:val="FootnoteReference"/>
        </w:rPr>
        <w:footnoteRef/>
      </w:r>
      <w:r>
        <w:t xml:space="preserve"> </w:t>
      </w:r>
      <w:r>
        <w:rPr>
          <w:i/>
        </w:rPr>
        <w:t xml:space="preserve">See Nexstar-Tribune Order </w:t>
      </w:r>
      <w:r>
        <w:t xml:space="preserve">at 14, para. 25; </w:t>
      </w:r>
      <w:r>
        <w:rPr>
          <w:i/>
          <w:iCs/>
        </w:rPr>
        <w:t>Nexstar-Media General Order</w:t>
      </w:r>
      <w:r w:rsidRPr="004936AE">
        <w:t>, 32 FCC Rcd</w:t>
      </w:r>
      <w:r>
        <w:t xml:space="preserve"> at 191 n.57.</w:t>
      </w:r>
    </w:p>
  </w:footnote>
  <w:footnote w:id="85">
    <w:p w:rsidR="00AD59BE" w:rsidRPr="00B36473" w:rsidP="00AD59BE" w14:paraId="7B4638B1" w14:textId="77777777">
      <w:pPr>
        <w:pStyle w:val="FootnoteText"/>
        <w:widowControl w:val="0"/>
      </w:pPr>
      <w:r>
        <w:rPr>
          <w:rStyle w:val="FootnoteReference"/>
        </w:rPr>
        <w:footnoteRef/>
      </w:r>
      <w:r>
        <w:rPr>
          <w:i/>
        </w:rPr>
        <w:t xml:space="preserve"> Nexstar-Tribune Order</w:t>
      </w:r>
      <w:r>
        <w:t xml:space="preserve"> at 14-15, para. </w:t>
      </w:r>
      <w:r w:rsidRPr="00E333AF">
        <w:t>26</w:t>
      </w:r>
      <w:r>
        <w:t xml:space="preserve"> (citing </w:t>
      </w:r>
      <w:r w:rsidRPr="00605E74">
        <w:rPr>
          <w:i/>
        </w:rPr>
        <w:t>Nexstar-Media General</w:t>
      </w:r>
      <w:r>
        <w:t xml:space="preserve"> </w:t>
      </w:r>
      <w:r>
        <w:rPr>
          <w:i/>
        </w:rPr>
        <w:t>Order</w:t>
      </w:r>
      <w:r>
        <w:t xml:space="preserve">, </w:t>
      </w:r>
      <w:r w:rsidRPr="006A4325">
        <w:t xml:space="preserve">32 FCC Rcd </w:t>
      </w:r>
      <w:r>
        <w:t>at 195, para. 29 (finding that “increased access to reporting on federal and state policies and laws would increase the combined company’s viewers’ awareness of issues that may directly affect them”).</w:t>
      </w:r>
    </w:p>
  </w:footnote>
  <w:footnote w:id="86">
    <w:p w:rsidR="00AD59BE" w:rsidP="00AD59BE" w14:paraId="4FF9CE18" w14:textId="77777777">
      <w:pPr>
        <w:pStyle w:val="FootnoteText"/>
        <w:widowControl w:val="0"/>
      </w:pPr>
      <w:r>
        <w:rPr>
          <w:rStyle w:val="FootnoteReference"/>
        </w:rPr>
        <w:footnoteRef/>
      </w:r>
      <w:r>
        <w:t xml:space="preserve"> Television Comprehensive Exhibit at 7.</w:t>
      </w:r>
    </w:p>
  </w:footnote>
  <w:footnote w:id="87">
    <w:p w:rsidR="00AD59BE" w:rsidRPr="00C33444" w:rsidP="00AD59BE" w14:paraId="3D6448DC" w14:textId="77777777">
      <w:pPr>
        <w:pStyle w:val="FootnoteText"/>
        <w:widowControl w:val="0"/>
      </w:pPr>
      <w:r>
        <w:rPr>
          <w:rStyle w:val="FootnoteReference"/>
        </w:rPr>
        <w:footnoteRef/>
      </w:r>
      <w:r>
        <w:t xml:space="preserve"> </w:t>
      </w:r>
      <w:r>
        <w:rPr>
          <w:i/>
        </w:rPr>
        <w:t>Id.</w:t>
      </w:r>
      <w:r>
        <w:t xml:space="preserve"> at 8.</w:t>
      </w:r>
    </w:p>
  </w:footnote>
  <w:footnote w:id="88">
    <w:p w:rsidR="00AD59BE" w:rsidRPr="006A0F68" w:rsidP="00AD59BE" w14:paraId="4B4BE71A" w14:textId="77777777">
      <w:pPr>
        <w:pStyle w:val="FootnoteText"/>
        <w:widowControl w:val="0"/>
      </w:pPr>
      <w:r>
        <w:rPr>
          <w:rStyle w:val="FootnoteReference"/>
        </w:rPr>
        <w:footnoteRef/>
      </w:r>
      <w:r>
        <w:t xml:space="preserve"> </w:t>
      </w:r>
      <w:r>
        <w:rPr>
          <w:i/>
        </w:rPr>
        <w:t>Id.</w:t>
      </w:r>
      <w:r>
        <w:t xml:space="preserve"> at 5, 6-7.</w:t>
      </w:r>
    </w:p>
  </w:footnote>
  <w:footnote w:id="89">
    <w:p w:rsidR="00AD59BE" w:rsidRPr="006A0F68" w:rsidP="00AD59BE" w14:paraId="39EDBFB7" w14:textId="77777777">
      <w:pPr>
        <w:pStyle w:val="FootnoteText"/>
        <w:widowControl w:val="0"/>
        <w:rPr>
          <w:u w:val="single"/>
        </w:rPr>
      </w:pPr>
      <w:r>
        <w:rPr>
          <w:rStyle w:val="FootnoteReference"/>
        </w:rPr>
        <w:footnoteRef/>
      </w:r>
      <w:r>
        <w:t xml:space="preserve"> </w:t>
      </w:r>
      <w:r>
        <w:rPr>
          <w:i/>
        </w:rPr>
        <w:t>Id</w:t>
      </w:r>
      <w:r w:rsidRPr="006A0F68">
        <w:t>. at 5-8.</w:t>
      </w:r>
    </w:p>
  </w:footnote>
  <w:footnote w:id="90">
    <w:p w:rsidR="00AD59BE" w:rsidP="00AD59BE" w14:paraId="70E09F34" w14:textId="77777777">
      <w:pPr>
        <w:pStyle w:val="FootnoteText"/>
        <w:widowControl w:val="0"/>
      </w:pPr>
      <w:r>
        <w:rPr>
          <w:rStyle w:val="FootnoteReference"/>
        </w:rPr>
        <w:footnoteRef/>
      </w:r>
      <w:r>
        <w:t xml:space="preserve"> Radio Comprehensive Exhibit at 9.</w:t>
      </w:r>
    </w:p>
  </w:footnote>
  <w:footnote w:id="91">
    <w:p w:rsidR="00AD59BE" w:rsidRPr="00955B74" w:rsidP="00AD59BE" w14:paraId="744871EB" w14:textId="77777777">
      <w:pPr>
        <w:pStyle w:val="FootnoteText"/>
        <w:widowControl w:val="0"/>
      </w:pPr>
      <w:r>
        <w:rPr>
          <w:rStyle w:val="FootnoteReference"/>
        </w:rPr>
        <w:footnoteRef/>
      </w:r>
      <w:r>
        <w:t xml:space="preserve"> </w:t>
      </w:r>
      <w:r>
        <w:rPr>
          <w:i/>
        </w:rPr>
        <w:t xml:space="preserve">Id. </w:t>
      </w:r>
      <w:r>
        <w:t>at 9.</w:t>
      </w:r>
    </w:p>
  </w:footnote>
  <w:footnote w:id="92">
    <w:p w:rsidR="00AD59BE" w:rsidP="00AD59BE" w14:paraId="1A473118" w14:textId="77777777">
      <w:pPr>
        <w:pStyle w:val="FootnoteText"/>
        <w:widowControl w:val="0"/>
      </w:pPr>
      <w:r>
        <w:rPr>
          <w:rStyle w:val="FootnoteReference"/>
        </w:rPr>
        <w:footnoteRef/>
      </w:r>
      <w:r>
        <w:t xml:space="preserve"> </w:t>
      </w:r>
      <w:r>
        <w:rPr>
          <w:i/>
        </w:rPr>
        <w:t xml:space="preserve">Id. </w:t>
      </w:r>
      <w:r>
        <w:t>at 6.</w:t>
      </w:r>
    </w:p>
  </w:footnote>
  <w:footnote w:id="93">
    <w:p w:rsidR="00AD59BE" w:rsidP="00AD59BE" w14:paraId="38332EC6" w14:textId="77777777">
      <w:pPr>
        <w:pStyle w:val="FootnoteText"/>
        <w:widowControl w:val="0"/>
      </w:pPr>
      <w:r>
        <w:rPr>
          <w:rStyle w:val="FootnoteReference"/>
        </w:rPr>
        <w:footnoteRef/>
      </w:r>
      <w:r>
        <w:t xml:space="preserve"> Common Cause et al. make a single, unsupported reference to retransmission consent fees in their pleading.  Common Cause et al. Petition at 7. </w:t>
      </w:r>
    </w:p>
  </w:footnote>
  <w:footnote w:id="94">
    <w:p w:rsidR="00AD59BE" w:rsidP="00AD59BE" w14:paraId="1E963F98" w14:textId="77777777">
      <w:pPr>
        <w:pStyle w:val="FootnoteText"/>
        <w:widowControl w:val="0"/>
      </w:pPr>
      <w:r>
        <w:rPr>
          <w:rStyle w:val="FootnoteReference"/>
        </w:rPr>
        <w:footnoteRef/>
      </w:r>
      <w:r>
        <w:t xml:space="preserve"> ATVA Comments at 6-10.</w:t>
      </w:r>
    </w:p>
  </w:footnote>
  <w:footnote w:id="95">
    <w:p w:rsidR="00AD59BE" w:rsidRPr="00362945" w:rsidP="00AD59BE" w14:paraId="05125FA6" w14:textId="77777777">
      <w:pPr>
        <w:pStyle w:val="FootnoteText"/>
        <w:widowControl w:val="0"/>
      </w:pPr>
      <w:r>
        <w:rPr>
          <w:rStyle w:val="FootnoteReference"/>
        </w:rPr>
        <w:footnoteRef/>
      </w:r>
      <w:r>
        <w:t xml:space="preserve"> </w:t>
      </w:r>
      <w:r>
        <w:rPr>
          <w:i/>
        </w:rPr>
        <w:t>See</w:t>
      </w:r>
      <w:r>
        <w:t xml:space="preserve"> ATVA Comments at 3-4. </w:t>
      </w:r>
    </w:p>
  </w:footnote>
  <w:footnote w:id="96">
    <w:p w:rsidR="00AD59BE" w:rsidP="00AD59BE" w14:paraId="2CEC03FA" w14:textId="77777777">
      <w:pPr>
        <w:pStyle w:val="FootnoteText"/>
        <w:widowControl w:val="0"/>
      </w:pPr>
      <w:r>
        <w:rPr>
          <w:rStyle w:val="FootnoteReference"/>
        </w:rPr>
        <w:footnoteRef/>
      </w:r>
      <w:r>
        <w:t xml:space="preserve"> Consistent with the </w:t>
      </w:r>
      <w:r w:rsidRPr="00E333AF">
        <w:rPr>
          <w:i/>
        </w:rPr>
        <w:t>Nexstar</w:t>
      </w:r>
      <w:r>
        <w:rPr>
          <w:i/>
        </w:rPr>
        <w:t>-</w:t>
      </w:r>
      <w:r w:rsidRPr="00E333AF">
        <w:rPr>
          <w:i/>
        </w:rPr>
        <w:t>Tribune Order</w:t>
      </w:r>
      <w:r>
        <w:t xml:space="preserve">, due to the structure of the Television Transaction—i.e., the lack of overlap between Cox and Northwest stations—the acquisition will not result in any meaningful change in bargaining leverage at the local level.  </w:t>
      </w:r>
      <w:r>
        <w:rPr>
          <w:i/>
        </w:rPr>
        <w:t>Nexstar-Tribune Order</w:t>
      </w:r>
      <w:r>
        <w:t xml:space="preserve"> at 15, para. 27; ATVA Comments at 3-4.</w:t>
      </w:r>
    </w:p>
  </w:footnote>
  <w:footnote w:id="97">
    <w:p w:rsidR="00AD59BE" w:rsidP="00AD59BE" w14:paraId="756148C9" w14:textId="77777777">
      <w:pPr>
        <w:pStyle w:val="FootnoteText"/>
        <w:widowControl w:val="0"/>
      </w:pPr>
      <w:r>
        <w:rPr>
          <w:rStyle w:val="FootnoteReference"/>
        </w:rPr>
        <w:footnoteRef/>
      </w:r>
      <w:r>
        <w:t xml:space="preserve"> </w:t>
      </w:r>
      <w:r>
        <w:rPr>
          <w:i/>
        </w:rPr>
        <w:t>Nexstar-Tribune Order</w:t>
      </w:r>
      <w:r>
        <w:t xml:space="preserve"> at 23, para. 43.</w:t>
      </w:r>
    </w:p>
  </w:footnote>
  <w:footnote w:id="98">
    <w:p w:rsidR="00AD59BE" w:rsidRPr="00E333AF" w:rsidP="00AD59BE" w14:paraId="3032455A" w14:textId="77777777">
      <w:pPr>
        <w:pStyle w:val="FootnoteText"/>
        <w:widowControl w:val="0"/>
      </w:pPr>
      <w:r>
        <w:rPr>
          <w:rStyle w:val="FootnoteReference"/>
        </w:rPr>
        <w:footnoteRef/>
      </w:r>
      <w:r>
        <w:t xml:space="preserve"> </w:t>
      </w:r>
      <w:r>
        <w:rPr>
          <w:i/>
        </w:rPr>
        <w:t>Nexstar-Tribune Order</w:t>
      </w:r>
      <w:r>
        <w:t xml:space="preserve"> at 16-17, para. 29; </w:t>
      </w:r>
      <w:r>
        <w:rPr>
          <w:i/>
        </w:rPr>
        <w:t>see also</w:t>
      </w:r>
      <w:r>
        <w:t xml:space="preserve"> ATVA Comments at 4-9.</w:t>
      </w:r>
    </w:p>
  </w:footnote>
  <w:footnote w:id="99">
    <w:p w:rsidR="00AD59BE" w:rsidP="00AD59BE" w14:paraId="139B4AC4" w14:textId="77777777">
      <w:pPr>
        <w:pStyle w:val="FootnoteText"/>
        <w:widowControl w:val="0"/>
      </w:pPr>
      <w:r>
        <w:rPr>
          <w:rStyle w:val="FootnoteReference"/>
        </w:rPr>
        <w:footnoteRef/>
      </w:r>
      <w:r>
        <w:t xml:space="preserve"> </w:t>
      </w:r>
      <w:r w:rsidRPr="00091D81">
        <w:rPr>
          <w:i/>
        </w:rPr>
        <w:t>See, e.g.</w:t>
      </w:r>
      <w:r>
        <w:t xml:space="preserve">, </w:t>
      </w:r>
      <w:r w:rsidRPr="00ED3BE7">
        <w:rPr>
          <w:i/>
        </w:rPr>
        <w:t>Application of EchoStar Communications Corporation, General Motors Corporation, and Hughes Electronics Corporation (Transferors) and EchoStar Communications Corporation (Transferee), MB Docket No. 01-348</w:t>
      </w:r>
      <w:r w:rsidRPr="00F170E3">
        <w:t>, Hearing Designation Order</w:t>
      </w:r>
      <w:r w:rsidRPr="008D07A7">
        <w:t>,</w:t>
      </w:r>
      <w:r w:rsidRPr="004431D1">
        <w:t xml:space="preserve"> 17 FCC Rcd 20559, 20637, para. 211 (2002) (finding that “any savings in programming costs that result from a change in bargaining power represent a shift in surplus between programming providers and DBS operators, but not necessarily an increase in total surplus”).</w:t>
      </w:r>
      <w:r>
        <w:t xml:space="preserve"> </w:t>
      </w:r>
    </w:p>
  </w:footnote>
  <w:footnote w:id="100">
    <w:p w:rsidR="00AD59BE" w:rsidP="00AD59BE" w14:paraId="478FF61A" w14:textId="77777777">
      <w:pPr>
        <w:pStyle w:val="FootnoteText"/>
        <w:widowControl w:val="0"/>
      </w:pPr>
      <w:r>
        <w:rPr>
          <w:rStyle w:val="FootnoteReference"/>
        </w:rPr>
        <w:footnoteRef/>
      </w:r>
      <w:r>
        <w:t xml:space="preserve"> </w:t>
      </w:r>
      <w:r>
        <w:rPr>
          <w:i/>
        </w:rPr>
        <w:t xml:space="preserve">Nexstar-Tribune Order </w:t>
      </w:r>
      <w:r>
        <w:t xml:space="preserve">at 27-28, para. </w:t>
      </w:r>
      <w:r w:rsidRPr="00421633">
        <w:t>59.</w:t>
      </w:r>
    </w:p>
  </w:footnote>
  <w:footnote w:id="101">
    <w:p w:rsidR="00AD59BE" w:rsidP="00AD59BE" w14:paraId="78E1266C" w14:textId="77777777">
      <w:pPr>
        <w:pStyle w:val="FootnoteText"/>
        <w:widowControl w:val="0"/>
      </w:pPr>
      <w:r>
        <w:rPr>
          <w:rStyle w:val="FootnoteReference"/>
        </w:rPr>
        <w:footnoteRef/>
      </w:r>
      <w:r>
        <w:t xml:space="preserve"> ATVA Comments at 3-4.</w:t>
      </w:r>
    </w:p>
  </w:footnote>
  <w:footnote w:id="102">
    <w:p w:rsidR="00AD59BE" w:rsidP="00AD59BE" w14:paraId="708BFB69" w14:textId="117D0BE5">
      <w:pPr>
        <w:pStyle w:val="FootnoteText"/>
        <w:widowControl w:val="0"/>
      </w:pPr>
      <w:r>
        <w:rPr>
          <w:rStyle w:val="FootnoteReference"/>
        </w:rPr>
        <w:footnoteRef/>
      </w:r>
      <w:r>
        <w:t xml:space="preserve"> As explained above, upon consummation Terrier Media will no longer hold the license for two full-power stations in the Yuma market.  </w:t>
      </w:r>
      <w:r>
        <w:rPr>
          <w:i/>
        </w:rPr>
        <w:t>See supra</w:t>
      </w:r>
      <w:r>
        <w:t xml:space="preserve"> n.</w:t>
      </w:r>
      <w:r>
        <w:fldChar w:fldCharType="begin"/>
      </w:r>
      <w:r>
        <w:instrText xml:space="preserve"> NOTEREF _Ref23413364 \h </w:instrText>
      </w:r>
      <w:r>
        <w:fldChar w:fldCharType="separate"/>
      </w:r>
      <w:r w:rsidR="00373966">
        <w:t>29</w:t>
      </w:r>
      <w:r>
        <w:fldChar w:fldCharType="end"/>
      </w:r>
      <w:r>
        <w:t xml:space="preserve">. </w:t>
      </w:r>
    </w:p>
  </w:footnote>
  <w:footnote w:id="103">
    <w:p w:rsidR="00AD59BE" w:rsidP="00AD59BE" w14:paraId="4538E6DA" w14:textId="77777777">
      <w:pPr>
        <w:pStyle w:val="FootnoteText"/>
        <w:widowControl w:val="0"/>
      </w:pPr>
      <w:r>
        <w:rPr>
          <w:rStyle w:val="FootnoteReference"/>
        </w:rPr>
        <w:footnoteRef/>
      </w:r>
      <w:r>
        <w:t xml:space="preserve"> </w:t>
      </w:r>
      <w:r>
        <w:rPr>
          <w:i/>
        </w:rPr>
        <w:t>Id.</w:t>
      </w:r>
      <w:r>
        <w:t>at 4, 7</w:t>
      </w:r>
    </w:p>
  </w:footnote>
  <w:footnote w:id="104">
    <w:p w:rsidR="00AD59BE" w:rsidP="00AD59BE" w14:paraId="32FD0ED7" w14:textId="77777777">
      <w:pPr>
        <w:pStyle w:val="FootnoteText"/>
        <w:widowControl w:val="0"/>
      </w:pPr>
      <w:r>
        <w:rPr>
          <w:rStyle w:val="FootnoteReference"/>
        </w:rPr>
        <w:footnoteRef/>
      </w:r>
      <w:r>
        <w:t xml:space="preserve"> </w:t>
      </w:r>
      <w:r>
        <w:rPr>
          <w:i/>
        </w:rPr>
        <w:t xml:space="preserve">Nexstar-Tribune Order </w:t>
      </w:r>
      <w:r>
        <w:t xml:space="preserve">at 28, para. 61; </w:t>
      </w:r>
      <w:r>
        <w:rPr>
          <w:i/>
        </w:rPr>
        <w:t xml:space="preserve">see also </w:t>
      </w:r>
      <w:r w:rsidRPr="00A10A97">
        <w:rPr>
          <w:i/>
          <w:iCs/>
          <w:color w:val="000000"/>
          <w:bdr w:val="none" w:sz="0" w:space="0" w:color="auto" w:frame="1"/>
        </w:rPr>
        <w:t>2018 Quadrennial Regulatory Review</w:t>
      </w:r>
      <w:r>
        <w:rPr>
          <w:i/>
          <w:iCs/>
          <w:color w:val="000000"/>
          <w:bdr w:val="none" w:sz="0" w:space="0" w:color="auto" w:frame="1"/>
        </w:rPr>
        <w:t xml:space="preserve"> – </w:t>
      </w:r>
      <w:r w:rsidRPr="00A10A97">
        <w:rPr>
          <w:i/>
          <w:iCs/>
          <w:color w:val="000000"/>
          <w:bdr w:val="none" w:sz="0" w:space="0" w:color="auto" w:frame="1"/>
        </w:rPr>
        <w:t>Review of the Commission's Broad</w:t>
      </w:r>
      <w:r>
        <w:rPr>
          <w:i/>
          <w:iCs/>
          <w:color w:val="000000"/>
          <w:bdr w:val="none" w:sz="0" w:space="0" w:color="auto" w:frame="1"/>
        </w:rPr>
        <w:t>cast</w:t>
      </w:r>
      <w:r w:rsidRPr="00A10A97">
        <w:rPr>
          <w:i/>
          <w:iCs/>
          <w:color w:val="000000"/>
          <w:bdr w:val="none" w:sz="0" w:space="0" w:color="auto" w:frame="1"/>
        </w:rPr>
        <w:t xml:space="preserve"> Ownership Rules </w:t>
      </w:r>
      <w:r>
        <w:rPr>
          <w:i/>
          <w:iCs/>
          <w:color w:val="000000"/>
          <w:bdr w:val="none" w:sz="0" w:space="0" w:color="auto" w:frame="1"/>
        </w:rPr>
        <w:t>and</w:t>
      </w:r>
      <w:r w:rsidRPr="00A10A97">
        <w:rPr>
          <w:i/>
          <w:iCs/>
          <w:color w:val="000000"/>
          <w:bdr w:val="none" w:sz="0" w:space="0" w:color="auto" w:frame="1"/>
        </w:rPr>
        <w:t xml:space="preserve"> Other Rules Adopted Pursuant to Section 202 of the Telecommunications Act of 1996</w:t>
      </w:r>
      <w:r w:rsidRPr="00667818">
        <w:rPr>
          <w:color w:val="000000"/>
        </w:rPr>
        <w:t>, Notice of Proposed Rulemaking</w:t>
      </w:r>
      <w:r>
        <w:rPr>
          <w:color w:val="000000"/>
        </w:rPr>
        <w:t>,</w:t>
      </w:r>
      <w:r w:rsidRPr="00667818">
        <w:rPr>
          <w:color w:val="000000"/>
        </w:rPr>
        <w:t xml:space="preserve"> </w:t>
      </w:r>
      <w:r w:rsidRPr="00A10A97">
        <w:rPr>
          <w:color w:val="000000"/>
        </w:rPr>
        <w:t xml:space="preserve">33 </w:t>
      </w:r>
      <w:r>
        <w:rPr>
          <w:color w:val="000000"/>
        </w:rPr>
        <w:t>FCC</w:t>
      </w:r>
      <w:r w:rsidRPr="00A10A97">
        <w:rPr>
          <w:color w:val="000000"/>
        </w:rPr>
        <w:t xml:space="preserve"> Rcd 12111</w:t>
      </w:r>
      <w:r>
        <w:rPr>
          <w:color w:val="000000"/>
        </w:rPr>
        <w:t>, 12136-37, 12137, paras. 66</w:t>
      </w:r>
      <w:r>
        <w:rPr>
          <w:color w:val="000000"/>
        </w:rPr>
        <w:noBreakHyphen/>
        <w:t>67, 69</w:t>
      </w:r>
      <w:r w:rsidRPr="00A10A97">
        <w:rPr>
          <w:color w:val="000000"/>
        </w:rPr>
        <w:t xml:space="preserve"> (2018)</w:t>
      </w:r>
      <w:r>
        <w:rPr>
          <w:color w:val="000000"/>
        </w:rPr>
        <w:t xml:space="preserve"> (</w:t>
      </w:r>
      <w:r>
        <w:rPr>
          <w:i/>
          <w:color w:val="000000"/>
        </w:rPr>
        <w:t>2018 Quadrennial Review NPRM</w:t>
      </w:r>
      <w:r>
        <w:rPr>
          <w:color w:val="000000"/>
        </w:rPr>
        <w:t>) (</w:t>
      </w:r>
      <w:r w:rsidRPr="008415F5">
        <w:rPr>
          <w:color w:val="000000"/>
        </w:rPr>
        <w:t>seeking comment on whether multicast streams and LPTV stations are the functional equivalent of separate full power broadcast stations, and, if so, how</w:t>
      </w:r>
      <w:r>
        <w:t xml:space="preserve"> to evaluate them for purposes of the Local Television Ownership Rule</w:t>
      </w:r>
      <w:r>
        <w:rPr>
          <w:color w:val="000000"/>
        </w:rPr>
        <w:t>)</w:t>
      </w:r>
      <w:r>
        <w:t>.</w:t>
      </w:r>
    </w:p>
  </w:footnote>
  <w:footnote w:id="105">
    <w:p w:rsidR="00AD59BE" w:rsidP="00AD59BE" w14:paraId="312F192F" w14:textId="77777777">
      <w:pPr>
        <w:pStyle w:val="FootnoteText"/>
        <w:widowControl w:val="0"/>
      </w:pPr>
      <w:r>
        <w:rPr>
          <w:rStyle w:val="FootnoteReference"/>
        </w:rPr>
        <w:footnoteRef/>
      </w:r>
      <w:r>
        <w:t xml:space="preserve"> </w:t>
      </w:r>
      <w:r w:rsidRPr="00CF4007">
        <w:rPr>
          <w:i/>
          <w:iCs/>
        </w:rPr>
        <w:t>See</w:t>
      </w:r>
      <w:r w:rsidRPr="009A7BC2">
        <w:t xml:space="preserve"> CC-UCC </w:t>
      </w:r>
      <w:r w:rsidRPr="00CF4007">
        <w:rPr>
          <w:i/>
          <w:iCs/>
        </w:rPr>
        <w:t>Ex Parte</w:t>
      </w:r>
      <w:r w:rsidRPr="009A7BC2">
        <w:t xml:space="preserve"> at 2-4</w:t>
      </w:r>
      <w:r>
        <w:t>.</w:t>
      </w:r>
    </w:p>
  </w:footnote>
  <w:footnote w:id="106">
    <w:p w:rsidR="00AD59BE" w:rsidP="00AD59BE" w14:paraId="76E5FA0F" w14:textId="77777777">
      <w:pPr>
        <w:pStyle w:val="FootnoteText"/>
        <w:widowControl w:val="0"/>
      </w:pPr>
      <w:r>
        <w:rPr>
          <w:rStyle w:val="FootnoteReference"/>
        </w:rPr>
        <w:footnoteRef/>
      </w:r>
      <w:r>
        <w:t xml:space="preserve"> </w:t>
      </w:r>
      <w:r w:rsidRPr="00CF4007">
        <w:rPr>
          <w:i/>
          <w:iCs/>
        </w:rPr>
        <w:t>See id.</w:t>
      </w:r>
      <w:r w:rsidRPr="009A7BC2">
        <w:t xml:space="preserve"> at 4-5.</w:t>
      </w:r>
    </w:p>
  </w:footnote>
  <w:footnote w:id="107">
    <w:p w:rsidR="00AD59BE" w:rsidP="00AD59BE" w14:paraId="6FB7176B" w14:textId="77777777">
      <w:pPr>
        <w:pStyle w:val="FootnoteText"/>
        <w:widowControl w:val="0"/>
      </w:pPr>
      <w:r>
        <w:rPr>
          <w:rStyle w:val="FootnoteReference"/>
        </w:rPr>
        <w:footnoteRef/>
      </w:r>
      <w:r>
        <w:t xml:space="preserve"> Common Cause et al. Petition at 4 (“However, the Applicants do not offer any detail to what investments Terrier will make in each market and how much of its capital it will invest.”).</w:t>
      </w:r>
    </w:p>
  </w:footnote>
  <w:footnote w:id="108">
    <w:p w:rsidR="00AD59BE" w:rsidRPr="004446EA" w:rsidP="00AD59BE" w14:paraId="5E0A5B61" w14:textId="77777777">
      <w:pPr>
        <w:pStyle w:val="FootnoteText"/>
        <w:widowControl w:val="0"/>
      </w:pPr>
      <w:r>
        <w:rPr>
          <w:rStyle w:val="FootnoteReference"/>
        </w:rPr>
        <w:footnoteRef/>
      </w:r>
      <w:r>
        <w:t xml:space="preserve"> </w:t>
      </w:r>
      <w:r>
        <w:rPr>
          <w:i/>
        </w:rPr>
        <w:t xml:space="preserve">Nexstar-Tribune Order </w:t>
      </w:r>
      <w:r>
        <w:t xml:space="preserve">at 18-19, para. 32; </w:t>
      </w:r>
      <w:r>
        <w:rPr>
          <w:i/>
        </w:rPr>
        <w:t>see also Nexstar-Media General</w:t>
      </w:r>
      <w:r>
        <w:t>, 32 FCC Rcd at 195, para. 29.</w:t>
      </w:r>
    </w:p>
  </w:footnote>
  <w:footnote w:id="109">
    <w:p w:rsidR="00AD59BE" w:rsidRPr="008F7606" w:rsidP="00AD59BE" w14:paraId="4E608DA6" w14:textId="77777777">
      <w:pPr>
        <w:pStyle w:val="FootnoteText"/>
        <w:widowControl w:val="0"/>
      </w:pPr>
      <w:r>
        <w:rPr>
          <w:rStyle w:val="FootnoteReference"/>
        </w:rPr>
        <w:footnoteRef/>
      </w:r>
      <w:r>
        <w:t xml:space="preserve"> </w:t>
      </w:r>
      <w:r>
        <w:rPr>
          <w:i/>
        </w:rPr>
        <w:t>Id</w:t>
      </w:r>
      <w:r>
        <w:t>. at 5-6.</w:t>
      </w:r>
    </w:p>
  </w:footnote>
  <w:footnote w:id="110">
    <w:p w:rsidR="00AD59BE" w:rsidP="00AD59BE" w14:paraId="69270B58" w14:textId="77777777">
      <w:pPr>
        <w:pStyle w:val="FootnoteText"/>
        <w:widowControl w:val="0"/>
      </w:pPr>
      <w:r>
        <w:rPr>
          <w:rStyle w:val="FootnoteReference"/>
        </w:rPr>
        <w:footnoteRef/>
      </w:r>
      <w:r>
        <w:t xml:space="preserve"> </w:t>
      </w:r>
      <w:r w:rsidRPr="00E333AF">
        <w:rPr>
          <w:i/>
        </w:rPr>
        <w:t>See</w:t>
      </w:r>
      <w:r w:rsidRPr="001A3060">
        <w:rPr>
          <w:i/>
        </w:rPr>
        <w:t>,</w:t>
      </w:r>
      <w:r w:rsidRPr="00E333AF">
        <w:rPr>
          <w:i/>
        </w:rPr>
        <w:t xml:space="preserve"> e</w:t>
      </w:r>
      <w:r>
        <w:rPr>
          <w:i/>
        </w:rPr>
        <w:t>.g.</w:t>
      </w:r>
      <w:r>
        <w:t xml:space="preserve">, </w:t>
      </w:r>
      <w:r w:rsidRPr="002F4F8A">
        <w:rPr>
          <w:i/>
        </w:rPr>
        <w:t>Existing Shareholders of Clear Channel Communications, Inc. (Transferors) and Shareholders of Thomas H. Lee Equity Fund VI, L.P., Bain Capital (CC) IX, L.P., and BT Triple Crown Capital Holdings III, Inc. (Transferees)</w:t>
      </w:r>
      <w:r>
        <w:t>, Memorandum Opinion and Order, 23 FCC Rcd 1421 (2008).</w:t>
      </w:r>
    </w:p>
  </w:footnote>
  <w:footnote w:id="111">
    <w:p w:rsidR="00AD59BE" w:rsidRPr="002D1BF3" w:rsidP="00AD59BE" w14:paraId="19EB1A58" w14:textId="77777777">
      <w:pPr>
        <w:pStyle w:val="FootnoteText"/>
        <w:widowControl w:val="0"/>
      </w:pPr>
      <w:r>
        <w:rPr>
          <w:rStyle w:val="FootnoteReference"/>
        </w:rPr>
        <w:footnoteRef/>
      </w:r>
      <w:r>
        <w:t xml:space="preserve"> </w:t>
      </w:r>
      <w:r>
        <w:rPr>
          <w:i/>
        </w:rPr>
        <w:t>See id.</w:t>
      </w:r>
      <w:r>
        <w:t xml:space="preserve"> at 1430, para. 19 (“</w:t>
      </w:r>
      <w:r w:rsidRPr="002D1BF3">
        <w:t>There is no prohibition in the Act or our Rules on ownership of licensees by privately owned corporations.</w:t>
      </w:r>
      <w:r>
        <w:t>”).</w:t>
      </w:r>
      <w:r w:rsidRPr="002D1BF3">
        <w:t> </w:t>
      </w:r>
    </w:p>
  </w:footnote>
  <w:footnote w:id="112">
    <w:p w:rsidR="00AD59BE" w:rsidRPr="004446EA" w:rsidP="00AD59BE" w14:paraId="6B5E609B" w14:textId="77777777">
      <w:pPr>
        <w:pStyle w:val="FootnoteText"/>
        <w:widowControl w:val="0"/>
      </w:pPr>
      <w:r>
        <w:rPr>
          <w:rStyle w:val="FootnoteReference"/>
        </w:rPr>
        <w:footnoteRef/>
      </w:r>
      <w:r>
        <w:t xml:space="preserve"> </w:t>
      </w:r>
      <w:r>
        <w:rPr>
          <w:i/>
        </w:rPr>
        <w:t>Id</w:t>
      </w:r>
      <w:r>
        <w:t>. at 7.</w:t>
      </w:r>
    </w:p>
  </w:footnote>
  <w:footnote w:id="113">
    <w:p w:rsidR="00AD59BE" w:rsidRPr="002F6DCE" w:rsidP="00AD59BE" w14:paraId="1EAD14D2" w14:textId="77777777">
      <w:pPr>
        <w:pStyle w:val="FootnoteText"/>
        <w:widowControl w:val="0"/>
      </w:pPr>
      <w:r>
        <w:rPr>
          <w:rStyle w:val="FootnoteReference"/>
        </w:rPr>
        <w:footnoteRef/>
      </w:r>
      <w:r>
        <w:t xml:space="preserve"> </w:t>
      </w:r>
      <w:r>
        <w:rPr>
          <w:i/>
        </w:rPr>
        <w:t>See</w:t>
      </w:r>
      <w:r>
        <w:t xml:space="preserve"> Common Cause et al. Petition at 7.  </w:t>
      </w:r>
    </w:p>
  </w:footnote>
  <w:footnote w:id="114">
    <w:p w:rsidR="00AD59BE" w:rsidP="00AD59BE" w14:paraId="71046F2A" w14:textId="77777777">
      <w:pPr>
        <w:pStyle w:val="FootnoteText"/>
        <w:widowControl w:val="0"/>
      </w:pPr>
      <w:r>
        <w:rPr>
          <w:rStyle w:val="FootnoteReference"/>
        </w:rPr>
        <w:footnoteRef/>
      </w:r>
      <w:r>
        <w:t xml:space="preserve"> He states that he was denied access to the station’s public inspection file and that he subsequently filed a complaint with the Commission regarding this alleged violation.  Beauford Petition at 9; </w:t>
      </w:r>
      <w:r>
        <w:rPr>
          <w:i/>
        </w:rPr>
        <w:t xml:space="preserve">see also </w:t>
      </w:r>
      <w:r>
        <w:t xml:space="preserve">Beauford Petition, Att., Complaint (filed Dec. 22, 2015).  Beauford now contends that, in light of his allegations, Cox should not be allowed to profit from the sale of WSB-TV.  </w:t>
      </w:r>
      <w:r w:rsidRPr="008065C3">
        <w:rPr>
          <w:i/>
        </w:rPr>
        <w:t>Id</w:t>
      </w:r>
      <w:r>
        <w:t xml:space="preserve">. at 17.  Beauford provides a detailed narrative of his version of the events, which we need not discuss in this proceeding.  </w:t>
      </w:r>
    </w:p>
  </w:footnote>
  <w:footnote w:id="115">
    <w:p w:rsidR="00AD59BE" w:rsidP="00AD59BE" w14:paraId="522984E9" w14:textId="77777777">
      <w:pPr>
        <w:pStyle w:val="FootnoteText"/>
        <w:widowControl w:val="0"/>
      </w:pPr>
      <w:r>
        <w:rPr>
          <w:rStyle w:val="FootnoteReference"/>
        </w:rPr>
        <w:footnoteRef/>
      </w:r>
      <w:r>
        <w:t xml:space="preserve"> Beauford Petition at 9-11.</w:t>
      </w:r>
    </w:p>
  </w:footnote>
  <w:footnote w:id="116">
    <w:p w:rsidR="00AD59BE" w:rsidP="00AD59BE" w14:paraId="1DDCB2CB" w14:textId="77777777">
      <w:pPr>
        <w:pStyle w:val="FootnoteText"/>
        <w:widowControl w:val="0"/>
      </w:pPr>
      <w:r>
        <w:rPr>
          <w:rStyle w:val="FootnoteReference"/>
        </w:rPr>
        <w:footnoteRef/>
      </w:r>
      <w:r>
        <w:t xml:space="preserve"> </w:t>
      </w:r>
      <w:r>
        <w:rPr>
          <w:i/>
        </w:rPr>
        <w:t>See</w:t>
      </w:r>
      <w:r w:rsidRPr="001A3060">
        <w:rPr>
          <w:i/>
        </w:rPr>
        <w:t>,</w:t>
      </w:r>
      <w:r>
        <w:t xml:space="preserve"> </w:t>
      </w:r>
      <w:r>
        <w:rPr>
          <w:i/>
        </w:rPr>
        <w:t>e.g.</w:t>
      </w:r>
      <w:r>
        <w:t xml:space="preserve">, </w:t>
      </w:r>
      <w:r>
        <w:rPr>
          <w:i/>
        </w:rPr>
        <w:t>Michael Lazarus, Esq.</w:t>
      </w:r>
      <w:r>
        <w:t>, Letter Order, 26 FCC Rcd 5966, 5970 (MB 20011) (“</w:t>
      </w:r>
      <w:r w:rsidRPr="00E9464E">
        <w:t>Public file violations, on their own, do not establish grounds for denial of an application unless intentional misconduct is evident.</w:t>
      </w:r>
      <w:r>
        <w:t>”);</w:t>
      </w:r>
      <w:r w:rsidRPr="00D55742">
        <w:t xml:space="preserve"> </w:t>
      </w:r>
      <w:hyperlink r:id="rId6" w:anchor="co_pp_sp_4493_9051" w:history="1">
        <w:r w:rsidRPr="00D55742">
          <w:rPr>
            <w:i/>
          </w:rPr>
          <w:t>3 Daughters Media, Inc.</w:t>
        </w:r>
        <w:r w:rsidRPr="00D55742">
          <w:t>, Letter, 22 FCC Rcd 9047, 9051 (</w:t>
        </w:r>
        <w:r>
          <w:t xml:space="preserve">MB </w:t>
        </w:r>
        <w:r w:rsidRPr="00D55742">
          <w:t>2007)</w:t>
        </w:r>
      </w:hyperlink>
      <w:r w:rsidRPr="00D55742">
        <w:t xml:space="preserve"> (“Public file violations only implicate the Commission</w:t>
      </w:r>
      <w:r>
        <w:t>’</w:t>
      </w:r>
      <w:r w:rsidRPr="00D55742">
        <w:t xml:space="preserve">s Character Qualifications Policy when extensive and egregious or when indicative of substantial carelessness”); </w:t>
      </w:r>
      <w:hyperlink r:id="rId7" w:anchor="co_pp_sp_4493_7439" w:history="1">
        <w:r w:rsidRPr="00D55742">
          <w:rPr>
            <w:i/>
          </w:rPr>
          <w:t>Discussion Radio, Inc.</w:t>
        </w:r>
        <w:r w:rsidRPr="00D55742">
          <w:t>, Memorandum Opinion and Order, 19 FCC Rcd 7433, 7439</w:t>
        </w:r>
        <w:r>
          <w:t>, para. 17</w:t>
        </w:r>
        <w:r w:rsidRPr="00D55742">
          <w:t xml:space="preserve"> (2004)</w:t>
        </w:r>
      </w:hyperlink>
      <w:r w:rsidRPr="00D55742">
        <w:t xml:space="preserve"> (noting that a determination by the Commission</w:t>
      </w:r>
      <w:r>
        <w:t>’</w:t>
      </w:r>
      <w:r w:rsidRPr="00D55742">
        <w:t xml:space="preserve">s Enforcement Bureau of a public file violation did not call for the denial of the application or the designation of the </w:t>
      </w:r>
      <w:r>
        <w:t xml:space="preserve">renewal </w:t>
      </w:r>
      <w:r w:rsidRPr="00D55742">
        <w:t>application for a hearing).</w:t>
      </w:r>
    </w:p>
  </w:footnote>
  <w:footnote w:id="117">
    <w:p w:rsidR="00AD59BE" w:rsidRPr="004C3310" w:rsidP="00AD59BE" w14:paraId="36C3C88C" w14:textId="77777777">
      <w:pPr>
        <w:pStyle w:val="FootnoteText"/>
        <w:widowControl w:val="0"/>
        <w:rPr>
          <w:lang w:val="es-ES"/>
        </w:rPr>
      </w:pPr>
      <w:r w:rsidRPr="003E556F">
        <w:rPr>
          <w:rStyle w:val="FootnoteReference"/>
        </w:rPr>
        <w:footnoteRef/>
      </w:r>
      <w:r w:rsidRPr="004C3310">
        <w:rPr>
          <w:lang w:val="es-ES"/>
        </w:rPr>
        <w:t xml:space="preserve"> 47 CFR § 73.3555(a)(1).</w:t>
      </w:r>
    </w:p>
  </w:footnote>
  <w:footnote w:id="118">
    <w:p w:rsidR="00AD59BE" w:rsidRPr="004C3310" w:rsidP="00AD59BE" w14:paraId="0FF1828C" w14:textId="77777777">
      <w:pPr>
        <w:pStyle w:val="FootnoteText"/>
        <w:widowControl w:val="0"/>
        <w:rPr>
          <w:lang w:val="es-ES"/>
        </w:rPr>
      </w:pPr>
      <w:r w:rsidRPr="003E556F">
        <w:rPr>
          <w:rStyle w:val="FootnoteReference"/>
        </w:rPr>
        <w:footnoteRef/>
      </w:r>
      <w:r w:rsidRPr="004C3310">
        <w:rPr>
          <w:lang w:val="es-ES"/>
        </w:rPr>
        <w:t xml:space="preserve"> Orlando, Florida and Tampa, Florida.  </w:t>
      </w:r>
    </w:p>
  </w:footnote>
  <w:footnote w:id="119">
    <w:p w:rsidR="00AD59BE" w:rsidRPr="003E556F" w:rsidP="00AD59BE" w14:paraId="3F29E69D" w14:textId="77777777">
      <w:pPr>
        <w:pStyle w:val="FootnoteText"/>
        <w:widowControl w:val="0"/>
      </w:pPr>
      <w:r w:rsidRPr="003E556F">
        <w:rPr>
          <w:rStyle w:val="FootnoteReference"/>
        </w:rPr>
        <w:footnoteRef/>
      </w:r>
      <w:r w:rsidRPr="003E556F">
        <w:t xml:space="preserve"> 47 CFR § 73.3555, Note 4.</w:t>
      </w:r>
    </w:p>
  </w:footnote>
  <w:footnote w:id="120">
    <w:p w:rsidR="00AD59BE" w:rsidRPr="003E556F" w:rsidP="00AD59BE" w14:paraId="4580DFE3" w14:textId="77777777">
      <w:pPr>
        <w:pStyle w:val="FootnoteText"/>
        <w:widowControl w:val="0"/>
      </w:pPr>
      <w:r w:rsidRPr="003E556F">
        <w:rPr>
          <w:rStyle w:val="FootnoteReference"/>
        </w:rPr>
        <w:footnoteRef/>
      </w:r>
      <w:r w:rsidRPr="003E556F">
        <w:t xml:space="preserve"> </w:t>
      </w:r>
      <w:r>
        <w:rPr>
          <w:i/>
        </w:rPr>
        <w:t>Id.</w:t>
      </w:r>
    </w:p>
  </w:footnote>
  <w:footnote w:id="121">
    <w:p w:rsidR="00AD59BE" w:rsidRPr="003E556F" w:rsidP="00AD59BE" w14:paraId="7C19F2E9" w14:textId="77777777">
      <w:pPr>
        <w:pStyle w:val="FootnoteText"/>
        <w:widowControl w:val="0"/>
      </w:pPr>
      <w:r w:rsidRPr="003E556F">
        <w:rPr>
          <w:rStyle w:val="FootnoteReference"/>
        </w:rPr>
        <w:footnoteRef/>
      </w:r>
      <w:r w:rsidRPr="003E556F">
        <w:t xml:space="preserve"> </w:t>
      </w:r>
      <w:r>
        <w:rPr>
          <w:i/>
        </w:rPr>
        <w:t>Id.</w:t>
      </w:r>
    </w:p>
  </w:footnote>
  <w:footnote w:id="122">
    <w:p w:rsidR="00AD59BE" w:rsidRPr="003E556F" w:rsidP="00AD59BE" w14:paraId="0A88C09F" w14:textId="77777777">
      <w:pPr>
        <w:pStyle w:val="FootnoteText"/>
        <w:widowControl w:val="0"/>
      </w:pPr>
      <w:r w:rsidRPr="003E556F">
        <w:rPr>
          <w:rStyle w:val="FootnoteReference"/>
        </w:rPr>
        <w:footnoteRef/>
      </w:r>
      <w:r w:rsidRPr="003E556F">
        <w:t xml:space="preserve"> </w:t>
      </w:r>
      <w:r>
        <w:t xml:space="preserve">Radio </w:t>
      </w:r>
      <w:r w:rsidRPr="003E556F">
        <w:t>Assignment Applications, BALH-20190702ADS and BALH-2019002ADV.</w:t>
      </w:r>
    </w:p>
  </w:footnote>
  <w:footnote w:id="123">
    <w:p w:rsidR="00AD59BE" w:rsidRPr="003E556F" w:rsidP="00AD59BE" w14:paraId="3B523D7F" w14:textId="77777777">
      <w:pPr>
        <w:pStyle w:val="FootnoteText"/>
        <w:widowControl w:val="0"/>
      </w:pPr>
      <w:r w:rsidRPr="003E556F">
        <w:rPr>
          <w:rStyle w:val="FootnoteReference"/>
        </w:rPr>
        <w:footnoteRef/>
      </w:r>
      <w:r w:rsidRPr="003E556F">
        <w:t xml:space="preserve"> </w:t>
      </w:r>
      <w:r w:rsidRPr="00394D17">
        <w:rPr>
          <w:i/>
        </w:rPr>
        <w:t>See</w:t>
      </w:r>
      <w:r>
        <w:t xml:space="preserve"> </w:t>
      </w:r>
      <w:r w:rsidRPr="00394D17">
        <w:t>Attachment</w:t>
      </w:r>
      <w:r>
        <w:t xml:space="preserve"> C.</w:t>
      </w:r>
    </w:p>
  </w:footnote>
  <w:footnote w:id="124">
    <w:p w:rsidR="00AD59BE" w:rsidRPr="003E556F" w:rsidP="00AD59BE" w14:paraId="5D0E11A5" w14:textId="77777777">
      <w:pPr>
        <w:pStyle w:val="FootnoteText"/>
        <w:widowControl w:val="0"/>
      </w:pPr>
      <w:r w:rsidRPr="003E556F">
        <w:rPr>
          <w:rStyle w:val="FootnoteReference"/>
        </w:rPr>
        <w:footnoteRef/>
      </w:r>
      <w:r w:rsidRPr="003E556F">
        <w:t xml:space="preserve"> </w:t>
      </w:r>
      <w:r w:rsidRPr="003E556F">
        <w:rPr>
          <w:rStyle w:val="Emphasis"/>
          <w:bdr w:val="none" w:sz="0" w:space="0" w:color="auto" w:frame="1"/>
          <w:shd w:val="clear" w:color="auto" w:fill="FFFFFF"/>
        </w:rPr>
        <w:t>See Cumulus Media, Inc. and Citadel Broadcasting Corp.</w:t>
      </w:r>
      <w:r w:rsidRPr="003E556F">
        <w:rPr>
          <w:bdr w:val="none" w:sz="0" w:space="0" w:color="auto" w:frame="1"/>
          <w:shd w:val="clear" w:color="auto" w:fill="FFFFFF"/>
        </w:rPr>
        <w:t>, Memorandum Opinion and Order, 26 FCC Rcd 12956, 12959 (2011) (</w:t>
      </w:r>
      <w:r w:rsidRPr="003E556F">
        <w:rPr>
          <w:shd w:val="clear" w:color="auto" w:fill="FFFFFF"/>
        </w:rPr>
        <w:t>granting transfer of control and assignment applications in multi-station, multi-market transactions while renewal applications are pending, as long as there are no basic qualification issues pending against either the transferor or the transferee, and the transferee explicitly agree</w:t>
      </w:r>
      <w:r>
        <w:rPr>
          <w:shd w:val="clear" w:color="auto" w:fill="FFFFFF"/>
        </w:rPr>
        <w:t>s</w:t>
      </w:r>
      <w:r w:rsidRPr="003E556F">
        <w:rPr>
          <w:shd w:val="clear" w:color="auto" w:fill="FFFFFF"/>
        </w:rPr>
        <w:t xml:space="preserve"> to standing in the stead of the transferor in the pending renewal proceeding); </w:t>
      </w:r>
      <w:r w:rsidRPr="003E556F">
        <w:rPr>
          <w:rStyle w:val="Emphasis"/>
          <w:bdr w:val="none" w:sz="0" w:space="0" w:color="auto" w:frame="1"/>
          <w:shd w:val="clear" w:color="auto" w:fill="FFFFFF"/>
        </w:rPr>
        <w:t>see also Shareholders of CBS Corporation</w:t>
      </w:r>
      <w:r w:rsidRPr="0053232D">
        <w:rPr>
          <w:shd w:val="clear" w:color="auto" w:fill="FFFFFF"/>
        </w:rPr>
        <w:t xml:space="preserve">, </w:t>
      </w:r>
      <w:r w:rsidRPr="004C3310">
        <w:rPr>
          <w:shd w:val="clear" w:color="auto" w:fill="FFFFFF"/>
        </w:rPr>
        <w:t>Memorandum Opinion and Order on Reconsideration</w:t>
      </w:r>
      <w:r w:rsidRPr="0053232D">
        <w:rPr>
          <w:shd w:val="clear" w:color="auto" w:fill="FFFFFF"/>
        </w:rPr>
        <w:t>,</w:t>
      </w:r>
      <w:r w:rsidRPr="003E556F">
        <w:rPr>
          <w:shd w:val="clear" w:color="auto" w:fill="FFFFFF"/>
        </w:rPr>
        <w:t> </w:t>
      </w:r>
      <w:r w:rsidRPr="003E556F">
        <w:rPr>
          <w:bdr w:val="none" w:sz="0" w:space="0" w:color="auto" w:frame="1"/>
          <w:shd w:val="clear" w:color="auto" w:fill="FFFFFF"/>
        </w:rPr>
        <w:t>16 FCC Rcd 16072, 16072-73 (2001)</w:t>
      </w:r>
      <w:r w:rsidRPr="003E556F">
        <w:rPr>
          <w:shd w:val="clear" w:color="auto" w:fill="FFFFFF"/>
        </w:rPr>
        <w:t>.</w:t>
      </w:r>
    </w:p>
  </w:footnote>
  <w:footnote w:id="125">
    <w:p w:rsidR="00AD59BE" w:rsidP="00AD59BE" w14:paraId="7FC7BEFB" w14:textId="77777777">
      <w:pPr>
        <w:pStyle w:val="FootnoteText"/>
        <w:widowControl w:val="0"/>
      </w:pPr>
      <w:r>
        <w:rPr>
          <w:rStyle w:val="FootnoteReference"/>
        </w:rPr>
        <w:footnoteRef/>
      </w:r>
      <w:r>
        <w:t xml:space="preserve"> Radio Comprehensive Exhibit at 6, Section II.D.</w:t>
      </w:r>
    </w:p>
  </w:footnote>
  <w:footnote w:id="126">
    <w:p w:rsidR="00AD59BE" w:rsidRPr="003E556F" w:rsidP="00AD59BE" w14:paraId="2CF68D6F" w14:textId="77777777">
      <w:pPr>
        <w:pStyle w:val="FootnoteText"/>
        <w:widowControl w:val="0"/>
        <w:spacing w:after="80"/>
      </w:pPr>
      <w:r w:rsidRPr="003E556F">
        <w:rPr>
          <w:rStyle w:val="FootnoteReference"/>
        </w:rPr>
        <w:footnoteRef/>
      </w:r>
      <w:r w:rsidRPr="003E556F">
        <w:t xml:space="preserve"> File Nos. </w:t>
      </w:r>
      <w:bookmarkStart w:id="31" w:name="_Hlk19782937"/>
      <w:r w:rsidRPr="0002249C">
        <w:t>82746</w:t>
      </w:r>
      <w:r>
        <w:t xml:space="preserve"> </w:t>
      </w:r>
      <w:r w:rsidRPr="008C6B60">
        <w:t xml:space="preserve">and </w:t>
      </w:r>
      <w:bookmarkEnd w:id="31"/>
      <w:r w:rsidRPr="0002249C">
        <w:t>82847</w:t>
      </w:r>
      <w:r w:rsidRPr="003E556F">
        <w:t>, respectively.</w:t>
      </w:r>
    </w:p>
  </w:footnote>
  <w:footnote w:id="127">
    <w:p w:rsidR="00AD59BE" w:rsidRPr="003E556F" w:rsidP="00AD59BE" w14:paraId="099CA4AF" w14:textId="77777777">
      <w:pPr>
        <w:autoSpaceDE w:val="0"/>
        <w:autoSpaceDN w:val="0"/>
        <w:adjustRightInd w:val="0"/>
        <w:spacing w:after="80"/>
        <w:rPr>
          <w:sz w:val="20"/>
        </w:rPr>
      </w:pPr>
      <w:r w:rsidRPr="003E556F">
        <w:rPr>
          <w:rStyle w:val="FootnoteReference"/>
        </w:rPr>
        <w:footnoteRef/>
      </w:r>
      <w:r w:rsidRPr="003E556F">
        <w:rPr>
          <w:sz w:val="20"/>
        </w:rPr>
        <w:t xml:space="preserve"> </w:t>
      </w:r>
      <w:r w:rsidRPr="003E556F">
        <w:rPr>
          <w:i/>
          <w:iCs/>
          <w:sz w:val="20"/>
        </w:rPr>
        <w:t>See American Broadcasting Companies, Inc.</w:t>
      </w:r>
      <w:r w:rsidRPr="003E556F">
        <w:rPr>
          <w:sz w:val="20"/>
        </w:rPr>
        <w:t xml:space="preserve">, Memorandum Opinion and Order, 7 FCC 2d 245, 261 (1966), citing </w:t>
      </w:r>
      <w:r w:rsidRPr="003E556F">
        <w:rPr>
          <w:i/>
          <w:iCs/>
          <w:sz w:val="20"/>
        </w:rPr>
        <w:t>Application of Stevens Broadcasting, Inc., and Fred P. D’Angelo</w:t>
      </w:r>
      <w:r w:rsidRPr="003E556F">
        <w:rPr>
          <w:sz w:val="20"/>
        </w:rPr>
        <w:t xml:space="preserve">, Memorandum Opinion and Order, 3 R.R. 2d 840, 843-844 (1964), </w:t>
      </w:r>
      <w:r w:rsidRPr="003E556F">
        <w:rPr>
          <w:i/>
          <w:iCs/>
          <w:sz w:val="20"/>
        </w:rPr>
        <w:t>aff’d on other grounds sub nom. Parr v. FCC</w:t>
      </w:r>
      <w:r w:rsidRPr="003E556F">
        <w:rPr>
          <w:sz w:val="20"/>
        </w:rPr>
        <w:t>, 344 F.2d 539 (D.C. Cir. 1965).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35D5" w14:paraId="188B241E"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ED85C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53109D7" w14:textId="77777777">
    <w:pPr>
      <w:tabs>
        <w:tab w:val="left" w:pos="-720"/>
      </w:tabs>
      <w:suppressAutoHyphens/>
      <w:spacing w:line="19" w:lineRule="exact"/>
      <w:rPr>
        <w:spacing w:val="-2"/>
      </w:rPr>
    </w:pPr>
    <w:r>
      <w:rPr>
        <w:noProof/>
      </w:rPr>
      <w:pict>
        <v:rect id="Rectangle 1" o:spid="_x0000_s2057" style="width:468pt;height:0.95pt;margin-top:0;margin-left:0;mso-position-horizontal-relative:margin;position:absolute;visibility:visible;z-index:-251658240" o:allowincell="f" fillcolor="black" stroked="f" strokeweight="0.05pt">
          <w10:wrap anchorx="margin"/>
        </v:rect>
      </w:pict>
    </w:r>
  </w:p>
  <w:p w:rsidR="00D25FB5" w14:paraId="055356F3" w14:textId="77777777">
    <w:pPr>
      <w:spacing w:after="389" w:line="100" w:lineRule="exact"/>
      <w:rPr>
        <w:sz w:val="1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F2A29F" w14:textId="77777777">
    <w:pPr>
      <w:pStyle w:val="Header"/>
      <w:rPr>
        <w:b w:val="0"/>
      </w:rPr>
    </w:pPr>
    <w:r>
      <w:rPr>
        <w:noProof/>
      </w:rPr>
      <w:pict>
        <v:rect id="Rectangle 3" o:spid="_x0000_s2058"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435D5">
      <w:rPr>
        <w:spacing w:val="-2"/>
      </w:rPr>
      <w:t>DA 19-1206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9BE" w:rsidP="00810B6F" w14:paraId="5CCF920C" w14:textId="77777777">
    <w:pPr>
      <w:pStyle w:val="Header"/>
      <w:rPr>
        <w:b w:val="0"/>
      </w:rPr>
    </w:pPr>
    <w:r>
      <w:tab/>
      <w:t>Federal Communications Commission</w:t>
    </w:r>
    <w:r>
      <w:tab/>
      <w:t>DA 19-</w:t>
    </w:r>
    <w:r>
      <w:rPr>
        <w:spacing w:val="-2"/>
      </w:rPr>
      <w:t>1206</w:t>
    </w:r>
  </w:p>
  <w:p w:rsidR="00AD59BE" w14:paraId="2222CB40" w14:textId="7777777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AD59BE" w14:paraId="2BDC178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9BE" w:rsidP="00810B6F" w14:paraId="7441A996" w14:textId="77777777">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DA 19-1206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9BE" w:rsidP="00810B6F" w14:paraId="012D6D14" w14:textId="77777777">
    <w:pPr>
      <w:pStyle w:val="Header"/>
      <w:rPr>
        <w:b w:val="0"/>
      </w:rPr>
    </w:pPr>
    <w:r>
      <w:tab/>
      <w:t>Federal Communications Commission</w:t>
    </w:r>
    <w:r>
      <w:tab/>
      <w:t>DA 19-</w:t>
    </w:r>
    <w:r w:rsidR="005435D5">
      <w:t>1206</w:t>
    </w:r>
  </w:p>
  <w:p w:rsidR="00AD59BE" w14:paraId="46BE42AD" w14:textId="77777777">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p w:rsidR="00AD59BE" w14:paraId="0C10B959"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9BE" w:rsidP="00810B6F" w14:paraId="5E2CF102" w14:textId="77777777">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r>
      <w:tab/>
      <w:t>Federal Communications Commission</w:t>
    </w:r>
    <w:r>
      <w:tab/>
      <w:t>DA 19-XXX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9BE" w:rsidP="00810B6F" w14:paraId="55A8DAF6" w14:textId="77777777">
    <w:pPr>
      <w:pStyle w:val="Header"/>
      <w:rPr>
        <w:b w:val="0"/>
      </w:rPr>
    </w:pPr>
    <w:r>
      <w:tab/>
      <w:t>Federal Communications Commission</w:t>
    </w:r>
    <w:r>
      <w:tab/>
      <w:t>DA 19-</w:t>
    </w:r>
    <w:r w:rsidR="005435D5">
      <w:t>1206</w:t>
    </w:r>
  </w:p>
  <w:p w:rsidR="00AD59BE" w14:paraId="49E4EF33" w14:textId="77777777">
    <w:pPr>
      <w:tabs>
        <w:tab w:val="left" w:pos="-720"/>
      </w:tabs>
      <w:suppressAutoHyphens/>
      <w:spacing w:line="19" w:lineRule="exact"/>
      <w:rPr>
        <w:spacing w:val="-2"/>
      </w:rPr>
    </w:pPr>
    <w:r>
      <w:rPr>
        <w:noProof/>
      </w:rPr>
      <w:pict>
        <v:rect 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strokeweight="0.05pt">
          <w10:wrap anchorx="margin"/>
        </v:rect>
      </w:pict>
    </w:r>
  </w:p>
  <w:p w:rsidR="00AD59BE" w14:paraId="6EB95D94" w14:textId="77777777">
    <w:pPr>
      <w:spacing w:after="389"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9BE" w:rsidP="00810B6F" w14:paraId="6FA1397D" w14:textId="77777777">
    <w:pPr>
      <w:pStyle w:val="Header"/>
      <w:rPr>
        <w:b w:val="0"/>
      </w:rPr>
    </w:pPr>
    <w:r>
      <w:rPr>
        <w:noProof/>
      </w:rPr>
      <w:pict>
        <v:rect 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w:r>
    <w:r>
      <w:tab/>
      <w:t>Federal Communications Commission</w:t>
    </w:r>
    <w:r>
      <w:tab/>
      <w:t>DA 19-XXX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9BE" w:rsidP="00810B6F" w14:paraId="5A77BE10" w14:textId="77777777">
    <w:pPr>
      <w:pStyle w:val="Header"/>
      <w:rPr>
        <w:b w:val="0"/>
      </w:rPr>
    </w:pPr>
    <w:r>
      <w:tab/>
      <w:t>Federal Communications Commission</w:t>
    </w:r>
    <w:r>
      <w:tab/>
      <w:t>DA 19-</w:t>
    </w:r>
    <w:r w:rsidR="005435D5">
      <w:t>1206</w:t>
    </w:r>
  </w:p>
  <w:p w:rsidR="00AD59BE" w14:paraId="3EC35610" w14:textId="77777777">
    <w:pPr>
      <w:tabs>
        <w:tab w:val="left" w:pos="-720"/>
      </w:tabs>
      <w:suppressAutoHyphens/>
      <w:spacing w:line="19" w:lineRule="exact"/>
      <w:rPr>
        <w:spacing w:val="-2"/>
      </w:rPr>
    </w:pPr>
    <w:r>
      <w:rPr>
        <w:noProof/>
      </w:rPr>
      <w:pict>
        <v:rect 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w:r>
  </w:p>
  <w:p w:rsidR="00AD59BE" w14:paraId="66C96D04" w14:textId="77777777">
    <w:pPr>
      <w:spacing w:after="389" w:line="100" w:lineRule="exact"/>
      <w:rPr>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9BE" w:rsidP="00810B6F" w14:paraId="7126102C" w14:textId="77777777">
    <w:pPr>
      <w:pStyle w:val="Header"/>
      <w:rPr>
        <w:b w:val="0"/>
      </w:rPr>
    </w:pPr>
    <w:r>
      <w:rPr>
        <w:noProof/>
      </w:rPr>
      <w:pict>
        <v:rect id="_x0000_s2056"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w:r>
    <w:r>
      <w:tab/>
      <w:t>Federal Communications Commission</w:t>
    </w:r>
    <w:r>
      <w:tab/>
      <w:t>DA 19-XXX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0AC73B0"/>
    <w:multiLevelType w:val="hybridMultilevel"/>
    <w:tmpl w:val="DDF80650"/>
    <w:lvl w:ilvl="0">
      <w:start w:val="1"/>
      <w:numFmt w:val="decimal"/>
      <w:lvlText w:val="%1."/>
      <w:lvlJc w:val="left"/>
      <w:pPr>
        <w:ind w:left="135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ECB1219"/>
    <w:multiLevelType w:val="hybridMultilevel"/>
    <w:tmpl w:val="DDF80650"/>
    <w:lvl w:ilvl="0">
      <w:start w:val="1"/>
      <w:numFmt w:val="decimal"/>
      <w:lvlText w:val="%1."/>
      <w:lvlJc w:val="left"/>
      <w:pPr>
        <w:ind w:left="2160" w:hanging="720"/>
      </w:pPr>
      <w:rPr>
        <w:rFonts w:hint="default"/>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7"/>
  </w:num>
  <w:num w:numId="9">
    <w:abstractNumId w:val="6"/>
    <w:lvlOverride w:ilvl="0">
      <w:startOverride w:val="1"/>
    </w:lvlOverride>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BE"/>
    <w:rsid w:val="000105BB"/>
    <w:rsid w:val="0002249C"/>
    <w:rsid w:val="00024731"/>
    <w:rsid w:val="00036039"/>
    <w:rsid w:val="00037F90"/>
    <w:rsid w:val="00053B73"/>
    <w:rsid w:val="00056FBB"/>
    <w:rsid w:val="0006030A"/>
    <w:rsid w:val="00065DB7"/>
    <w:rsid w:val="0007448A"/>
    <w:rsid w:val="000875BF"/>
    <w:rsid w:val="00091D81"/>
    <w:rsid w:val="00092E9F"/>
    <w:rsid w:val="00096D8C"/>
    <w:rsid w:val="000975A1"/>
    <w:rsid w:val="000B0BDF"/>
    <w:rsid w:val="000B338F"/>
    <w:rsid w:val="000C0B65"/>
    <w:rsid w:val="000D7B79"/>
    <w:rsid w:val="000E05FE"/>
    <w:rsid w:val="000E3D42"/>
    <w:rsid w:val="000E7E27"/>
    <w:rsid w:val="00116B61"/>
    <w:rsid w:val="00122BD5"/>
    <w:rsid w:val="00133F79"/>
    <w:rsid w:val="00136552"/>
    <w:rsid w:val="00140B19"/>
    <w:rsid w:val="00146460"/>
    <w:rsid w:val="00150AFE"/>
    <w:rsid w:val="00180D8A"/>
    <w:rsid w:val="00194A66"/>
    <w:rsid w:val="001A3060"/>
    <w:rsid w:val="001C44DE"/>
    <w:rsid w:val="001D6BCF"/>
    <w:rsid w:val="001E01CA"/>
    <w:rsid w:val="001E4B67"/>
    <w:rsid w:val="001F58A5"/>
    <w:rsid w:val="0020009A"/>
    <w:rsid w:val="00212459"/>
    <w:rsid w:val="00214298"/>
    <w:rsid w:val="00242B25"/>
    <w:rsid w:val="0025034E"/>
    <w:rsid w:val="00272369"/>
    <w:rsid w:val="00275CF5"/>
    <w:rsid w:val="0028301F"/>
    <w:rsid w:val="00285017"/>
    <w:rsid w:val="002A2D2E"/>
    <w:rsid w:val="002A4CC5"/>
    <w:rsid w:val="002C00E8"/>
    <w:rsid w:val="002D1BF3"/>
    <w:rsid w:val="002D6F80"/>
    <w:rsid w:val="002E0C33"/>
    <w:rsid w:val="002F2BB5"/>
    <w:rsid w:val="002F4F8A"/>
    <w:rsid w:val="002F6DCE"/>
    <w:rsid w:val="00300C9A"/>
    <w:rsid w:val="00331478"/>
    <w:rsid w:val="00343749"/>
    <w:rsid w:val="0035387D"/>
    <w:rsid w:val="00362945"/>
    <w:rsid w:val="003660ED"/>
    <w:rsid w:val="0036654D"/>
    <w:rsid w:val="003712C2"/>
    <w:rsid w:val="00373966"/>
    <w:rsid w:val="00387665"/>
    <w:rsid w:val="003916C6"/>
    <w:rsid w:val="00393B8E"/>
    <w:rsid w:val="00394D17"/>
    <w:rsid w:val="003B0550"/>
    <w:rsid w:val="003B0CBC"/>
    <w:rsid w:val="003B694F"/>
    <w:rsid w:val="003E556F"/>
    <w:rsid w:val="003F171C"/>
    <w:rsid w:val="003F69F1"/>
    <w:rsid w:val="0040567C"/>
    <w:rsid w:val="00407921"/>
    <w:rsid w:val="00412FC5"/>
    <w:rsid w:val="00415CA3"/>
    <w:rsid w:val="00421633"/>
    <w:rsid w:val="00422276"/>
    <w:rsid w:val="004242F1"/>
    <w:rsid w:val="00442975"/>
    <w:rsid w:val="004431D1"/>
    <w:rsid w:val="004446EA"/>
    <w:rsid w:val="00445A00"/>
    <w:rsid w:val="00451B0F"/>
    <w:rsid w:val="004535ED"/>
    <w:rsid w:val="0046640F"/>
    <w:rsid w:val="00485936"/>
    <w:rsid w:val="004936AE"/>
    <w:rsid w:val="004B3A17"/>
    <w:rsid w:val="004C2EE3"/>
    <w:rsid w:val="004C3310"/>
    <w:rsid w:val="004D13D2"/>
    <w:rsid w:val="004D1B2B"/>
    <w:rsid w:val="004D4C44"/>
    <w:rsid w:val="004E4A22"/>
    <w:rsid w:val="004F4A0D"/>
    <w:rsid w:val="00511968"/>
    <w:rsid w:val="00514805"/>
    <w:rsid w:val="005254E9"/>
    <w:rsid w:val="0053232D"/>
    <w:rsid w:val="0053754C"/>
    <w:rsid w:val="00540F79"/>
    <w:rsid w:val="005435D5"/>
    <w:rsid w:val="0055614C"/>
    <w:rsid w:val="00566D06"/>
    <w:rsid w:val="005938B7"/>
    <w:rsid w:val="00594117"/>
    <w:rsid w:val="005A64AB"/>
    <w:rsid w:val="005B10C5"/>
    <w:rsid w:val="005B3BDB"/>
    <w:rsid w:val="005C18B5"/>
    <w:rsid w:val="005E14C2"/>
    <w:rsid w:val="00605E74"/>
    <w:rsid w:val="00607BA5"/>
    <w:rsid w:val="0061180A"/>
    <w:rsid w:val="00622FA3"/>
    <w:rsid w:val="00626EB6"/>
    <w:rsid w:val="00645FB7"/>
    <w:rsid w:val="006462D2"/>
    <w:rsid w:val="00654518"/>
    <w:rsid w:val="00655D03"/>
    <w:rsid w:val="00667818"/>
    <w:rsid w:val="00671A3F"/>
    <w:rsid w:val="00683388"/>
    <w:rsid w:val="00683F84"/>
    <w:rsid w:val="006A0F68"/>
    <w:rsid w:val="006A4325"/>
    <w:rsid w:val="006A6A81"/>
    <w:rsid w:val="006C7064"/>
    <w:rsid w:val="006F51CB"/>
    <w:rsid w:val="006F7393"/>
    <w:rsid w:val="0070224F"/>
    <w:rsid w:val="007115F7"/>
    <w:rsid w:val="0074246F"/>
    <w:rsid w:val="0077285D"/>
    <w:rsid w:val="00785689"/>
    <w:rsid w:val="00790CAD"/>
    <w:rsid w:val="0079754B"/>
    <w:rsid w:val="007A1E6D"/>
    <w:rsid w:val="007B0EB2"/>
    <w:rsid w:val="007B3B15"/>
    <w:rsid w:val="007C422E"/>
    <w:rsid w:val="007D337C"/>
    <w:rsid w:val="007F672E"/>
    <w:rsid w:val="00802A2A"/>
    <w:rsid w:val="008065C3"/>
    <w:rsid w:val="00810B6F"/>
    <w:rsid w:val="00822CE0"/>
    <w:rsid w:val="00823BFD"/>
    <w:rsid w:val="00824366"/>
    <w:rsid w:val="00827379"/>
    <w:rsid w:val="00833BC2"/>
    <w:rsid w:val="008415F5"/>
    <w:rsid w:val="00841AB1"/>
    <w:rsid w:val="00855E5F"/>
    <w:rsid w:val="00885B2E"/>
    <w:rsid w:val="008C3A22"/>
    <w:rsid w:val="008C68F1"/>
    <w:rsid w:val="008C6B60"/>
    <w:rsid w:val="008C7C9E"/>
    <w:rsid w:val="008D07A7"/>
    <w:rsid w:val="008D171E"/>
    <w:rsid w:val="008F7606"/>
    <w:rsid w:val="00904586"/>
    <w:rsid w:val="00910C10"/>
    <w:rsid w:val="00913553"/>
    <w:rsid w:val="00921803"/>
    <w:rsid w:val="00925B45"/>
    <w:rsid w:val="00926503"/>
    <w:rsid w:val="00943FE7"/>
    <w:rsid w:val="00955B74"/>
    <w:rsid w:val="009726D8"/>
    <w:rsid w:val="00986D86"/>
    <w:rsid w:val="009A7BC2"/>
    <w:rsid w:val="009C53EE"/>
    <w:rsid w:val="009D7308"/>
    <w:rsid w:val="009F76DB"/>
    <w:rsid w:val="00A10A97"/>
    <w:rsid w:val="00A30604"/>
    <w:rsid w:val="00A32C3B"/>
    <w:rsid w:val="00A35B2B"/>
    <w:rsid w:val="00A45F4F"/>
    <w:rsid w:val="00A50F6D"/>
    <w:rsid w:val="00A600A9"/>
    <w:rsid w:val="00A607C5"/>
    <w:rsid w:val="00A72EC8"/>
    <w:rsid w:val="00A7371F"/>
    <w:rsid w:val="00A96C48"/>
    <w:rsid w:val="00AA55B7"/>
    <w:rsid w:val="00AA5B9E"/>
    <w:rsid w:val="00AB2212"/>
    <w:rsid w:val="00AB2407"/>
    <w:rsid w:val="00AB53DF"/>
    <w:rsid w:val="00AD59BE"/>
    <w:rsid w:val="00AE056C"/>
    <w:rsid w:val="00B07E5C"/>
    <w:rsid w:val="00B2127A"/>
    <w:rsid w:val="00B34B79"/>
    <w:rsid w:val="00B36473"/>
    <w:rsid w:val="00B724FC"/>
    <w:rsid w:val="00B811F7"/>
    <w:rsid w:val="00B87EE2"/>
    <w:rsid w:val="00BA5DC6"/>
    <w:rsid w:val="00BA6196"/>
    <w:rsid w:val="00BA6784"/>
    <w:rsid w:val="00BA7D5C"/>
    <w:rsid w:val="00BC2ED0"/>
    <w:rsid w:val="00BC4208"/>
    <w:rsid w:val="00BC63C7"/>
    <w:rsid w:val="00BC6D8C"/>
    <w:rsid w:val="00BE7A09"/>
    <w:rsid w:val="00C10F1C"/>
    <w:rsid w:val="00C229E8"/>
    <w:rsid w:val="00C26A76"/>
    <w:rsid w:val="00C33444"/>
    <w:rsid w:val="00C34006"/>
    <w:rsid w:val="00C36B4C"/>
    <w:rsid w:val="00C4084E"/>
    <w:rsid w:val="00C426B1"/>
    <w:rsid w:val="00C43DE2"/>
    <w:rsid w:val="00C66160"/>
    <w:rsid w:val="00C721AC"/>
    <w:rsid w:val="00C90D6A"/>
    <w:rsid w:val="00C92119"/>
    <w:rsid w:val="00CA247E"/>
    <w:rsid w:val="00CA6D21"/>
    <w:rsid w:val="00CA73BB"/>
    <w:rsid w:val="00CB16FB"/>
    <w:rsid w:val="00CB5A3E"/>
    <w:rsid w:val="00CC72B6"/>
    <w:rsid w:val="00CD786D"/>
    <w:rsid w:val="00CE73B1"/>
    <w:rsid w:val="00CF4007"/>
    <w:rsid w:val="00D0218D"/>
    <w:rsid w:val="00D12C9E"/>
    <w:rsid w:val="00D25FB5"/>
    <w:rsid w:val="00D44223"/>
    <w:rsid w:val="00D55742"/>
    <w:rsid w:val="00D80D15"/>
    <w:rsid w:val="00D82F8E"/>
    <w:rsid w:val="00DA16DB"/>
    <w:rsid w:val="00DA2529"/>
    <w:rsid w:val="00DB130A"/>
    <w:rsid w:val="00DB2604"/>
    <w:rsid w:val="00DB2EBB"/>
    <w:rsid w:val="00DC10A1"/>
    <w:rsid w:val="00DC655F"/>
    <w:rsid w:val="00DD0B59"/>
    <w:rsid w:val="00DD7EBD"/>
    <w:rsid w:val="00DE03BD"/>
    <w:rsid w:val="00DF2038"/>
    <w:rsid w:val="00DF62B6"/>
    <w:rsid w:val="00E07225"/>
    <w:rsid w:val="00E244C1"/>
    <w:rsid w:val="00E32435"/>
    <w:rsid w:val="00E333AF"/>
    <w:rsid w:val="00E43301"/>
    <w:rsid w:val="00E4548C"/>
    <w:rsid w:val="00E5409F"/>
    <w:rsid w:val="00E9464E"/>
    <w:rsid w:val="00EB0AA0"/>
    <w:rsid w:val="00ED3BE7"/>
    <w:rsid w:val="00EE6488"/>
    <w:rsid w:val="00F021FA"/>
    <w:rsid w:val="00F15113"/>
    <w:rsid w:val="00F170E3"/>
    <w:rsid w:val="00F46A8D"/>
    <w:rsid w:val="00F62E97"/>
    <w:rsid w:val="00F64209"/>
    <w:rsid w:val="00F67CEC"/>
    <w:rsid w:val="00F7457A"/>
    <w:rsid w:val="00F802BC"/>
    <w:rsid w:val="00F854C1"/>
    <w:rsid w:val="00F93BF5"/>
    <w:rsid w:val="00FA3141"/>
    <w:rsid w:val="00FD45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DD9742B-09A6-4C52-B15D-789EBE76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966"/>
    <w:pPr>
      <w:widowControl w:val="0"/>
    </w:pPr>
    <w:rPr>
      <w:snapToGrid w:val="0"/>
      <w:kern w:val="28"/>
      <w:sz w:val="22"/>
    </w:rPr>
  </w:style>
  <w:style w:type="paragraph" w:styleId="Heading1">
    <w:name w:val="heading 1"/>
    <w:basedOn w:val="Normal"/>
    <w:next w:val="ParaNum"/>
    <w:qFormat/>
    <w:rsid w:val="0037396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73966"/>
    <w:pPr>
      <w:keepNext/>
      <w:numPr>
        <w:ilvl w:val="1"/>
        <w:numId w:val="3"/>
      </w:numPr>
      <w:spacing w:after="120"/>
      <w:outlineLvl w:val="1"/>
    </w:pPr>
    <w:rPr>
      <w:b/>
    </w:rPr>
  </w:style>
  <w:style w:type="paragraph" w:styleId="Heading3">
    <w:name w:val="heading 3"/>
    <w:basedOn w:val="Normal"/>
    <w:next w:val="ParaNum"/>
    <w:qFormat/>
    <w:rsid w:val="00373966"/>
    <w:pPr>
      <w:keepNext/>
      <w:numPr>
        <w:ilvl w:val="2"/>
        <w:numId w:val="3"/>
      </w:numPr>
      <w:tabs>
        <w:tab w:val="left" w:pos="2160"/>
      </w:tabs>
      <w:spacing w:after="120"/>
      <w:outlineLvl w:val="2"/>
    </w:pPr>
    <w:rPr>
      <w:b/>
    </w:rPr>
  </w:style>
  <w:style w:type="paragraph" w:styleId="Heading4">
    <w:name w:val="heading 4"/>
    <w:basedOn w:val="Normal"/>
    <w:next w:val="ParaNum"/>
    <w:qFormat/>
    <w:rsid w:val="00373966"/>
    <w:pPr>
      <w:keepNext/>
      <w:numPr>
        <w:ilvl w:val="3"/>
        <w:numId w:val="3"/>
      </w:numPr>
      <w:tabs>
        <w:tab w:val="left" w:pos="2880"/>
      </w:tabs>
      <w:spacing w:after="120"/>
      <w:outlineLvl w:val="3"/>
    </w:pPr>
    <w:rPr>
      <w:b/>
    </w:rPr>
  </w:style>
  <w:style w:type="paragraph" w:styleId="Heading5">
    <w:name w:val="heading 5"/>
    <w:basedOn w:val="Normal"/>
    <w:next w:val="ParaNum"/>
    <w:qFormat/>
    <w:rsid w:val="0037396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73966"/>
    <w:pPr>
      <w:numPr>
        <w:ilvl w:val="5"/>
        <w:numId w:val="3"/>
      </w:numPr>
      <w:tabs>
        <w:tab w:val="left" w:pos="4320"/>
      </w:tabs>
      <w:spacing w:after="120"/>
      <w:outlineLvl w:val="5"/>
    </w:pPr>
    <w:rPr>
      <w:b/>
    </w:rPr>
  </w:style>
  <w:style w:type="paragraph" w:styleId="Heading7">
    <w:name w:val="heading 7"/>
    <w:basedOn w:val="Normal"/>
    <w:next w:val="ParaNum"/>
    <w:qFormat/>
    <w:rsid w:val="0037396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7396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7396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739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3966"/>
  </w:style>
  <w:style w:type="paragraph" w:customStyle="1" w:styleId="ParaNum">
    <w:name w:val="ParaNum"/>
    <w:basedOn w:val="Normal"/>
    <w:link w:val="ParaNumChar"/>
    <w:rsid w:val="00373966"/>
    <w:pPr>
      <w:numPr>
        <w:numId w:val="2"/>
      </w:numPr>
      <w:tabs>
        <w:tab w:val="clear" w:pos="1080"/>
        <w:tab w:val="num" w:pos="1440"/>
      </w:tabs>
      <w:spacing w:after="120"/>
    </w:pPr>
  </w:style>
  <w:style w:type="paragraph" w:styleId="EndnoteText">
    <w:name w:val="endnote text"/>
    <w:basedOn w:val="Normal"/>
    <w:semiHidden/>
    <w:rsid w:val="00373966"/>
    <w:rPr>
      <w:sz w:val="20"/>
    </w:rPr>
  </w:style>
  <w:style w:type="character" w:styleId="EndnoteReference">
    <w:name w:val="endnote reference"/>
    <w:semiHidden/>
    <w:rsid w:val="00373966"/>
    <w:rPr>
      <w:vertAlign w:val="superscript"/>
    </w:rPr>
  </w:style>
  <w:style w:type="paragraph" w:styleId="FootnoteText">
    <w:name w:val="footnote text"/>
    <w:aliases w:val="Footnote Text Char,Footnote Text Char Char Char Char,Footnote Text Char Char1,Footnote Text Char1 Char Char,Footnote Text Char1 Char Char Char Char Char,Footnote Text Char2,Footnote Text Char2 Char Char1 Char Char,Footnote Text Char3 Char"/>
    <w:link w:val="FootnoteTextChar1"/>
    <w:rsid w:val="00373966"/>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373966"/>
    <w:rPr>
      <w:rFonts w:ascii="Times New Roman" w:hAnsi="Times New Roman"/>
      <w:dstrike w:val="0"/>
      <w:color w:val="auto"/>
      <w:sz w:val="20"/>
      <w:vertAlign w:val="superscript"/>
    </w:rPr>
  </w:style>
  <w:style w:type="paragraph" w:styleId="TOC1">
    <w:name w:val="toc 1"/>
    <w:basedOn w:val="Normal"/>
    <w:next w:val="Normal"/>
    <w:semiHidden/>
    <w:rsid w:val="0037396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73966"/>
    <w:pPr>
      <w:tabs>
        <w:tab w:val="left" w:pos="720"/>
        <w:tab w:val="right" w:leader="dot" w:pos="9360"/>
      </w:tabs>
      <w:suppressAutoHyphens/>
      <w:ind w:left="720" w:right="720" w:hanging="360"/>
    </w:pPr>
    <w:rPr>
      <w:noProof/>
    </w:rPr>
  </w:style>
  <w:style w:type="paragraph" w:styleId="TOC3">
    <w:name w:val="toc 3"/>
    <w:basedOn w:val="Normal"/>
    <w:next w:val="Normal"/>
    <w:semiHidden/>
    <w:rsid w:val="0037396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7396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7396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7396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7396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7396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7396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73966"/>
    <w:pPr>
      <w:tabs>
        <w:tab w:val="right" w:pos="9360"/>
      </w:tabs>
      <w:suppressAutoHyphens/>
    </w:pPr>
  </w:style>
  <w:style w:type="character" w:customStyle="1" w:styleId="EquationCaption">
    <w:name w:val="_Equation Caption"/>
    <w:rsid w:val="00373966"/>
  </w:style>
  <w:style w:type="paragraph" w:styleId="Header">
    <w:name w:val="header"/>
    <w:basedOn w:val="Normal"/>
    <w:autoRedefine/>
    <w:rsid w:val="00373966"/>
    <w:pPr>
      <w:tabs>
        <w:tab w:val="center" w:pos="4680"/>
        <w:tab w:val="right" w:pos="9360"/>
      </w:tabs>
    </w:pPr>
    <w:rPr>
      <w:b/>
    </w:rPr>
  </w:style>
  <w:style w:type="paragraph" w:styleId="Footer">
    <w:name w:val="footer"/>
    <w:basedOn w:val="Normal"/>
    <w:link w:val="FooterChar"/>
    <w:uiPriority w:val="99"/>
    <w:rsid w:val="00373966"/>
    <w:pPr>
      <w:tabs>
        <w:tab w:val="center" w:pos="4320"/>
        <w:tab w:val="right" w:pos="8640"/>
      </w:tabs>
    </w:pPr>
  </w:style>
  <w:style w:type="character" w:styleId="PageNumber">
    <w:name w:val="page number"/>
    <w:basedOn w:val="DefaultParagraphFont"/>
    <w:rsid w:val="00373966"/>
  </w:style>
  <w:style w:type="paragraph" w:styleId="BlockText">
    <w:name w:val="Block Text"/>
    <w:basedOn w:val="Normal"/>
    <w:rsid w:val="00373966"/>
    <w:pPr>
      <w:spacing w:after="240"/>
      <w:ind w:left="1440" w:right="1440"/>
    </w:pPr>
  </w:style>
  <w:style w:type="paragraph" w:customStyle="1" w:styleId="Paratitle">
    <w:name w:val="Para title"/>
    <w:basedOn w:val="Normal"/>
    <w:rsid w:val="00373966"/>
    <w:pPr>
      <w:tabs>
        <w:tab w:val="center" w:pos="9270"/>
      </w:tabs>
      <w:spacing w:after="240"/>
    </w:pPr>
    <w:rPr>
      <w:spacing w:val="-2"/>
    </w:rPr>
  </w:style>
  <w:style w:type="paragraph" w:customStyle="1" w:styleId="Bullet">
    <w:name w:val="Bullet"/>
    <w:basedOn w:val="Normal"/>
    <w:rsid w:val="00373966"/>
    <w:pPr>
      <w:tabs>
        <w:tab w:val="left" w:pos="2160"/>
      </w:tabs>
      <w:spacing w:after="220"/>
      <w:ind w:left="2160" w:hanging="720"/>
    </w:pPr>
  </w:style>
  <w:style w:type="paragraph" w:customStyle="1" w:styleId="TableFormat">
    <w:name w:val="TableFormat"/>
    <w:basedOn w:val="Bullet"/>
    <w:rsid w:val="00373966"/>
    <w:pPr>
      <w:tabs>
        <w:tab w:val="clear" w:pos="2160"/>
        <w:tab w:val="left" w:pos="5040"/>
      </w:tabs>
      <w:ind w:left="5040" w:hanging="3600"/>
    </w:pPr>
  </w:style>
  <w:style w:type="paragraph" w:customStyle="1" w:styleId="TOCTitle">
    <w:name w:val="TOC Title"/>
    <w:basedOn w:val="Normal"/>
    <w:rsid w:val="0037396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73966"/>
    <w:pPr>
      <w:jc w:val="center"/>
    </w:pPr>
    <w:rPr>
      <w:rFonts w:ascii="Times New Roman Bold" w:hAnsi="Times New Roman Bold"/>
      <w:b/>
      <w:bCs/>
      <w:caps/>
      <w:szCs w:val="22"/>
    </w:rPr>
  </w:style>
  <w:style w:type="character" w:styleId="Hyperlink">
    <w:name w:val="Hyperlink"/>
    <w:rsid w:val="00373966"/>
    <w:rPr>
      <w:color w:val="0000FF"/>
      <w:u w:val="single"/>
    </w:rPr>
  </w:style>
  <w:style w:type="character" w:customStyle="1" w:styleId="FooterChar">
    <w:name w:val="Footer Char"/>
    <w:link w:val="Footer"/>
    <w:uiPriority w:val="99"/>
    <w:rsid w:val="00373966"/>
    <w:rPr>
      <w:snapToGrid w:val="0"/>
      <w:kern w:val="28"/>
      <w:sz w:val="22"/>
    </w:rPr>
  </w:style>
  <w:style w:type="character" w:customStyle="1" w:styleId="FootnoteTextChar1">
    <w:name w:val="Footnote Text Char1"/>
    <w:aliases w:val="Footnote Text Char Char Char Char Char,Footnote Text Char Char1 Char,Footnote Text Char1 Char Char Char,Footnote Text Char1 Char Char Char Char Char Char,Footnote Text Char2 Char,Footnote Text Char2 Char Char1 Char Char Char"/>
    <w:link w:val="FootnoteText"/>
    <w:rsid w:val="00AD59BE"/>
  </w:style>
  <w:style w:type="character" w:customStyle="1" w:styleId="Heading2Char">
    <w:name w:val="Heading 2 Char"/>
    <w:link w:val="Heading2"/>
    <w:rsid w:val="00AD59BE"/>
    <w:rPr>
      <w:b/>
      <w:snapToGrid w:val="0"/>
      <w:kern w:val="28"/>
      <w:sz w:val="22"/>
    </w:rPr>
  </w:style>
  <w:style w:type="character" w:customStyle="1" w:styleId="ParaNumChar">
    <w:name w:val="ParaNum Char"/>
    <w:link w:val="ParaNum"/>
    <w:rsid w:val="00AD59BE"/>
    <w:rPr>
      <w:snapToGrid w:val="0"/>
      <w:kern w:val="28"/>
      <w:sz w:val="22"/>
    </w:rPr>
  </w:style>
  <w:style w:type="character" w:customStyle="1" w:styleId="UnresolvedMention">
    <w:name w:val="Unresolved Mention"/>
    <w:uiPriority w:val="99"/>
    <w:semiHidden/>
    <w:unhideWhenUsed/>
    <w:rsid w:val="00AD59BE"/>
    <w:rPr>
      <w:color w:val="605E5C"/>
      <w:shd w:val="clear" w:color="auto" w:fill="E1DFDD"/>
    </w:rPr>
  </w:style>
  <w:style w:type="character" w:customStyle="1" w:styleId="FootnoteTextCharCharCharCharChar1">
    <w:name w:val="Footnote Text Char Char Char Char Char1"/>
    <w:aliases w:val="Footnote Text Char Char1 Char1,Footnote Text Char1 Char Char Char Char Char Char1,Footnote Text Char1 Char Char Char1,Footnote Text Char2 Char Char1 Char Char Char1,Footnote Text Char2 Char1"/>
    <w:rsid w:val="00AD59BE"/>
  </w:style>
  <w:style w:type="character" w:styleId="Emphasis">
    <w:name w:val="Emphasis"/>
    <w:uiPriority w:val="20"/>
    <w:qFormat/>
    <w:rsid w:val="00AD59BE"/>
    <w:rPr>
      <w:i/>
      <w:iCs/>
    </w:rPr>
  </w:style>
  <w:style w:type="character" w:customStyle="1" w:styleId="cosearchterm">
    <w:name w:val="co_searchterm"/>
    <w:rsid w:val="00AD59BE"/>
  </w:style>
  <w:style w:type="paragraph" w:styleId="BalloonText">
    <w:name w:val="Balloon Text"/>
    <w:basedOn w:val="Normal"/>
    <w:link w:val="BalloonTextChar"/>
    <w:rsid w:val="00AD59BE"/>
    <w:rPr>
      <w:rFonts w:ascii="Segoe UI" w:hAnsi="Segoe UI" w:cs="Segoe UI"/>
      <w:sz w:val="18"/>
      <w:szCs w:val="18"/>
    </w:rPr>
  </w:style>
  <w:style w:type="character" w:customStyle="1" w:styleId="BalloonTextChar">
    <w:name w:val="Balloon Text Char"/>
    <w:basedOn w:val="DefaultParagraphFont"/>
    <w:link w:val="BalloonText"/>
    <w:rsid w:val="00AD59BE"/>
    <w:rPr>
      <w:rFonts w:ascii="Segoe UI" w:hAnsi="Segoe UI" w:cs="Segoe UI"/>
      <w:snapToGrid w:val="0"/>
      <w:kern w:val="28"/>
      <w:sz w:val="18"/>
      <w:szCs w:val="18"/>
    </w:rPr>
  </w:style>
  <w:style w:type="character" w:styleId="CommentReference">
    <w:name w:val="annotation reference"/>
    <w:uiPriority w:val="99"/>
    <w:rsid w:val="00AD59BE"/>
    <w:rPr>
      <w:sz w:val="16"/>
      <w:szCs w:val="16"/>
    </w:rPr>
  </w:style>
  <w:style w:type="paragraph" w:styleId="CommentText">
    <w:name w:val="annotation text"/>
    <w:basedOn w:val="Normal"/>
    <w:link w:val="CommentTextChar"/>
    <w:uiPriority w:val="99"/>
    <w:rsid w:val="00AD59BE"/>
    <w:rPr>
      <w:sz w:val="20"/>
    </w:rPr>
  </w:style>
  <w:style w:type="character" w:customStyle="1" w:styleId="CommentTextChar">
    <w:name w:val="Comment Text Char"/>
    <w:basedOn w:val="DefaultParagraphFont"/>
    <w:link w:val="CommentText"/>
    <w:uiPriority w:val="99"/>
    <w:rsid w:val="00AD59BE"/>
    <w:rPr>
      <w:snapToGrid w:val="0"/>
      <w:kern w:val="28"/>
    </w:rPr>
  </w:style>
  <w:style w:type="paragraph" w:styleId="CommentSubject">
    <w:name w:val="annotation subject"/>
    <w:basedOn w:val="CommentText"/>
    <w:next w:val="CommentText"/>
    <w:link w:val="CommentSubjectChar"/>
    <w:rsid w:val="00AD59BE"/>
    <w:rPr>
      <w:b/>
      <w:bCs/>
    </w:rPr>
  </w:style>
  <w:style w:type="character" w:customStyle="1" w:styleId="CommentSubjectChar">
    <w:name w:val="Comment Subject Char"/>
    <w:basedOn w:val="CommentTextChar"/>
    <w:link w:val="CommentSubject"/>
    <w:rsid w:val="00AD59BE"/>
    <w:rPr>
      <w:b/>
      <w:bCs/>
      <w:snapToGrid w:val="0"/>
      <w:kern w:val="28"/>
    </w:rPr>
  </w:style>
  <w:style w:type="paragraph" w:styleId="Revision">
    <w:name w:val="Revision"/>
    <w:hidden/>
    <w:uiPriority w:val="99"/>
    <w:semiHidden/>
    <w:rsid w:val="00AD59BE"/>
    <w:rPr>
      <w:snapToGrid w:val="0"/>
      <w:kern w:val="28"/>
      <w:sz w:val="22"/>
    </w:rPr>
  </w:style>
  <w:style w:type="character" w:customStyle="1" w:styleId="FootnoteTextChar1Char">
    <w:name w:val="Footnote Text Char1 Char"/>
    <w:aliases w:val="Footnote Text Char Char Char4 Char Char,Footnote Text Char4 Char1 Char Char,Footnote Text Char4 Char1 Char Char Char Char Char,Footnote Text Char7 Char Char,Footnote Text Char7 Char Char Char Char Char,fn Char"/>
    <w:rsid w:val="00AD59BE"/>
  </w:style>
  <w:style w:type="paragraph" w:styleId="ListParagraph">
    <w:name w:val="List Paragraph"/>
    <w:basedOn w:val="Normal"/>
    <w:uiPriority w:val="34"/>
    <w:qFormat/>
    <w:rsid w:val="00AD59BE"/>
    <w:pPr>
      <w:widowControl/>
      <w:spacing w:after="160" w:line="259" w:lineRule="auto"/>
      <w:ind w:left="720"/>
      <w:contextualSpacing/>
    </w:pPr>
    <w:rPr>
      <w:rFonts w:ascii="Calibri" w:eastAsia="Calibri" w:hAnsi="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footer" Target="footer9.xml" /><Relationship Id="rId22" Type="http://schemas.openxmlformats.org/officeDocument/2006/relationships/header" Target="header9.xml" /><Relationship Id="rId23" Type="http://schemas.openxmlformats.org/officeDocument/2006/relationships/header" Target="header10.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header" Target="header11.xml" /><Relationship Id="rId27" Type="http://schemas.openxmlformats.org/officeDocument/2006/relationships/footer" Target="footer12.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webSettings" Target="webSettings.xml" /><Relationship Id="rId30"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westlaw.com/Link/Document/FullText?findType=Y&amp;serNum=1987133410&amp;pubNum=0000350&amp;originatingDoc=I459ba2ed066d11e99a6efc60af1b5d9c&amp;refType=RP&amp;fi=co_pp_sp_350_181&amp;originationContext=document&amp;vr=3.0&amp;rs=cblt1.0&amp;transitionType=DocumentItem&amp;contextData=(sc.Search)" TargetMode="External" /><Relationship Id="rId2" Type="http://schemas.openxmlformats.org/officeDocument/2006/relationships/hyperlink" Target="http://www.westlaw.com/Link/Document/FullText?findType=Y&amp;serNum=1988122452&amp;pubNum=0000350&amp;originatingDoc=I459ba2ed066d11e99a6efc60af1b5d9c&amp;refType=RP&amp;fi=co_pp_sp_350_1561&amp;originationContext=document&amp;vr=3.0&amp;rs=cblt1.0&amp;transitionType=DocumentItem&amp;contextData=(sc.Search)" TargetMode="External" /><Relationship Id="rId3" Type="http://schemas.openxmlformats.org/officeDocument/2006/relationships/hyperlink" Target="http://www.westlaw.com/Link/Document/FullText?findType=L&amp;pubNum=1000546&amp;cite=47USCAS309&amp;originatingDoc=I459ba2ed066d11e99a6efc60af1b5d9c&amp;refType=RB&amp;originationContext=document&amp;vr=3.0&amp;rs=cblt1.0&amp;transitionType=DocumentItem&amp;contextData=(sc.Search)" TargetMode="External" /><Relationship Id="rId4" Type="http://schemas.openxmlformats.org/officeDocument/2006/relationships/hyperlink" Target="http://www.westlaw.com/Link/Document/FullText?findType=Y&amp;serNum=1996056508&amp;pubNum=0000506&amp;originatingDoc=I459ba2ed066d11e99a6efc60af1b5d9c&amp;refType=RP&amp;fi=co_pp_sp_506_1410&amp;originationContext=document&amp;vr=3.0&amp;rs=cblt1.0&amp;transitionType=DocumentItem&amp;contextData=(sc.Search)" TargetMode="External" /><Relationship Id="rId5" Type="http://schemas.openxmlformats.org/officeDocument/2006/relationships/hyperlink" Target="http://www.westlaw.com/Link/Document/FullText?findType=Y&amp;serNum=1985152904&amp;pubNum=0000350&amp;originatingDoc=I459ba2ed066d11e99a6efc60af1b5d9c&amp;refType=RP&amp;fi=co_pp_sp_350_394&amp;originationContext=document&amp;vr=3.0&amp;rs=cblt1.0&amp;transitionType=DocumentItem&amp;contextData=(sc.Search)" TargetMode="External" /><Relationship Id="rId6" Type="http://schemas.openxmlformats.org/officeDocument/2006/relationships/hyperlink" Target="https://1.next.westlaw.com/Link/Document/FullText?findType=Y&amp;serNum=2012250647&amp;pubNum=0004493&amp;originatingDoc=I160ee2d5683311e0a8a2938374af9660&amp;refType=CA&amp;fi=co_pp_sp_4493_9051&amp;originationContext=document&amp;transitionType=DocumentItem&amp;contextData=(sc.Search)" TargetMode="External" /><Relationship Id="rId7" Type="http://schemas.openxmlformats.org/officeDocument/2006/relationships/hyperlink" Target="https://1.next.westlaw.com/Link/Document/FullText?findType=Y&amp;serNum=2004331895&amp;pubNum=0004493&amp;originatingDoc=I160ee2d5683311e0a8a2938374af9660&amp;refType=CA&amp;fi=co_pp_sp_4493_7439&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