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962451" w14:paraId="57C40137" w14:textId="075895D6">
      <w:pPr>
        <w:widowControl/>
        <w:jc w:val="right"/>
        <w:rPr>
          <w:b/>
          <w:sz w:val="24"/>
        </w:rPr>
      </w:pPr>
      <w:r>
        <w:rPr>
          <w:b/>
          <w:sz w:val="24"/>
        </w:rPr>
        <w:t>DA 1</w:t>
      </w:r>
      <w:r w:rsidR="00CF7142">
        <w:rPr>
          <w:b/>
          <w:sz w:val="24"/>
        </w:rPr>
        <w:t>9</w:t>
      </w:r>
      <w:r>
        <w:rPr>
          <w:b/>
          <w:sz w:val="24"/>
        </w:rPr>
        <w:t>-</w:t>
      </w:r>
      <w:r w:rsidR="007D2F9C">
        <w:rPr>
          <w:b/>
          <w:sz w:val="24"/>
        </w:rPr>
        <w:t>1225</w:t>
      </w:r>
    </w:p>
    <w:p w:rsidR="00013A8B" w:rsidP="00962451" w14:paraId="156F8CB9" w14:textId="2E038564">
      <w:pPr>
        <w:widowControl/>
        <w:jc w:val="right"/>
        <w:rPr>
          <w:b/>
          <w:sz w:val="24"/>
        </w:rPr>
      </w:pPr>
      <w:r>
        <w:rPr>
          <w:b/>
          <w:sz w:val="24"/>
        </w:rPr>
        <w:t xml:space="preserve">Released:  </w:t>
      </w:r>
      <w:r w:rsidR="001C147B">
        <w:rPr>
          <w:b/>
          <w:sz w:val="24"/>
        </w:rPr>
        <w:t>December 2</w:t>
      </w:r>
      <w:r>
        <w:rPr>
          <w:b/>
          <w:sz w:val="24"/>
        </w:rPr>
        <w:t>, 201</w:t>
      </w:r>
      <w:r w:rsidR="00CF7142">
        <w:rPr>
          <w:b/>
          <w:sz w:val="24"/>
        </w:rPr>
        <w:t>9</w:t>
      </w:r>
    </w:p>
    <w:p w:rsidR="00682D4F" w:rsidP="00962451" w14:paraId="737664B4" w14:textId="77777777">
      <w:pPr>
        <w:widowControl/>
        <w:spacing w:after="120"/>
        <w:jc w:val="center"/>
        <w:rPr>
          <w:b/>
          <w:sz w:val="24"/>
        </w:rPr>
      </w:pPr>
    </w:p>
    <w:p w:rsidR="00F96F63" w:rsidP="00962451" w14:paraId="200242E1" w14:textId="1F6F17A9">
      <w:pPr>
        <w:widowControl/>
        <w:jc w:val="center"/>
        <w:rPr>
          <w:b/>
          <w:sz w:val="24"/>
        </w:rPr>
      </w:pPr>
      <w:r>
        <w:rPr>
          <w:b/>
          <w:sz w:val="24"/>
        </w:rPr>
        <w:t xml:space="preserve">WIRELESS TELECOMMUNICATIONS BUREAU </w:t>
      </w:r>
      <w:r w:rsidR="0073482D">
        <w:rPr>
          <w:b/>
          <w:sz w:val="24"/>
        </w:rPr>
        <w:t xml:space="preserve">AND </w:t>
      </w:r>
      <w:r w:rsidR="00CF7142">
        <w:rPr>
          <w:b/>
          <w:sz w:val="24"/>
        </w:rPr>
        <w:t xml:space="preserve">PUBLIC SAFETY AND HOMELAND SECURITY BUREAU </w:t>
      </w:r>
      <w:r w:rsidR="007E1E1E">
        <w:rPr>
          <w:b/>
          <w:sz w:val="24"/>
        </w:rPr>
        <w:t>SUSPEND</w:t>
      </w:r>
      <w:r w:rsidRPr="00773E82" w:rsidR="00773E82">
        <w:rPr>
          <w:b/>
          <w:sz w:val="24"/>
        </w:rPr>
        <w:t xml:space="preserve"> THE PROCESSING OF APPLICATIONS </w:t>
      </w:r>
      <w:r w:rsidR="00DE4D59">
        <w:rPr>
          <w:b/>
          <w:sz w:val="24"/>
        </w:rPr>
        <w:t xml:space="preserve">TO RENEW </w:t>
      </w:r>
      <w:r w:rsidRPr="00773E82" w:rsidR="00DE4D59">
        <w:rPr>
          <w:b/>
          <w:sz w:val="24"/>
        </w:rPr>
        <w:t xml:space="preserve">PART 22 AND 90 </w:t>
      </w:r>
      <w:r w:rsidR="00DE4D59">
        <w:rPr>
          <w:b/>
          <w:sz w:val="24"/>
        </w:rPr>
        <w:t>LICENSES FOR SYSTEMS OPERATING ON</w:t>
      </w:r>
      <w:r w:rsidRPr="00773E82" w:rsidR="00773E82">
        <w:rPr>
          <w:b/>
          <w:sz w:val="24"/>
        </w:rPr>
        <w:t xml:space="preserve"> 470-512 MHz (T-BAND) SPECTRUM</w:t>
      </w:r>
      <w:bookmarkStart w:id="0" w:name="TOChere"/>
    </w:p>
    <w:p w:rsidR="00182E0D" w:rsidP="00962451" w14:paraId="03EB7ECC" w14:textId="2A369963">
      <w:pPr>
        <w:widowControl/>
        <w:jc w:val="center"/>
        <w:rPr>
          <w:b/>
          <w:sz w:val="24"/>
        </w:rPr>
      </w:pPr>
    </w:p>
    <w:p w:rsidR="00182E0D" w:rsidRPr="00682D4F" w:rsidP="00962451" w14:paraId="0BA73A9E" w14:textId="59C26775">
      <w:pPr>
        <w:widowControl/>
        <w:jc w:val="center"/>
        <w:rPr>
          <w:b/>
          <w:sz w:val="24"/>
        </w:rPr>
      </w:pPr>
      <w:r>
        <w:rPr>
          <w:b/>
          <w:sz w:val="24"/>
        </w:rPr>
        <w:t>PS Docket No. 13-42</w:t>
      </w:r>
    </w:p>
    <w:bookmarkEnd w:id="0"/>
    <w:p w:rsidR="00F96F63" w:rsidP="00962451" w14:paraId="11CC8463" w14:textId="77777777">
      <w:pPr>
        <w:widowControl/>
        <w:spacing w:after="120"/>
        <w:rPr>
          <w:sz w:val="24"/>
        </w:rPr>
      </w:pPr>
    </w:p>
    <w:p w:rsidR="00143434" w:rsidRPr="00841E47" w:rsidP="00962451" w14:paraId="4722A5F0" w14:textId="6903DB51">
      <w:pPr>
        <w:widowControl/>
        <w:spacing w:after="120"/>
        <w:ind w:firstLine="720"/>
        <w:rPr>
          <w:rFonts w:eastAsiaTheme="minorHAnsi"/>
          <w:snapToGrid/>
          <w:kern w:val="0"/>
          <w:szCs w:val="22"/>
        </w:rPr>
      </w:pPr>
      <w:bookmarkStart w:id="1" w:name="_Hlk524011443"/>
      <w:r w:rsidRPr="006D3BA5">
        <w:rPr>
          <w:snapToGrid/>
        </w:rPr>
        <w:t xml:space="preserve">By </w:t>
      </w:r>
      <w:bookmarkEnd w:id="1"/>
      <w:r w:rsidRPr="00841E47" w:rsidR="00841E47">
        <w:rPr>
          <w:rFonts w:eastAsiaTheme="minorHAnsi"/>
          <w:snapToGrid/>
          <w:kern w:val="0"/>
          <w:szCs w:val="22"/>
        </w:rPr>
        <w:t xml:space="preserve">this </w:t>
      </w:r>
      <w:r w:rsidRPr="00841E47" w:rsidR="00841E47">
        <w:rPr>
          <w:rFonts w:eastAsiaTheme="minorHAnsi"/>
          <w:i/>
          <w:snapToGrid/>
          <w:kern w:val="0"/>
          <w:szCs w:val="22"/>
        </w:rPr>
        <w:t>Public Notice</w:t>
      </w:r>
      <w:r w:rsidRPr="00841E47" w:rsidR="00841E47">
        <w:rPr>
          <w:rFonts w:eastAsiaTheme="minorHAnsi"/>
          <w:snapToGrid/>
          <w:kern w:val="0"/>
          <w:szCs w:val="22"/>
        </w:rPr>
        <w:t>, the Wireless Telecommunications Bureau and the Public Safety and Homeland Security Bureau (Bureaus)</w:t>
      </w:r>
      <w:r w:rsidR="00345018">
        <w:rPr>
          <w:rFonts w:eastAsiaTheme="minorHAnsi"/>
          <w:snapToGrid/>
          <w:kern w:val="0"/>
          <w:szCs w:val="22"/>
        </w:rPr>
        <w:t xml:space="preserve"> </w:t>
      </w:r>
      <w:r w:rsidRPr="00841E47" w:rsidR="00841E47">
        <w:rPr>
          <w:rFonts w:eastAsiaTheme="minorHAnsi"/>
          <w:snapToGrid/>
          <w:kern w:val="0"/>
          <w:szCs w:val="22"/>
        </w:rPr>
        <w:t xml:space="preserve">announce </w:t>
      </w:r>
      <w:r w:rsidR="0067555E">
        <w:rPr>
          <w:rFonts w:eastAsiaTheme="minorHAnsi"/>
          <w:snapToGrid/>
          <w:kern w:val="0"/>
          <w:szCs w:val="22"/>
        </w:rPr>
        <w:t>that</w:t>
      </w:r>
      <w:r w:rsidR="00FB0DE0">
        <w:rPr>
          <w:rFonts w:eastAsiaTheme="minorHAnsi"/>
          <w:snapToGrid/>
          <w:kern w:val="0"/>
          <w:szCs w:val="22"/>
        </w:rPr>
        <w:t>, until further notice,</w:t>
      </w:r>
      <w:r w:rsidR="0067555E">
        <w:rPr>
          <w:rFonts w:eastAsiaTheme="minorHAnsi"/>
          <w:snapToGrid/>
          <w:kern w:val="0"/>
          <w:szCs w:val="22"/>
        </w:rPr>
        <w:t xml:space="preserve"> they will accept, but not</w:t>
      </w:r>
      <w:r w:rsidR="008F5B86">
        <w:rPr>
          <w:rFonts w:eastAsiaTheme="minorHAnsi"/>
          <w:snapToGrid/>
          <w:kern w:val="0"/>
          <w:szCs w:val="22"/>
        </w:rPr>
        <w:t xml:space="preserve"> </w:t>
      </w:r>
      <w:r w:rsidR="0091145D">
        <w:rPr>
          <w:rFonts w:eastAsiaTheme="minorHAnsi"/>
          <w:snapToGrid/>
          <w:kern w:val="0"/>
          <w:szCs w:val="22"/>
        </w:rPr>
        <w:t>grant</w:t>
      </w:r>
      <w:r w:rsidR="0067555E">
        <w:rPr>
          <w:rFonts w:eastAsiaTheme="minorHAnsi"/>
          <w:snapToGrid/>
          <w:kern w:val="0"/>
          <w:szCs w:val="22"/>
        </w:rPr>
        <w:t xml:space="preserve">, </w:t>
      </w:r>
      <w:bookmarkStart w:id="2" w:name="_Hlk524436257"/>
      <w:r w:rsidR="003F3B49">
        <w:rPr>
          <w:rFonts w:eastAsiaTheme="minorHAnsi"/>
          <w:snapToGrid/>
          <w:kern w:val="0"/>
          <w:szCs w:val="22"/>
        </w:rPr>
        <w:t xml:space="preserve">applications </w:t>
      </w:r>
      <w:r w:rsidR="00474CDA">
        <w:rPr>
          <w:rFonts w:eastAsiaTheme="minorHAnsi"/>
          <w:snapToGrid/>
          <w:kern w:val="0"/>
          <w:szCs w:val="22"/>
        </w:rPr>
        <w:t xml:space="preserve">to renew </w:t>
      </w:r>
      <w:r w:rsidR="0006002F">
        <w:rPr>
          <w:szCs w:val="22"/>
        </w:rPr>
        <w:t xml:space="preserve">Part 22 and Part 90 </w:t>
      </w:r>
      <w:r w:rsidR="00474CDA">
        <w:rPr>
          <w:rFonts w:eastAsiaTheme="minorHAnsi"/>
          <w:snapToGrid/>
          <w:kern w:val="0"/>
          <w:szCs w:val="22"/>
        </w:rPr>
        <w:t xml:space="preserve">licenses </w:t>
      </w:r>
      <w:r w:rsidR="00962451">
        <w:rPr>
          <w:rFonts w:eastAsiaTheme="minorHAnsi"/>
          <w:snapToGrid/>
          <w:kern w:val="0"/>
          <w:szCs w:val="22"/>
        </w:rPr>
        <w:t xml:space="preserve">for operation </w:t>
      </w:r>
      <w:r w:rsidRPr="00841E47" w:rsidR="00841E47">
        <w:rPr>
          <w:rFonts w:eastAsiaTheme="minorHAnsi"/>
          <w:snapToGrid/>
          <w:kern w:val="0"/>
          <w:szCs w:val="22"/>
        </w:rPr>
        <w:t xml:space="preserve">in the </w:t>
      </w:r>
      <w:r w:rsidR="00474CDA">
        <w:rPr>
          <w:rFonts w:eastAsiaTheme="minorHAnsi"/>
          <w:snapToGrid/>
          <w:kern w:val="0"/>
          <w:szCs w:val="22"/>
        </w:rPr>
        <w:t>470-512</w:t>
      </w:r>
      <w:r w:rsidRPr="00841E47" w:rsidR="00841E47">
        <w:rPr>
          <w:rFonts w:eastAsiaTheme="minorHAnsi"/>
          <w:snapToGrid/>
          <w:kern w:val="0"/>
          <w:szCs w:val="22"/>
        </w:rPr>
        <w:t xml:space="preserve"> MHz band (</w:t>
      </w:r>
      <w:r w:rsidR="00474CDA">
        <w:rPr>
          <w:rFonts w:eastAsiaTheme="minorHAnsi"/>
          <w:snapToGrid/>
          <w:kern w:val="0"/>
          <w:szCs w:val="22"/>
        </w:rPr>
        <w:t>T-B</w:t>
      </w:r>
      <w:r w:rsidRPr="00841E47" w:rsidR="00841E47">
        <w:rPr>
          <w:rFonts w:eastAsiaTheme="minorHAnsi"/>
          <w:snapToGrid/>
          <w:kern w:val="0"/>
          <w:szCs w:val="22"/>
        </w:rPr>
        <w:t>and)</w:t>
      </w:r>
      <w:bookmarkEnd w:id="2"/>
      <w:r w:rsidRPr="00841E47" w:rsidR="00841E47">
        <w:rPr>
          <w:rFonts w:eastAsiaTheme="minorHAnsi"/>
          <w:snapToGrid/>
          <w:kern w:val="0"/>
          <w:szCs w:val="22"/>
        </w:rPr>
        <w:t>.</w:t>
      </w:r>
      <w:r>
        <w:rPr>
          <w:rStyle w:val="FootnoteReference"/>
          <w:rFonts w:eastAsiaTheme="minorHAnsi"/>
          <w:snapToGrid/>
          <w:kern w:val="0"/>
          <w:szCs w:val="22"/>
        </w:rPr>
        <w:footnoteReference w:id="3"/>
      </w:r>
      <w:r w:rsidR="00FB0DE0">
        <w:rPr>
          <w:rFonts w:eastAsiaTheme="minorHAnsi"/>
          <w:snapToGrid/>
          <w:kern w:val="0"/>
          <w:szCs w:val="22"/>
        </w:rPr>
        <w:t xml:space="preserve"> </w:t>
      </w:r>
      <w:r w:rsidR="00CA4294">
        <w:rPr>
          <w:rFonts w:eastAsiaTheme="minorHAnsi"/>
          <w:snapToGrid/>
          <w:kern w:val="0"/>
          <w:szCs w:val="22"/>
        </w:rPr>
        <w:t xml:space="preserve"> L</w:t>
      </w:r>
      <w:r w:rsidR="00FB0DE0">
        <w:rPr>
          <w:rFonts w:eastAsiaTheme="minorHAnsi"/>
          <w:snapToGrid/>
          <w:kern w:val="0"/>
          <w:szCs w:val="22"/>
        </w:rPr>
        <w:t>icensees that have</w:t>
      </w:r>
      <w:r>
        <w:rPr>
          <w:rFonts w:eastAsiaTheme="minorHAnsi"/>
          <w:snapToGrid/>
          <w:kern w:val="0"/>
          <w:szCs w:val="22"/>
        </w:rPr>
        <w:t xml:space="preserve"> filed, and </w:t>
      </w:r>
      <w:r w:rsidR="0097187D">
        <w:rPr>
          <w:rFonts w:eastAsiaTheme="minorHAnsi"/>
          <w:snapToGrid/>
          <w:kern w:val="0"/>
          <w:szCs w:val="22"/>
        </w:rPr>
        <w:t xml:space="preserve">will in the future file, </w:t>
      </w:r>
      <w:r>
        <w:rPr>
          <w:rFonts w:eastAsiaTheme="minorHAnsi"/>
          <w:snapToGrid/>
          <w:kern w:val="0"/>
          <w:szCs w:val="22"/>
        </w:rPr>
        <w:t>timely and complete applications for renewal of license</w:t>
      </w:r>
      <w:r>
        <w:rPr>
          <w:rStyle w:val="FootnoteReference"/>
          <w:rFonts w:eastAsiaTheme="minorHAnsi"/>
          <w:snapToGrid/>
          <w:kern w:val="0"/>
          <w:szCs w:val="22"/>
        </w:rPr>
        <w:footnoteReference w:id="4"/>
      </w:r>
      <w:r>
        <w:rPr>
          <w:rFonts w:eastAsiaTheme="minorHAnsi"/>
          <w:snapToGrid/>
          <w:kern w:val="0"/>
          <w:szCs w:val="22"/>
        </w:rPr>
        <w:t xml:space="preserve"> may continue to operate using their licensed facilities past the </w:t>
      </w:r>
      <w:r w:rsidR="0097187D">
        <w:rPr>
          <w:rFonts w:eastAsiaTheme="minorHAnsi"/>
          <w:snapToGrid/>
          <w:kern w:val="0"/>
          <w:szCs w:val="22"/>
        </w:rPr>
        <w:t xml:space="preserve">license </w:t>
      </w:r>
      <w:r>
        <w:rPr>
          <w:rFonts w:eastAsiaTheme="minorHAnsi"/>
          <w:snapToGrid/>
          <w:kern w:val="0"/>
          <w:szCs w:val="22"/>
        </w:rPr>
        <w:t xml:space="preserve">expiration date while the </w:t>
      </w:r>
      <w:r w:rsidR="00CA4294">
        <w:rPr>
          <w:rFonts w:eastAsiaTheme="minorHAnsi"/>
          <w:snapToGrid/>
          <w:kern w:val="0"/>
          <w:szCs w:val="22"/>
        </w:rPr>
        <w:t>suspension</w:t>
      </w:r>
      <w:r>
        <w:rPr>
          <w:rFonts w:eastAsiaTheme="minorHAnsi"/>
          <w:snapToGrid/>
          <w:kern w:val="0"/>
          <w:szCs w:val="22"/>
        </w:rPr>
        <w:t xml:space="preserve"> is in effect.</w:t>
      </w:r>
      <w:r>
        <w:rPr>
          <w:rFonts w:eastAsiaTheme="minorHAnsi"/>
          <w:snapToGrid/>
          <w:kern w:val="0"/>
          <w:szCs w:val="22"/>
          <w:vertAlign w:val="superscript"/>
        </w:rPr>
        <w:footnoteReference w:id="5"/>
      </w:r>
    </w:p>
    <w:p w:rsidR="009D1767" w:rsidRPr="007714B7" w:rsidP="00962451" w14:paraId="043A8535" w14:textId="7CF9DCBE">
      <w:pPr>
        <w:pStyle w:val="ParaNum"/>
        <w:widowControl/>
        <w:numPr>
          <w:ilvl w:val="0"/>
          <w:numId w:val="0"/>
        </w:numPr>
        <w:ind w:firstLine="720"/>
        <w:rPr>
          <w:szCs w:val="22"/>
        </w:rPr>
      </w:pPr>
      <w:r>
        <w:rPr>
          <w:shd w:val="clear" w:color="auto" w:fill="FFFFFF"/>
        </w:rPr>
        <w:t>T</w:t>
      </w:r>
      <w:r w:rsidRPr="00675EA3" w:rsidR="00B553DC">
        <w:rPr>
          <w:shd w:val="clear" w:color="auto" w:fill="FFFFFF"/>
        </w:rPr>
        <w:t>he Middle Class Tax Relief and Job Creation Act of 2012 (</w:t>
      </w:r>
      <w:r w:rsidR="00B553DC">
        <w:rPr>
          <w:shd w:val="clear" w:color="auto" w:fill="FFFFFF"/>
        </w:rPr>
        <w:t>the</w:t>
      </w:r>
      <w:r w:rsidRPr="00675EA3" w:rsidR="00B553DC">
        <w:rPr>
          <w:shd w:val="clear" w:color="auto" w:fill="FFFFFF"/>
        </w:rPr>
        <w:t xml:space="preserve"> Act) requires the Commission to </w:t>
      </w:r>
      <w:r w:rsidRPr="007714B7" w:rsidR="00B553DC">
        <w:rPr>
          <w:shd w:val="clear" w:color="auto" w:fill="FFFFFF"/>
        </w:rPr>
        <w:t xml:space="preserve">reallocate T-Band spectrum used by public safety licensees, begin a system of competitive bidding for reallocated spectrum by February 22, 2021 (nine years after the Act was enacted), and relocate public safety entities from the T-Band spectrum no later than two years after </w:t>
      </w:r>
      <w:r w:rsidRPr="007714B7" w:rsidR="00B553DC">
        <w:t>completion of the system of competitive bidding</w:t>
      </w:r>
      <w:r w:rsidR="00557C05">
        <w:t xml:space="preserve"> (T-Band-Mandate)</w:t>
      </w:r>
      <w:r w:rsidRPr="007714B7" w:rsidR="00B553DC">
        <w:rPr>
          <w:shd w:val="clear" w:color="auto" w:fill="FFFFFF"/>
        </w:rPr>
        <w:t>.</w:t>
      </w:r>
      <w:r>
        <w:rPr>
          <w:rStyle w:val="FootnoteReference"/>
          <w:szCs w:val="22"/>
        </w:rPr>
        <w:footnoteReference w:id="6"/>
      </w:r>
      <w:r w:rsidRPr="007714B7" w:rsidR="00B553DC">
        <w:rPr>
          <w:shd w:val="clear" w:color="auto" w:fill="FFFFFF"/>
        </w:rPr>
        <w:t xml:space="preserve">  </w:t>
      </w:r>
      <w:r w:rsidRPr="007714B7" w:rsidR="007E3086">
        <w:rPr>
          <w:shd w:val="clear" w:color="auto" w:fill="FFFFFF"/>
        </w:rPr>
        <w:t>O</w:t>
      </w:r>
      <w:r w:rsidRPr="007714B7" w:rsidR="00474CDA">
        <w:rPr>
          <w:szCs w:val="22"/>
        </w:rPr>
        <w:t>n April 26, 2012</w:t>
      </w:r>
      <w:r w:rsidRPr="007714B7">
        <w:rPr>
          <w:szCs w:val="22"/>
        </w:rPr>
        <w:t>,</w:t>
      </w:r>
      <w:r w:rsidRPr="007714B7" w:rsidR="00962451">
        <w:rPr>
          <w:szCs w:val="22"/>
        </w:rPr>
        <w:t xml:space="preserve"> </w:t>
      </w:r>
      <w:r w:rsidRPr="007714B7" w:rsidR="00FB0DE0">
        <w:rPr>
          <w:szCs w:val="22"/>
        </w:rPr>
        <w:t xml:space="preserve">to stabilize the spectral environment </w:t>
      </w:r>
      <w:r w:rsidR="00086A6B">
        <w:rPr>
          <w:szCs w:val="22"/>
        </w:rPr>
        <w:t>in light of the T-Band Mandate</w:t>
      </w:r>
      <w:r w:rsidRPr="007714B7" w:rsidR="00FB0DE0">
        <w:rPr>
          <w:szCs w:val="22"/>
        </w:rPr>
        <w:t>,</w:t>
      </w:r>
      <w:r w:rsidRPr="007714B7" w:rsidR="00474CDA">
        <w:rPr>
          <w:szCs w:val="22"/>
        </w:rPr>
        <w:t xml:space="preserve"> the Bureaus </w:t>
      </w:r>
      <w:r w:rsidRPr="007714B7" w:rsidR="0006002F">
        <w:rPr>
          <w:szCs w:val="22"/>
        </w:rPr>
        <w:t>suspended</w:t>
      </w:r>
      <w:r w:rsidRPr="007714B7" w:rsidR="00474CDA">
        <w:rPr>
          <w:szCs w:val="22"/>
        </w:rPr>
        <w:t xml:space="preserve"> acceptance and processing of certain</w:t>
      </w:r>
      <w:r w:rsidRPr="007714B7" w:rsidR="0006002F">
        <w:rPr>
          <w:szCs w:val="22"/>
        </w:rPr>
        <w:t xml:space="preserve"> </w:t>
      </w:r>
      <w:r w:rsidRPr="007714B7">
        <w:rPr>
          <w:szCs w:val="22"/>
        </w:rPr>
        <w:t xml:space="preserve">other </w:t>
      </w:r>
      <w:r w:rsidRPr="007714B7" w:rsidR="0006002F">
        <w:rPr>
          <w:szCs w:val="22"/>
        </w:rPr>
        <w:t>T-Band</w:t>
      </w:r>
      <w:r w:rsidRPr="007714B7" w:rsidR="00474CDA">
        <w:rPr>
          <w:szCs w:val="22"/>
        </w:rPr>
        <w:t xml:space="preserve"> applications</w:t>
      </w:r>
      <w:r w:rsidRPr="007714B7" w:rsidR="00FB0DE0">
        <w:rPr>
          <w:szCs w:val="22"/>
        </w:rPr>
        <w:t>.  Th</w:t>
      </w:r>
      <w:r w:rsidRPr="007714B7" w:rsidR="00143434">
        <w:rPr>
          <w:szCs w:val="22"/>
        </w:rPr>
        <w:t>at</w:t>
      </w:r>
      <w:r w:rsidRPr="007714B7" w:rsidR="00FB0DE0">
        <w:rPr>
          <w:szCs w:val="22"/>
        </w:rPr>
        <w:t xml:space="preserve"> freeze was imposed to allow the Commission to consider </w:t>
      </w:r>
      <w:r w:rsidRPr="007714B7" w:rsidR="00474CDA">
        <w:rPr>
          <w:szCs w:val="22"/>
        </w:rPr>
        <w:t>issues surrounding future use of the T-Band</w:t>
      </w:r>
      <w:r w:rsidRPr="007714B7" w:rsidR="00B15BA5">
        <w:rPr>
          <w:szCs w:val="22"/>
        </w:rPr>
        <w:t xml:space="preserve"> </w:t>
      </w:r>
      <w:r w:rsidRPr="007714B7" w:rsidR="00474CDA">
        <w:rPr>
          <w:szCs w:val="22"/>
        </w:rPr>
        <w:t xml:space="preserve">and implement the </w:t>
      </w:r>
      <w:r w:rsidRPr="007714B7" w:rsidR="00793684">
        <w:rPr>
          <w:szCs w:val="22"/>
        </w:rPr>
        <w:t>Act</w:t>
      </w:r>
      <w:r w:rsidRPr="007714B7" w:rsidR="00474CDA">
        <w:rPr>
          <w:szCs w:val="22"/>
        </w:rPr>
        <w:t>.</w:t>
      </w:r>
      <w:r>
        <w:rPr>
          <w:rStyle w:val="FootnoteReference"/>
          <w:szCs w:val="22"/>
        </w:rPr>
        <w:footnoteReference w:id="7"/>
      </w:r>
      <w:r w:rsidRPr="007714B7" w:rsidR="00474CDA">
        <w:rPr>
          <w:szCs w:val="22"/>
        </w:rPr>
        <w:t xml:space="preserve"> </w:t>
      </w:r>
    </w:p>
    <w:p w:rsidR="00416001" w:rsidRPr="007714B7" w:rsidP="00DC6DCE" w14:paraId="5787B0CC" w14:textId="4B5E1B95">
      <w:pPr>
        <w:pStyle w:val="NoSpacing"/>
        <w:ind w:firstLine="720"/>
        <w:rPr>
          <w:rFonts w:ascii="Times New Roman" w:hAnsi="Times New Roman" w:cs="Times New Roman"/>
        </w:rPr>
      </w:pPr>
      <w:r>
        <w:rPr>
          <w:rFonts w:ascii="Times New Roman" w:hAnsi="Times New Roman" w:cs="Times New Roman"/>
        </w:rPr>
        <w:t xml:space="preserve">Despite findings from the Government Accountability Office that </w:t>
      </w:r>
      <w:r w:rsidRPr="007714B7" w:rsidR="00C43EAF">
        <w:rPr>
          <w:rFonts w:ascii="Times New Roman" w:hAnsi="Times New Roman" w:cs="Times New Roman"/>
        </w:rPr>
        <w:t xml:space="preserve">implementation of </w:t>
      </w:r>
      <w:r w:rsidR="00086A6B">
        <w:rPr>
          <w:rFonts w:ascii="Times New Roman" w:hAnsi="Times New Roman" w:cs="Times New Roman"/>
        </w:rPr>
        <w:t>this provision of the</w:t>
      </w:r>
      <w:r w:rsidRPr="007714B7" w:rsidR="00086A6B">
        <w:rPr>
          <w:rFonts w:ascii="Times New Roman" w:hAnsi="Times New Roman" w:cs="Times New Roman"/>
        </w:rPr>
        <w:t xml:space="preserve"> </w:t>
      </w:r>
      <w:r w:rsidRPr="007714B7" w:rsidR="00C43EAF">
        <w:rPr>
          <w:rFonts w:ascii="Times New Roman" w:hAnsi="Times New Roman" w:cs="Times New Roman"/>
        </w:rPr>
        <w:t>Act could deprive first responders of their current ability to communica</w:t>
      </w:r>
      <w:r w:rsidRPr="007714B7" w:rsidR="0077683E">
        <w:rPr>
          <w:rFonts w:ascii="Times New Roman" w:hAnsi="Times New Roman" w:cs="Times New Roman"/>
        </w:rPr>
        <w:t>te</w:t>
      </w:r>
      <w:r w:rsidRPr="007714B7" w:rsidR="00C43EAF">
        <w:rPr>
          <w:rFonts w:ascii="Times New Roman" w:hAnsi="Times New Roman" w:cs="Times New Roman"/>
        </w:rPr>
        <w:t xml:space="preserve"> by radio</w:t>
      </w:r>
      <w:r w:rsidRPr="007714B7" w:rsidR="00DC6DCE">
        <w:rPr>
          <w:rFonts w:ascii="Times New Roman" w:hAnsi="Times New Roman" w:cs="Times New Roman"/>
        </w:rPr>
        <w:t xml:space="preserve"> and </w:t>
      </w:r>
      <w:r w:rsidR="00BE2549">
        <w:rPr>
          <w:rFonts w:ascii="Times New Roman" w:hAnsi="Times New Roman" w:cs="Times New Roman"/>
        </w:rPr>
        <w:t>its</w:t>
      </w:r>
      <w:r w:rsidR="00086A6B">
        <w:rPr>
          <w:rFonts w:ascii="Times New Roman" w:hAnsi="Times New Roman" w:cs="Times New Roman"/>
        </w:rPr>
        <w:t xml:space="preserve"> </w:t>
      </w:r>
      <w:r w:rsidR="00086A6B">
        <w:rPr>
          <w:rFonts w:ascii="Times New Roman" w:hAnsi="Times New Roman" w:cs="Times New Roman"/>
        </w:rPr>
        <w:t xml:space="preserve">recommendation that </w:t>
      </w:r>
      <w:r w:rsidR="007714B7">
        <w:rPr>
          <w:rFonts w:ascii="Times New Roman" w:hAnsi="Times New Roman" w:cs="Times New Roman"/>
        </w:rPr>
        <w:t xml:space="preserve">Congress allow </w:t>
      </w:r>
      <w:r w:rsidR="00086A6B">
        <w:rPr>
          <w:rFonts w:ascii="Times New Roman" w:hAnsi="Times New Roman" w:cs="Times New Roman"/>
        </w:rPr>
        <w:t xml:space="preserve">public safety’s </w:t>
      </w:r>
      <w:r w:rsidR="007714B7">
        <w:rPr>
          <w:rFonts w:ascii="Times New Roman" w:hAnsi="Times New Roman" w:cs="Times New Roman"/>
        </w:rPr>
        <w:t>continued us</w:t>
      </w:r>
      <w:r w:rsidR="003C7106">
        <w:rPr>
          <w:rFonts w:ascii="Times New Roman" w:hAnsi="Times New Roman" w:cs="Times New Roman"/>
        </w:rPr>
        <w:t>e</w:t>
      </w:r>
      <w:r w:rsidR="007714B7">
        <w:rPr>
          <w:rFonts w:ascii="Times New Roman" w:hAnsi="Times New Roman" w:cs="Times New Roman"/>
        </w:rPr>
        <w:t xml:space="preserve"> of the spectrum</w:t>
      </w:r>
      <w:r w:rsidR="00086A6B">
        <w:rPr>
          <w:rFonts w:ascii="Times New Roman" w:hAnsi="Times New Roman" w:cs="Times New Roman"/>
        </w:rPr>
        <w:t>,</w:t>
      </w:r>
      <w:r>
        <w:rPr>
          <w:rStyle w:val="FootnoteReference"/>
          <w:rFonts w:cs="Times New Roman"/>
        </w:rPr>
        <w:footnoteReference w:id="8"/>
      </w:r>
      <w:r w:rsidRPr="007714B7">
        <w:rPr>
          <w:rFonts w:ascii="Times New Roman" w:hAnsi="Times New Roman" w:cs="Times New Roman"/>
        </w:rPr>
        <w:t xml:space="preserve"> </w:t>
      </w:r>
      <w:r w:rsidR="00086A6B">
        <w:rPr>
          <w:rFonts w:ascii="Times New Roman" w:hAnsi="Times New Roman" w:cs="Times New Roman"/>
        </w:rPr>
        <w:t>the T-Band Mandate remains the law of the land</w:t>
      </w:r>
      <w:r w:rsidR="0034599C">
        <w:rPr>
          <w:rFonts w:ascii="Times New Roman" w:hAnsi="Times New Roman" w:cs="Times New Roman"/>
        </w:rPr>
        <w:t xml:space="preserve"> and </w:t>
      </w:r>
      <w:r w:rsidR="003947CB">
        <w:rPr>
          <w:rFonts w:ascii="Times New Roman" w:hAnsi="Times New Roman" w:cs="Times New Roman"/>
        </w:rPr>
        <w:t xml:space="preserve">the Commission is </w:t>
      </w:r>
      <w:r w:rsidRPr="003947CB" w:rsidR="003947CB">
        <w:rPr>
          <w:rFonts w:ascii="Times New Roman" w:hAnsi="Times New Roman" w:cs="Times New Roman"/>
        </w:rPr>
        <w:t>required to implement it</w:t>
      </w:r>
      <w:r w:rsidR="0034599C">
        <w:rPr>
          <w:rFonts w:ascii="Times New Roman" w:hAnsi="Times New Roman" w:cs="Times New Roman"/>
        </w:rPr>
        <w:t>.  Given that the February 22, 2021 statutory deadline is less than 15 months away, the Bureaus have determined that s</w:t>
      </w:r>
      <w:r w:rsidRPr="003947CB" w:rsidR="003947CB">
        <w:rPr>
          <w:rFonts w:ascii="Times New Roman" w:hAnsi="Times New Roman" w:cs="Times New Roman"/>
        </w:rPr>
        <w:t>uspen</w:t>
      </w:r>
      <w:r w:rsidR="003947CB">
        <w:rPr>
          <w:rFonts w:ascii="Times New Roman" w:hAnsi="Times New Roman" w:cs="Times New Roman"/>
        </w:rPr>
        <w:t xml:space="preserve">sion of renewal </w:t>
      </w:r>
      <w:r w:rsidR="0034599C">
        <w:rPr>
          <w:rFonts w:ascii="Times New Roman" w:hAnsi="Times New Roman" w:cs="Times New Roman"/>
        </w:rPr>
        <w:t>processing is</w:t>
      </w:r>
      <w:r w:rsidR="000F0161">
        <w:rPr>
          <w:rFonts w:ascii="Times New Roman" w:hAnsi="Times New Roman" w:cs="Times New Roman"/>
        </w:rPr>
        <w:t xml:space="preserve"> now</w:t>
      </w:r>
      <w:r w:rsidR="0034599C">
        <w:rPr>
          <w:rFonts w:ascii="Times New Roman" w:hAnsi="Times New Roman" w:cs="Times New Roman"/>
        </w:rPr>
        <w:t xml:space="preserve"> </w:t>
      </w:r>
      <w:r w:rsidRPr="003947CB" w:rsidR="003947CB">
        <w:rPr>
          <w:rFonts w:ascii="Times New Roman" w:hAnsi="Times New Roman" w:cs="Times New Roman"/>
        </w:rPr>
        <w:t xml:space="preserve">necessary </w:t>
      </w:r>
      <w:r w:rsidR="000F0161">
        <w:rPr>
          <w:rFonts w:ascii="Times New Roman" w:hAnsi="Times New Roman" w:cs="Times New Roman"/>
        </w:rPr>
        <w:t xml:space="preserve">for the Commission </w:t>
      </w:r>
      <w:r w:rsidRPr="003947CB" w:rsidR="003947CB">
        <w:rPr>
          <w:rFonts w:ascii="Times New Roman" w:hAnsi="Times New Roman" w:cs="Times New Roman"/>
        </w:rPr>
        <w:t>to have the full r</w:t>
      </w:r>
      <w:bookmarkStart w:id="3" w:name="_GoBack"/>
      <w:bookmarkEnd w:id="3"/>
      <w:r w:rsidRPr="003947CB" w:rsidR="003947CB">
        <w:rPr>
          <w:rFonts w:ascii="Times New Roman" w:hAnsi="Times New Roman" w:cs="Times New Roman"/>
        </w:rPr>
        <w:t>ange of implementation options available.</w:t>
      </w:r>
    </w:p>
    <w:p w:rsidR="00C43EAF" w:rsidRPr="007714B7" w:rsidP="007714B7" w14:paraId="5C82BC14" w14:textId="77777777">
      <w:pPr>
        <w:pStyle w:val="NoSpacing"/>
        <w:ind w:firstLine="720"/>
        <w:rPr>
          <w:rFonts w:ascii="Times New Roman" w:hAnsi="Times New Roman" w:cs="Times New Roman"/>
        </w:rPr>
      </w:pPr>
      <w:bookmarkStart w:id="4" w:name="_Hlk24628228"/>
    </w:p>
    <w:bookmarkEnd w:id="4"/>
    <w:p w:rsidR="00A803E6" w:rsidRPr="007714B7" w:rsidP="00962451" w14:paraId="106A938E" w14:textId="4F31B24C">
      <w:pPr>
        <w:widowControl/>
        <w:spacing w:after="120"/>
        <w:ind w:firstLine="720"/>
        <w:rPr>
          <w:szCs w:val="22"/>
        </w:rPr>
      </w:pPr>
      <w:r w:rsidRPr="007714B7">
        <w:rPr>
          <w:rFonts w:eastAsiaTheme="minorHAnsi"/>
          <w:snapToGrid/>
          <w:kern w:val="0"/>
          <w:szCs w:val="22"/>
        </w:rPr>
        <w:t xml:space="preserve">This </w:t>
      </w:r>
      <w:r w:rsidRPr="007714B7" w:rsidR="00517F58">
        <w:rPr>
          <w:rFonts w:eastAsiaTheme="minorHAnsi"/>
          <w:snapToGrid/>
          <w:kern w:val="0"/>
          <w:szCs w:val="22"/>
        </w:rPr>
        <w:t>suspension</w:t>
      </w:r>
      <w:r w:rsidRPr="007714B7" w:rsidR="00B43C35">
        <w:rPr>
          <w:rFonts w:eastAsiaTheme="minorHAnsi"/>
          <w:snapToGrid/>
          <w:kern w:val="0"/>
          <w:szCs w:val="22"/>
        </w:rPr>
        <w:t xml:space="preserve"> on the processing of </w:t>
      </w:r>
      <w:r w:rsidRPr="007714B7" w:rsidR="00892E06">
        <w:rPr>
          <w:rFonts w:eastAsiaTheme="minorHAnsi"/>
          <w:snapToGrid/>
          <w:kern w:val="0"/>
          <w:szCs w:val="22"/>
        </w:rPr>
        <w:t xml:space="preserve">renewal applications </w:t>
      </w:r>
      <w:r w:rsidRPr="007714B7" w:rsidR="00841E47">
        <w:rPr>
          <w:rFonts w:eastAsiaTheme="minorHAnsi"/>
          <w:snapToGrid/>
          <w:kern w:val="0"/>
          <w:szCs w:val="22"/>
        </w:rPr>
        <w:t>is procedural and, therefore, not subject to the notice and comment and effective date requirements of the Administrative Procedure Act.</w:t>
      </w:r>
      <w:r>
        <w:rPr>
          <w:rFonts w:eastAsiaTheme="minorHAnsi"/>
          <w:snapToGrid/>
          <w:kern w:val="0"/>
          <w:szCs w:val="22"/>
          <w:vertAlign w:val="superscript"/>
        </w:rPr>
        <w:footnoteReference w:id="9"/>
      </w:r>
      <w:r w:rsidRPr="007714B7" w:rsidR="00841E47">
        <w:rPr>
          <w:rFonts w:eastAsiaTheme="minorHAnsi"/>
          <w:snapToGrid/>
          <w:kern w:val="0"/>
          <w:szCs w:val="22"/>
        </w:rPr>
        <w:t xml:space="preserve">  </w:t>
      </w:r>
      <w:r w:rsidRPr="007714B7">
        <w:rPr>
          <w:szCs w:val="22"/>
        </w:rPr>
        <w:t xml:space="preserve">The processing suspension imposed by this </w:t>
      </w:r>
      <w:r w:rsidRPr="007714B7">
        <w:rPr>
          <w:i/>
          <w:szCs w:val="22"/>
        </w:rPr>
        <w:t xml:space="preserve">Public Notice </w:t>
      </w:r>
      <w:r w:rsidRPr="007714B7">
        <w:rPr>
          <w:szCs w:val="22"/>
        </w:rPr>
        <w:t xml:space="preserve">applies to applications for the following radio services in the 470-512 MHz band: </w:t>
      </w:r>
    </w:p>
    <w:p w:rsidR="00A803E6" w:rsidRPr="007714B7" w:rsidP="00962451" w14:paraId="63AB705F" w14:textId="77777777">
      <w:pPr>
        <w:widowControl/>
        <w:spacing w:after="120"/>
        <w:ind w:left="720" w:right="720" w:firstLine="360"/>
        <w:rPr>
          <w:szCs w:val="22"/>
        </w:rPr>
      </w:pPr>
      <w:r w:rsidRPr="007714B7">
        <w:rPr>
          <w:szCs w:val="22"/>
          <w:u w:val="single"/>
        </w:rPr>
        <w:t>Part 22 Public Mobile Services</w:t>
      </w:r>
      <w:r w:rsidRPr="007714B7">
        <w:rPr>
          <w:szCs w:val="22"/>
        </w:rPr>
        <w:t>:  Paging and Radiotelephone (radio service code CD), Offshore Radiotelephone (radio service code CO)</w:t>
      </w:r>
    </w:p>
    <w:p w:rsidR="00A803E6" w:rsidRPr="007714B7" w:rsidP="00962451" w14:paraId="4302D8C9" w14:textId="77777777">
      <w:pPr>
        <w:widowControl/>
        <w:spacing w:after="120"/>
        <w:ind w:left="720" w:right="720" w:firstLine="360"/>
        <w:rPr>
          <w:szCs w:val="22"/>
        </w:rPr>
      </w:pPr>
      <w:r w:rsidRPr="007714B7">
        <w:rPr>
          <w:szCs w:val="22"/>
          <w:u w:val="single"/>
        </w:rPr>
        <w:t>Part 90 Industrial/Business Pool</w:t>
      </w:r>
      <w:r w:rsidRPr="007714B7">
        <w:rPr>
          <w:szCs w:val="22"/>
        </w:rPr>
        <w:t>:  Industrial/Business Pool - Conventional (radio service code IG), Industrial/Business Pool - Commercial, Conventional (radio service code IK), Industrial/Business Pool - Trunked (radio service code YG), Industrial/Business Pool - Commercial, Trunked (radio service code YK)</w:t>
      </w:r>
    </w:p>
    <w:p w:rsidR="00A803E6" w:rsidP="00962451" w14:paraId="5F435C8D" w14:textId="77777777">
      <w:pPr>
        <w:widowControl/>
        <w:spacing w:after="120"/>
        <w:ind w:left="720" w:right="720" w:firstLine="360"/>
        <w:rPr>
          <w:szCs w:val="22"/>
        </w:rPr>
      </w:pPr>
      <w:r w:rsidRPr="007714B7">
        <w:rPr>
          <w:szCs w:val="22"/>
          <w:u w:val="single"/>
        </w:rPr>
        <w:t>Part 90 Public Safety Pool</w:t>
      </w:r>
      <w:r w:rsidRPr="007714B7">
        <w:rPr>
          <w:szCs w:val="22"/>
        </w:rPr>
        <w:t>:  Public</w:t>
      </w:r>
      <w:r>
        <w:rPr>
          <w:szCs w:val="22"/>
        </w:rPr>
        <w:t xml:space="preserve"> Safety Pool - Conventional (radio service code PW), Public Safety Pool - Trunked (radio service code YW).</w:t>
      </w:r>
    </w:p>
    <w:p w:rsidR="00841E47" w:rsidRPr="00841E47" w:rsidP="00962451" w14:paraId="10D4A39E" w14:textId="0739906E">
      <w:pPr>
        <w:widowControl/>
        <w:spacing w:after="120"/>
        <w:rPr>
          <w:rFonts w:eastAsiaTheme="minorHAnsi"/>
          <w:snapToGrid/>
          <w:kern w:val="0"/>
          <w:szCs w:val="22"/>
        </w:rPr>
      </w:pPr>
      <w:r>
        <w:rPr>
          <w:szCs w:val="22"/>
        </w:rPr>
        <w:t>This action applies only to the services listed above.</w:t>
      </w:r>
      <w:r w:rsidRPr="00B43C35" w:rsidR="00B43C35">
        <w:rPr>
          <w:szCs w:val="22"/>
          <w:vertAlign w:val="superscript"/>
        </w:rPr>
        <w:t xml:space="preserve"> </w:t>
      </w:r>
    </w:p>
    <w:p w:rsidR="00547A3A" w:rsidRPr="006D3BA5" w:rsidP="00962451" w14:paraId="54185A2F" w14:textId="147DA801">
      <w:pPr>
        <w:pStyle w:val="ParaNum"/>
        <w:widowControl/>
        <w:numPr>
          <w:ilvl w:val="0"/>
          <w:numId w:val="0"/>
        </w:numPr>
        <w:ind w:firstLine="720"/>
        <w:rPr>
          <w:snapToGrid/>
          <w:kern w:val="0"/>
          <w:szCs w:val="22"/>
        </w:rPr>
      </w:pPr>
      <w:r w:rsidRPr="00841E47">
        <w:rPr>
          <w:rFonts w:eastAsiaTheme="minorHAnsi"/>
          <w:snapToGrid/>
          <w:kern w:val="0"/>
          <w:szCs w:val="22"/>
        </w:rPr>
        <w:t>Action by the Wireless Telecommunications Bureau and Public Safety and Homeland Security</w:t>
      </w:r>
      <w:r>
        <w:rPr>
          <w:snapToGrid/>
          <w:kern w:val="0"/>
          <w:szCs w:val="22"/>
        </w:rPr>
        <w:t xml:space="preserve"> </w:t>
      </w:r>
      <w:r w:rsidR="00721BB7">
        <w:rPr>
          <w:snapToGrid/>
          <w:kern w:val="0"/>
          <w:szCs w:val="22"/>
        </w:rPr>
        <w:t>Bureau</w:t>
      </w:r>
      <w:r w:rsidRPr="006D3BA5" w:rsidR="00D92724">
        <w:rPr>
          <w:snapToGrid/>
          <w:kern w:val="0"/>
          <w:szCs w:val="22"/>
        </w:rPr>
        <w:t>.</w:t>
      </w:r>
    </w:p>
    <w:p w:rsidR="00547A3A" w:rsidRPr="006D3BA5" w:rsidP="00962451" w14:paraId="10C91308" w14:textId="77777777">
      <w:pPr>
        <w:widowControl/>
        <w:spacing w:after="120"/>
        <w:jc w:val="center"/>
        <w:rPr>
          <w:snapToGrid/>
          <w:kern w:val="0"/>
          <w:szCs w:val="22"/>
        </w:rPr>
      </w:pPr>
      <w:r w:rsidRPr="006D3BA5">
        <w:rPr>
          <w:snapToGrid/>
          <w:kern w:val="0"/>
          <w:szCs w:val="22"/>
        </w:rPr>
        <w:t>-</w:t>
      </w:r>
      <w:r w:rsidRPr="007257A0">
        <w:rPr>
          <w:b/>
          <w:snapToGrid/>
          <w:kern w:val="0"/>
          <w:szCs w:val="22"/>
        </w:rPr>
        <w:t>FCC</w:t>
      </w:r>
      <w:r w:rsidRPr="006D3BA5">
        <w:rPr>
          <w:snapToGrid/>
          <w:kern w:val="0"/>
          <w:szCs w:val="22"/>
        </w:rPr>
        <w:t>-</w:t>
      </w:r>
    </w:p>
    <w:p w:rsidR="00930ECF" w:rsidRPr="00930ECF" w:rsidP="00962451" w14:paraId="0CEBD002" w14:textId="77777777">
      <w:pPr>
        <w:widowControl/>
        <w:spacing w:after="120"/>
        <w:rPr>
          <w:sz w:val="24"/>
        </w:rPr>
      </w:pPr>
    </w:p>
    <w:sectPr w:rsidSect="00811D9D">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19D8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8750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A298C1" w14:textId="39D0856D">
    <w:pPr>
      <w:pStyle w:val="Footer"/>
      <w:jc w:val="center"/>
    </w:pPr>
    <w:r>
      <w:fldChar w:fldCharType="begin"/>
    </w:r>
    <w:r>
      <w:instrText xml:space="preserve"> PAGE   \* MERGEFORMAT </w:instrText>
    </w:r>
    <w:r>
      <w:fldChar w:fldCharType="separate"/>
    </w:r>
    <w:r w:rsidR="003C710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FAEA1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2861" w14:paraId="446AA37E" w14:textId="77777777">
      <w:r>
        <w:separator/>
      </w:r>
    </w:p>
  </w:footnote>
  <w:footnote w:type="continuationSeparator" w:id="1">
    <w:p w:rsidR="008E2861" w14:paraId="38399CD5" w14:textId="77777777">
      <w:pPr>
        <w:rPr>
          <w:sz w:val="20"/>
        </w:rPr>
      </w:pPr>
      <w:r>
        <w:rPr>
          <w:sz w:val="20"/>
        </w:rPr>
        <w:t xml:space="preserve">(Continued from previous page)  </w:t>
      </w:r>
      <w:r>
        <w:rPr>
          <w:sz w:val="20"/>
        </w:rPr>
        <w:separator/>
      </w:r>
    </w:p>
  </w:footnote>
  <w:footnote w:type="continuationNotice" w:id="2">
    <w:p w:rsidR="008E2861" w:rsidP="00811D9D" w14:paraId="2F3257B6" w14:textId="77777777">
      <w:pPr>
        <w:rPr>
          <w:sz w:val="20"/>
        </w:rPr>
      </w:pPr>
    </w:p>
  </w:footnote>
  <w:footnote w:id="3">
    <w:p w:rsidR="00B43C35" w14:paraId="746781A8" w14:textId="7F9A3349">
      <w:pPr>
        <w:pStyle w:val="FootnoteText"/>
      </w:pPr>
      <w:r>
        <w:rPr>
          <w:rStyle w:val="FootnoteReference"/>
        </w:rPr>
        <w:footnoteRef/>
      </w:r>
      <w:r>
        <w:t xml:space="preserve"> This </w:t>
      </w:r>
      <w:r w:rsidRPr="00B43C35">
        <w:rPr>
          <w:i/>
        </w:rPr>
        <w:t>Public Notice</w:t>
      </w:r>
      <w:r>
        <w:t xml:space="preserve"> suspends processing of both</w:t>
      </w:r>
      <w:r w:rsidRPr="00B43C35">
        <w:t xml:space="preserve"> applications for renewal only (purpose code RO); and applications for renewal/modification (purpose code RM).</w:t>
      </w:r>
    </w:p>
  </w:footnote>
  <w:footnote w:id="4">
    <w:p w:rsidR="00807E2E" w14:paraId="633E8175" w14:textId="4F3D4AAF">
      <w:pPr>
        <w:pStyle w:val="FootnoteText"/>
      </w:pPr>
      <w:r>
        <w:rPr>
          <w:rStyle w:val="FootnoteReference"/>
        </w:rPr>
        <w:footnoteRef/>
      </w:r>
      <w:r>
        <w:t xml:space="preserve"> D</w:t>
      </w:r>
      <w:r w:rsidRPr="00807E2E">
        <w:t>efective applications and applications in return status that are not timely resubmitted will be dismissed</w:t>
      </w:r>
      <w:r>
        <w:t>.</w:t>
      </w:r>
    </w:p>
  </w:footnote>
  <w:footnote w:id="5">
    <w:p w:rsidR="00143434" w:rsidP="00143434" w14:paraId="1744D356" w14:textId="3FC998A5">
      <w:pPr>
        <w:pStyle w:val="FootnoteText"/>
      </w:pPr>
      <w:r>
        <w:rPr>
          <w:rStyle w:val="FootnoteReference"/>
        </w:rPr>
        <w:footnoteRef/>
      </w:r>
      <w:r>
        <w:t xml:space="preserve"> 47 CFR § 1.62 </w:t>
      </w:r>
      <w:r w:rsidR="00B43C35">
        <w:t>(</w:t>
      </w:r>
      <w:r w:rsidR="0091145D">
        <w:t>o</w:t>
      </w:r>
      <w:r w:rsidR="00B43C35">
        <w:t>peration</w:t>
      </w:r>
      <w:r w:rsidRPr="00B43C35" w:rsidR="00B43C35">
        <w:t xml:space="preserve"> pending action on renewal application</w:t>
      </w:r>
      <w:r w:rsidR="00B43C35">
        <w:t>).</w:t>
      </w:r>
      <w:r w:rsidR="00BC4270">
        <w:t xml:space="preserve">  The suspension of applications for license renewal was raised in a l</w:t>
      </w:r>
      <w:r w:rsidRPr="00333AFE" w:rsidR="00BC4270">
        <w:t>etter from Mark E. Crosby, President, Enterprise Wireless Alliance</w:t>
      </w:r>
      <w:r w:rsidR="00BC4270">
        <w:t xml:space="preserve">, to Lisa M. Fowlkes, Chief, Public </w:t>
      </w:r>
      <w:r w:rsidRPr="001231B8" w:rsidR="00BC4270">
        <w:t>Safety and Homeland Security Bureau</w:t>
      </w:r>
      <w:r w:rsidR="00BC4270">
        <w:t xml:space="preserve">, and Donald Stockdale, Chief, </w:t>
      </w:r>
      <w:r w:rsidRPr="001231B8" w:rsidR="00BC4270">
        <w:t>Wireless Telecommunications Bureau</w:t>
      </w:r>
      <w:r w:rsidR="00BC4270">
        <w:t xml:space="preserve">, PS Docket No. 13-42 (dated July 16, 2019).  The action we take in this </w:t>
      </w:r>
      <w:r w:rsidRPr="00B43C35" w:rsidR="00BC4270">
        <w:rPr>
          <w:i/>
        </w:rPr>
        <w:t>Public Notice</w:t>
      </w:r>
      <w:r w:rsidR="00BC4270">
        <w:t>, although initiated on our own motion, also addresses matters raised in the referenced letter.</w:t>
      </w:r>
    </w:p>
  </w:footnote>
  <w:footnote w:id="6">
    <w:p w:rsidR="00B553DC" w:rsidP="00B553DC" w14:paraId="7B51EC03" w14:textId="782D4257">
      <w:pPr>
        <w:pStyle w:val="FootnoteText"/>
      </w:pPr>
      <w:r>
        <w:rPr>
          <w:rStyle w:val="FootnoteReference"/>
        </w:rPr>
        <w:footnoteRef/>
      </w:r>
      <w:r>
        <w:t xml:space="preserve"> </w:t>
      </w:r>
      <w:r w:rsidRPr="00B553DC">
        <w:t>Pu</w:t>
      </w:r>
      <w:r>
        <w:t>b. L. No. 112-96, 126 Stat. 156 (2012) (Act), § 6103.</w:t>
      </w:r>
    </w:p>
  </w:footnote>
  <w:footnote w:id="7">
    <w:p w:rsidR="00B553DC" w:rsidP="00B553DC" w14:paraId="70CBCF4E" w14:textId="6002CAA8">
      <w:pPr>
        <w:pStyle w:val="FootnoteText"/>
      </w:pPr>
      <w:r>
        <w:rPr>
          <w:rStyle w:val="FootnoteReference"/>
        </w:rPr>
        <w:footnoteRef/>
      </w:r>
      <w:r>
        <w:t xml:space="preserve"> Wireless Telecommunications Bureau and Public Safety and Homeland Security Bureau Suspend the Acceptance and Processing of Certain Part 22 and 90 Applications for 470-512 MHz (T-Band) Spectrum, </w:t>
      </w:r>
      <w:r>
        <w:rPr>
          <w:i/>
        </w:rPr>
        <w:t>Public Notice</w:t>
      </w:r>
      <w:r>
        <w:t xml:space="preserve">, </w:t>
      </w:r>
      <w:r w:rsidRPr="003C57FF">
        <w:t>27 FCC Rcd 4218</w:t>
      </w:r>
      <w:r>
        <w:t xml:space="preserve"> (WTB/PSHSB 2012).</w:t>
      </w:r>
    </w:p>
  </w:footnote>
  <w:footnote w:id="8">
    <w:p w:rsidR="00416001" w:rsidRPr="000B2957" w:rsidP="00416001" w14:paraId="4D103F89" w14:textId="77777777">
      <w:pPr>
        <w:pStyle w:val="FootnoteText"/>
      </w:pPr>
      <w:r>
        <w:rPr>
          <w:rStyle w:val="FootnoteReference"/>
        </w:rPr>
        <w:footnoteRef/>
      </w:r>
      <w:r>
        <w:t xml:space="preserve"> </w:t>
      </w:r>
      <w:r>
        <w:rPr>
          <w:i/>
        </w:rPr>
        <w:t xml:space="preserve">See </w:t>
      </w:r>
      <w:r w:rsidRPr="000B2957">
        <w:rPr>
          <w:i/>
        </w:rPr>
        <w:t>Required Auction of Public Safety Spectrum Could Harm First Responder Capabilities,</w:t>
      </w:r>
      <w:r>
        <w:t xml:space="preserve"> GAO 19-508 (</w:t>
      </w:r>
      <w:r w:rsidRPr="000B2957">
        <w:t>Jun 21, 2019</w:t>
      </w:r>
      <w:r>
        <w:t xml:space="preserve">), </w:t>
      </w:r>
      <w:r>
        <w:rPr>
          <w:i/>
        </w:rPr>
        <w:t xml:space="preserve">available at </w:t>
      </w:r>
      <w:hyperlink r:id="rId1" w:anchor="summary" w:history="1">
        <w:r>
          <w:rPr>
            <w:rStyle w:val="Hyperlink"/>
          </w:rPr>
          <w:t>https://www.gao.gov/products/GAO-19-508#summary</w:t>
        </w:r>
      </w:hyperlink>
      <w:r>
        <w:t>.</w:t>
      </w:r>
    </w:p>
  </w:footnote>
  <w:footnote w:id="9">
    <w:p w:rsidR="00841E47" w:rsidP="00841E47" w14:paraId="2677B743" w14:textId="77777777">
      <w:pPr>
        <w:pStyle w:val="FootnoteText"/>
      </w:pPr>
      <w:r>
        <w:rPr>
          <w:rStyle w:val="FootnoteReference"/>
        </w:rPr>
        <w:footnoteRef/>
      </w:r>
      <w:r>
        <w:t xml:space="preserve"> </w:t>
      </w:r>
      <w:r>
        <w:rPr>
          <w:i/>
        </w:rPr>
        <w:t>See</w:t>
      </w:r>
      <w:r>
        <w:t xml:space="preserve"> 5 U.S.C. § 553(b)(A), (d); </w:t>
      </w:r>
      <w:r>
        <w:rPr>
          <w:i/>
        </w:rPr>
        <w:t>see also</w:t>
      </w:r>
      <w:r>
        <w:t xml:space="preserve">, </w:t>
      </w:r>
      <w:r>
        <w:rPr>
          <w:i/>
        </w:rPr>
        <w:t>e.g.</w:t>
      </w:r>
      <w:r>
        <w:t>,</w:t>
      </w:r>
      <w:r>
        <w:rPr>
          <w:i/>
        </w:rPr>
        <w:t xml:space="preserve"> </w:t>
      </w:r>
      <w:r>
        <w:rPr>
          <w:i/>
          <w:color w:val="000000"/>
        </w:rPr>
        <w:t>Neighborhood TV Co. v. FCC</w:t>
      </w:r>
      <w:r>
        <w:rPr>
          <w:color w:val="000000"/>
        </w:rPr>
        <w:t>, 742 F.2d 629, 637-38 (D.C. Cir. 1984) (holding that the Commission’s filing freeze is a procedural rule not subject to the notice and comment requirements of the Administrative Procedure Act</w:t>
      </w:r>
      <w:bookmarkStart w:id="5" w:name="SR;33011"/>
      <w:bookmarkStart w:id="6" w:name="SR;33014"/>
      <w:bookmarkStart w:id="7" w:name="SR;33016"/>
      <w:bookmarkStart w:id="8" w:name="SR;33017"/>
      <w:bookmarkStart w:id="9" w:name="SR;33018"/>
      <w:bookmarkStart w:id="10" w:name="SR;33020"/>
      <w:bookmarkStart w:id="11" w:name="SR;33022"/>
      <w:bookmarkStart w:id="12" w:name="SR;33027"/>
      <w:bookmarkEnd w:id="5"/>
      <w:bookmarkEnd w:id="6"/>
      <w:bookmarkEnd w:id="7"/>
      <w:bookmarkEnd w:id="8"/>
      <w:bookmarkEnd w:id="9"/>
      <w:bookmarkEnd w:id="10"/>
      <w:bookmarkEnd w:id="11"/>
      <w:bookmarkEnd w:id="12"/>
      <w:r>
        <w:rPr>
          <w:color w:val="000000"/>
        </w:rPr>
        <w:t xml:space="preserve">); </w:t>
      </w:r>
      <w:r>
        <w:rPr>
          <w:i/>
          <w:color w:val="000000"/>
        </w:rPr>
        <w:t>Buckeye Cablevision, Inc. v. United States</w:t>
      </w:r>
      <w:r>
        <w:rPr>
          <w:color w:val="000000"/>
        </w:rPr>
        <w:t xml:space="preserve">, 438 F.2d 948, 952-53 (6th Cir. 1971); </w:t>
      </w:r>
      <w:r w:rsidRPr="00B1755A">
        <w:rPr>
          <w:i/>
          <w:color w:val="000000"/>
        </w:rPr>
        <w:t>Kessler v. FCC</w:t>
      </w:r>
      <w:r w:rsidRPr="00B1755A">
        <w:rPr>
          <w:color w:val="000000"/>
        </w:rPr>
        <w:t>, 326 F.2d 673, 680-82 (D.C. Cir. 1963)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7257A0" w:rsidP="007257A0" w14:paraId="1FEC5843"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A2DA87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048CCE7" w14:textId="77777777">
                    <w:pPr>
                      <w:rPr>
                        <w:rFonts w:ascii="Arial" w:hAnsi="Arial"/>
                        <w:b/>
                      </w:rPr>
                    </w:pPr>
                    <w:r>
                      <w:rPr>
                        <w:rFonts w:ascii="Arial" w:hAnsi="Arial"/>
                        <w:b/>
                      </w:rPr>
                      <w:t>Federal Communications Commission</w:t>
                    </w:r>
                  </w:p>
                  <w:p w:rsidR="009838BC" w:rsidP="009838BC" w14:paraId="23E984A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91A54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69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A56F2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BDB656E" w14:textId="77777777">
                    <w:pPr>
                      <w:spacing w:before="40"/>
                      <w:jc w:val="right"/>
                      <w:rPr>
                        <w:rFonts w:ascii="Arial" w:hAnsi="Arial"/>
                        <w:b/>
                        <w:sz w:val="16"/>
                      </w:rPr>
                    </w:pPr>
                    <w:r>
                      <w:rPr>
                        <w:rFonts w:ascii="Arial" w:hAnsi="Arial"/>
                        <w:b/>
                        <w:sz w:val="16"/>
                      </w:rPr>
                      <w:t>News Media Information 202 / 418-0500</w:t>
                    </w:r>
                  </w:p>
                  <w:p w:rsidR="009838BC" w:rsidP="009838BC" w14:paraId="3ACF0DB2"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838BC" w:rsidP="009838BC" w14:paraId="344D2C3F" w14:textId="77777777">
                    <w:pPr>
                      <w:jc w:val="right"/>
                    </w:pPr>
                    <w:r>
                      <w:rPr>
                        <w:rFonts w:ascii="Arial" w:hAnsi="Arial"/>
                        <w:b/>
                        <w:sz w:val="16"/>
                      </w:rPr>
                      <w:t>TTY: 1-888-835-5322</w:t>
                    </w:r>
                  </w:p>
                </w:txbxContent>
              </v:textbox>
            </v:shape>
          </w:pict>
        </mc:Fallback>
      </mc:AlternateContent>
    </w:r>
  </w:p>
  <w:p w:rsidR="006F7393" w:rsidRPr="009838BC" w:rsidP="007257A0" w14:paraId="49A6A175"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A0"/>
    <w:rsid w:val="00004F3A"/>
    <w:rsid w:val="000139CE"/>
    <w:rsid w:val="00013A8B"/>
    <w:rsid w:val="00024D63"/>
    <w:rsid w:val="0003784C"/>
    <w:rsid w:val="00052236"/>
    <w:rsid w:val="00055C2D"/>
    <w:rsid w:val="0006002F"/>
    <w:rsid w:val="0006121B"/>
    <w:rsid w:val="00061791"/>
    <w:rsid w:val="00073CEA"/>
    <w:rsid w:val="00086A6B"/>
    <w:rsid w:val="00094CD4"/>
    <w:rsid w:val="000A714F"/>
    <w:rsid w:val="000A7C42"/>
    <w:rsid w:val="000B2957"/>
    <w:rsid w:val="000B49BE"/>
    <w:rsid w:val="000C3ACB"/>
    <w:rsid w:val="000E2661"/>
    <w:rsid w:val="000E5884"/>
    <w:rsid w:val="000F0161"/>
    <w:rsid w:val="001025E9"/>
    <w:rsid w:val="001231B8"/>
    <w:rsid w:val="00125571"/>
    <w:rsid w:val="001426BE"/>
    <w:rsid w:val="0014316D"/>
    <w:rsid w:val="00143434"/>
    <w:rsid w:val="001604FF"/>
    <w:rsid w:val="001626BC"/>
    <w:rsid w:val="00166E39"/>
    <w:rsid w:val="0017092E"/>
    <w:rsid w:val="00182E0D"/>
    <w:rsid w:val="001A4701"/>
    <w:rsid w:val="001B7538"/>
    <w:rsid w:val="001C147B"/>
    <w:rsid w:val="001C1FDB"/>
    <w:rsid w:val="001D4DB5"/>
    <w:rsid w:val="0023129E"/>
    <w:rsid w:val="00266BBB"/>
    <w:rsid w:val="00286E80"/>
    <w:rsid w:val="002A2909"/>
    <w:rsid w:val="002A5DBE"/>
    <w:rsid w:val="002B1EB1"/>
    <w:rsid w:val="002C1609"/>
    <w:rsid w:val="002D05DA"/>
    <w:rsid w:val="002D0D29"/>
    <w:rsid w:val="002D2AE0"/>
    <w:rsid w:val="002D6DDB"/>
    <w:rsid w:val="002F461E"/>
    <w:rsid w:val="003248E5"/>
    <w:rsid w:val="0032572C"/>
    <w:rsid w:val="00333AFE"/>
    <w:rsid w:val="003363A1"/>
    <w:rsid w:val="00345018"/>
    <w:rsid w:val="0034599C"/>
    <w:rsid w:val="00357D50"/>
    <w:rsid w:val="00381119"/>
    <w:rsid w:val="0038764C"/>
    <w:rsid w:val="0039203E"/>
    <w:rsid w:val="003947CB"/>
    <w:rsid w:val="003A6A76"/>
    <w:rsid w:val="003B520A"/>
    <w:rsid w:val="003C57FF"/>
    <w:rsid w:val="003C7106"/>
    <w:rsid w:val="003C789D"/>
    <w:rsid w:val="003D3CB8"/>
    <w:rsid w:val="003D5D5F"/>
    <w:rsid w:val="003F3A85"/>
    <w:rsid w:val="003F3B49"/>
    <w:rsid w:val="003F7533"/>
    <w:rsid w:val="00402CC7"/>
    <w:rsid w:val="00416001"/>
    <w:rsid w:val="00416995"/>
    <w:rsid w:val="004257C8"/>
    <w:rsid w:val="00466013"/>
    <w:rsid w:val="00474CDA"/>
    <w:rsid w:val="00484270"/>
    <w:rsid w:val="004A61E2"/>
    <w:rsid w:val="004B3303"/>
    <w:rsid w:val="004F15EF"/>
    <w:rsid w:val="004F58B1"/>
    <w:rsid w:val="00517F58"/>
    <w:rsid w:val="00535487"/>
    <w:rsid w:val="00540FD8"/>
    <w:rsid w:val="00547A3A"/>
    <w:rsid w:val="0055614C"/>
    <w:rsid w:val="00557C05"/>
    <w:rsid w:val="00570E9C"/>
    <w:rsid w:val="00572E04"/>
    <w:rsid w:val="00584A40"/>
    <w:rsid w:val="005A11D1"/>
    <w:rsid w:val="005A35CE"/>
    <w:rsid w:val="005F25FA"/>
    <w:rsid w:val="005F7B5D"/>
    <w:rsid w:val="00607E1D"/>
    <w:rsid w:val="0061687A"/>
    <w:rsid w:val="00636548"/>
    <w:rsid w:val="00641EB9"/>
    <w:rsid w:val="00657AD2"/>
    <w:rsid w:val="0067555E"/>
    <w:rsid w:val="00675EA3"/>
    <w:rsid w:val="00682D4F"/>
    <w:rsid w:val="00686292"/>
    <w:rsid w:val="006A2792"/>
    <w:rsid w:val="006B7174"/>
    <w:rsid w:val="006C6FA1"/>
    <w:rsid w:val="006D3BA5"/>
    <w:rsid w:val="006E5938"/>
    <w:rsid w:val="006F7393"/>
    <w:rsid w:val="00721BB7"/>
    <w:rsid w:val="007257A0"/>
    <w:rsid w:val="0073482D"/>
    <w:rsid w:val="007714B7"/>
    <w:rsid w:val="00773E82"/>
    <w:rsid w:val="007746D8"/>
    <w:rsid w:val="0077683E"/>
    <w:rsid w:val="00793684"/>
    <w:rsid w:val="007B476C"/>
    <w:rsid w:val="007B4967"/>
    <w:rsid w:val="007D2F9C"/>
    <w:rsid w:val="007E1E1E"/>
    <w:rsid w:val="007E3086"/>
    <w:rsid w:val="008076ED"/>
    <w:rsid w:val="00807E2E"/>
    <w:rsid w:val="00811D9D"/>
    <w:rsid w:val="0082007A"/>
    <w:rsid w:val="00825A2E"/>
    <w:rsid w:val="00841390"/>
    <w:rsid w:val="00841E47"/>
    <w:rsid w:val="00842614"/>
    <w:rsid w:val="0084642A"/>
    <w:rsid w:val="0085266F"/>
    <w:rsid w:val="00866818"/>
    <w:rsid w:val="00867118"/>
    <w:rsid w:val="00892E06"/>
    <w:rsid w:val="008A709D"/>
    <w:rsid w:val="008E1831"/>
    <w:rsid w:val="008E2861"/>
    <w:rsid w:val="008F5B86"/>
    <w:rsid w:val="00910F12"/>
    <w:rsid w:val="0091145D"/>
    <w:rsid w:val="00921B8D"/>
    <w:rsid w:val="009264CB"/>
    <w:rsid w:val="00930ECF"/>
    <w:rsid w:val="00950489"/>
    <w:rsid w:val="00951F37"/>
    <w:rsid w:val="00962451"/>
    <w:rsid w:val="0097187D"/>
    <w:rsid w:val="00975136"/>
    <w:rsid w:val="00975CFF"/>
    <w:rsid w:val="009838BC"/>
    <w:rsid w:val="00985914"/>
    <w:rsid w:val="009A29F4"/>
    <w:rsid w:val="009C1B87"/>
    <w:rsid w:val="009D1767"/>
    <w:rsid w:val="009D7FA7"/>
    <w:rsid w:val="00A44763"/>
    <w:rsid w:val="00A51323"/>
    <w:rsid w:val="00A51B66"/>
    <w:rsid w:val="00A6052C"/>
    <w:rsid w:val="00A650A8"/>
    <w:rsid w:val="00A73AAB"/>
    <w:rsid w:val="00A803E6"/>
    <w:rsid w:val="00A825C1"/>
    <w:rsid w:val="00A866AC"/>
    <w:rsid w:val="00AA16ED"/>
    <w:rsid w:val="00AB2356"/>
    <w:rsid w:val="00AB5B68"/>
    <w:rsid w:val="00AC3C32"/>
    <w:rsid w:val="00AC473D"/>
    <w:rsid w:val="00AD221C"/>
    <w:rsid w:val="00AD2702"/>
    <w:rsid w:val="00AF4D22"/>
    <w:rsid w:val="00AF6F77"/>
    <w:rsid w:val="00B00EA5"/>
    <w:rsid w:val="00B15BA5"/>
    <w:rsid w:val="00B1755A"/>
    <w:rsid w:val="00B20363"/>
    <w:rsid w:val="00B36853"/>
    <w:rsid w:val="00B43C35"/>
    <w:rsid w:val="00B5372A"/>
    <w:rsid w:val="00B553DC"/>
    <w:rsid w:val="00B7704F"/>
    <w:rsid w:val="00B90721"/>
    <w:rsid w:val="00BA500B"/>
    <w:rsid w:val="00BB7A86"/>
    <w:rsid w:val="00BC4270"/>
    <w:rsid w:val="00BC50C8"/>
    <w:rsid w:val="00BC6F4F"/>
    <w:rsid w:val="00BD54C6"/>
    <w:rsid w:val="00BE2549"/>
    <w:rsid w:val="00C00801"/>
    <w:rsid w:val="00C073FF"/>
    <w:rsid w:val="00C16FEE"/>
    <w:rsid w:val="00C32053"/>
    <w:rsid w:val="00C43EAF"/>
    <w:rsid w:val="00C525AC"/>
    <w:rsid w:val="00C82B6B"/>
    <w:rsid w:val="00C82F9E"/>
    <w:rsid w:val="00CA4294"/>
    <w:rsid w:val="00CB34A2"/>
    <w:rsid w:val="00CF5A8F"/>
    <w:rsid w:val="00CF7142"/>
    <w:rsid w:val="00D212DE"/>
    <w:rsid w:val="00D216CD"/>
    <w:rsid w:val="00D2285D"/>
    <w:rsid w:val="00D54649"/>
    <w:rsid w:val="00D6350E"/>
    <w:rsid w:val="00D7217A"/>
    <w:rsid w:val="00D92724"/>
    <w:rsid w:val="00D96E47"/>
    <w:rsid w:val="00DB1347"/>
    <w:rsid w:val="00DC6DCE"/>
    <w:rsid w:val="00DE4D59"/>
    <w:rsid w:val="00DF0CCE"/>
    <w:rsid w:val="00E2287F"/>
    <w:rsid w:val="00E31D6C"/>
    <w:rsid w:val="00E467A1"/>
    <w:rsid w:val="00E518FE"/>
    <w:rsid w:val="00E57F5F"/>
    <w:rsid w:val="00E81CCF"/>
    <w:rsid w:val="00E95FBE"/>
    <w:rsid w:val="00EB0AF8"/>
    <w:rsid w:val="00ED29E5"/>
    <w:rsid w:val="00ED3020"/>
    <w:rsid w:val="00EE308C"/>
    <w:rsid w:val="00F017DE"/>
    <w:rsid w:val="00F33A72"/>
    <w:rsid w:val="00F47D8E"/>
    <w:rsid w:val="00F7717C"/>
    <w:rsid w:val="00F96F63"/>
    <w:rsid w:val="00FA219E"/>
    <w:rsid w:val="00FA492F"/>
    <w:rsid w:val="00FB0DE0"/>
    <w:rsid w:val="00FB514E"/>
    <w:rsid w:val="00FE45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06B6674-7B03-4AB5-8492-1F6CCBD8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F9C"/>
    <w:pPr>
      <w:widowControl w:val="0"/>
    </w:pPr>
    <w:rPr>
      <w:snapToGrid w:val="0"/>
      <w:kern w:val="28"/>
      <w:sz w:val="22"/>
    </w:rPr>
  </w:style>
  <w:style w:type="paragraph" w:styleId="Heading1">
    <w:name w:val="heading 1"/>
    <w:basedOn w:val="Normal"/>
    <w:next w:val="ParaNum"/>
    <w:qFormat/>
    <w:rsid w:val="007D2F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D2F9C"/>
    <w:pPr>
      <w:keepNext/>
      <w:numPr>
        <w:ilvl w:val="1"/>
        <w:numId w:val="3"/>
      </w:numPr>
      <w:spacing w:after="120"/>
      <w:outlineLvl w:val="1"/>
    </w:pPr>
    <w:rPr>
      <w:b/>
    </w:rPr>
  </w:style>
  <w:style w:type="paragraph" w:styleId="Heading3">
    <w:name w:val="heading 3"/>
    <w:basedOn w:val="Normal"/>
    <w:next w:val="ParaNum"/>
    <w:qFormat/>
    <w:rsid w:val="007D2F9C"/>
    <w:pPr>
      <w:keepNext/>
      <w:numPr>
        <w:ilvl w:val="2"/>
        <w:numId w:val="3"/>
      </w:numPr>
      <w:tabs>
        <w:tab w:val="left" w:pos="2160"/>
      </w:tabs>
      <w:spacing w:after="120"/>
      <w:outlineLvl w:val="2"/>
    </w:pPr>
    <w:rPr>
      <w:b/>
    </w:rPr>
  </w:style>
  <w:style w:type="paragraph" w:styleId="Heading4">
    <w:name w:val="heading 4"/>
    <w:basedOn w:val="Normal"/>
    <w:next w:val="ParaNum"/>
    <w:qFormat/>
    <w:rsid w:val="007D2F9C"/>
    <w:pPr>
      <w:keepNext/>
      <w:numPr>
        <w:ilvl w:val="3"/>
        <w:numId w:val="3"/>
      </w:numPr>
      <w:tabs>
        <w:tab w:val="left" w:pos="2880"/>
      </w:tabs>
      <w:spacing w:after="120"/>
      <w:outlineLvl w:val="3"/>
    </w:pPr>
    <w:rPr>
      <w:b/>
    </w:rPr>
  </w:style>
  <w:style w:type="paragraph" w:styleId="Heading5">
    <w:name w:val="heading 5"/>
    <w:basedOn w:val="Normal"/>
    <w:next w:val="ParaNum"/>
    <w:qFormat/>
    <w:rsid w:val="007D2F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D2F9C"/>
    <w:pPr>
      <w:numPr>
        <w:ilvl w:val="5"/>
        <w:numId w:val="3"/>
      </w:numPr>
      <w:tabs>
        <w:tab w:val="left" w:pos="4320"/>
      </w:tabs>
      <w:spacing w:after="120"/>
      <w:outlineLvl w:val="5"/>
    </w:pPr>
    <w:rPr>
      <w:b/>
    </w:rPr>
  </w:style>
  <w:style w:type="paragraph" w:styleId="Heading7">
    <w:name w:val="heading 7"/>
    <w:basedOn w:val="Normal"/>
    <w:next w:val="ParaNum"/>
    <w:qFormat/>
    <w:rsid w:val="007D2F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2F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D2F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D2F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D2F9C"/>
  </w:style>
  <w:style w:type="paragraph" w:customStyle="1" w:styleId="ParaNum">
    <w:name w:val="ParaNum"/>
    <w:basedOn w:val="Normal"/>
    <w:rsid w:val="007D2F9C"/>
    <w:pPr>
      <w:numPr>
        <w:numId w:val="2"/>
      </w:numPr>
      <w:tabs>
        <w:tab w:val="clear" w:pos="1080"/>
        <w:tab w:val="num" w:pos="1440"/>
      </w:tabs>
      <w:spacing w:after="120"/>
    </w:pPr>
  </w:style>
  <w:style w:type="paragraph" w:styleId="EndnoteText">
    <w:name w:val="endnote text"/>
    <w:basedOn w:val="Normal"/>
    <w:semiHidden/>
    <w:rsid w:val="007D2F9C"/>
    <w:rPr>
      <w:sz w:val="20"/>
    </w:rPr>
  </w:style>
  <w:style w:type="character" w:styleId="EndnoteReference">
    <w:name w:val="endnote reference"/>
    <w:semiHidden/>
    <w:rsid w:val="007D2F9C"/>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7D2F9C"/>
    <w:pPr>
      <w:spacing w:after="120"/>
    </w:pPr>
  </w:style>
  <w:style w:type="character" w:styleId="FootnoteReference">
    <w:name w:val="footnote reference"/>
    <w:aliases w:val="(NECG) Footnote Reference,Appel note de bas de p,FR,Footnote Reference/,Style 12,Style 124,Style 13,Style 17,Style 3,Style 4,Style 6,fr,o"/>
    <w:rsid w:val="007D2F9C"/>
    <w:rPr>
      <w:rFonts w:ascii="Times New Roman" w:hAnsi="Times New Roman"/>
      <w:dstrike w:val="0"/>
      <w:color w:val="auto"/>
      <w:sz w:val="22"/>
      <w:vertAlign w:val="superscript"/>
    </w:rPr>
  </w:style>
  <w:style w:type="paragraph" w:styleId="TOC1">
    <w:name w:val="toc 1"/>
    <w:basedOn w:val="Normal"/>
    <w:next w:val="Normal"/>
    <w:uiPriority w:val="39"/>
    <w:rsid w:val="007D2F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2F9C"/>
    <w:pPr>
      <w:tabs>
        <w:tab w:val="left" w:pos="720"/>
        <w:tab w:val="right" w:leader="dot" w:pos="9360"/>
      </w:tabs>
      <w:suppressAutoHyphens/>
      <w:ind w:left="720" w:right="720" w:hanging="360"/>
    </w:pPr>
    <w:rPr>
      <w:noProof/>
    </w:rPr>
  </w:style>
  <w:style w:type="paragraph" w:styleId="TOC3">
    <w:name w:val="toc 3"/>
    <w:basedOn w:val="Normal"/>
    <w:next w:val="Normal"/>
    <w:semiHidden/>
    <w:rsid w:val="007D2F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2F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2F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2F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2F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2F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2F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2F9C"/>
    <w:pPr>
      <w:tabs>
        <w:tab w:val="right" w:pos="9360"/>
      </w:tabs>
      <w:suppressAutoHyphens/>
    </w:pPr>
  </w:style>
  <w:style w:type="character" w:customStyle="1" w:styleId="EquationCaption">
    <w:name w:val="_Equation Caption"/>
    <w:rsid w:val="007D2F9C"/>
  </w:style>
  <w:style w:type="paragraph" w:styleId="Header">
    <w:name w:val="header"/>
    <w:basedOn w:val="Normal"/>
    <w:autoRedefine/>
    <w:rsid w:val="007D2F9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D2F9C"/>
    <w:pPr>
      <w:tabs>
        <w:tab w:val="center" w:pos="4320"/>
        <w:tab w:val="right" w:pos="8640"/>
      </w:tabs>
    </w:pPr>
  </w:style>
  <w:style w:type="character" w:styleId="PageNumber">
    <w:name w:val="page number"/>
    <w:basedOn w:val="DefaultParagraphFont"/>
    <w:rsid w:val="007D2F9C"/>
  </w:style>
  <w:style w:type="paragraph" w:styleId="BlockText">
    <w:name w:val="Block Text"/>
    <w:basedOn w:val="Normal"/>
    <w:rsid w:val="007D2F9C"/>
    <w:pPr>
      <w:spacing w:after="240"/>
      <w:ind w:left="1440" w:right="1440"/>
    </w:pPr>
  </w:style>
  <w:style w:type="paragraph" w:customStyle="1" w:styleId="Paratitle">
    <w:name w:val="Para title"/>
    <w:basedOn w:val="Normal"/>
    <w:rsid w:val="007D2F9C"/>
    <w:pPr>
      <w:tabs>
        <w:tab w:val="center" w:pos="9270"/>
      </w:tabs>
      <w:spacing w:after="240"/>
    </w:pPr>
    <w:rPr>
      <w:spacing w:val="-2"/>
    </w:rPr>
  </w:style>
  <w:style w:type="paragraph" w:customStyle="1" w:styleId="Bullet">
    <w:name w:val="Bullet"/>
    <w:basedOn w:val="Normal"/>
    <w:rsid w:val="007D2F9C"/>
    <w:pPr>
      <w:numPr>
        <w:numId w:val="1"/>
      </w:numPr>
      <w:tabs>
        <w:tab w:val="clear" w:pos="360"/>
        <w:tab w:val="left" w:pos="2160"/>
      </w:tabs>
      <w:spacing w:after="220"/>
      <w:ind w:left="2160" w:hanging="720"/>
    </w:pPr>
  </w:style>
  <w:style w:type="paragraph" w:customStyle="1" w:styleId="TableFormat">
    <w:name w:val="TableFormat"/>
    <w:basedOn w:val="Bullet"/>
    <w:rsid w:val="007D2F9C"/>
    <w:pPr>
      <w:numPr>
        <w:numId w:val="0"/>
      </w:numPr>
      <w:tabs>
        <w:tab w:val="clear" w:pos="2160"/>
        <w:tab w:val="left" w:pos="5040"/>
      </w:tabs>
      <w:ind w:left="5040" w:hanging="3600"/>
    </w:pPr>
  </w:style>
  <w:style w:type="paragraph" w:customStyle="1" w:styleId="TOCTitle">
    <w:name w:val="TOC Title"/>
    <w:basedOn w:val="Normal"/>
    <w:rsid w:val="007D2F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2F9C"/>
    <w:pPr>
      <w:jc w:val="center"/>
    </w:pPr>
    <w:rPr>
      <w:rFonts w:ascii="Times New Roman Bold" w:hAnsi="Times New Roman Bold"/>
      <w:b/>
      <w:bCs/>
      <w:caps/>
      <w:szCs w:val="22"/>
    </w:rPr>
  </w:style>
  <w:style w:type="character" w:styleId="Hyperlink">
    <w:name w:val="Hyperlink"/>
    <w:rsid w:val="007D2F9C"/>
    <w:rPr>
      <w:color w:val="0000FF"/>
      <w:u w:val="single"/>
    </w:rPr>
  </w:style>
  <w:style w:type="character" w:customStyle="1" w:styleId="FooterChar">
    <w:name w:val="Footer Char"/>
    <w:link w:val="Footer"/>
    <w:uiPriority w:val="99"/>
    <w:rsid w:val="007D2F9C"/>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f Char,fn Char1"/>
    <w:link w:val="FootnoteText"/>
    <w:locked/>
    <w:rsid w:val="00547A3A"/>
  </w:style>
  <w:style w:type="character" w:customStyle="1" w:styleId="FootnoteTextChar1Char2Char1">
    <w:name w:val="Footnote Text Char1 Char2 Char1"/>
    <w:aliases w:val="Footnote Text Char Char2 Char Char Char Char1,Footnote Text Char Char2 Char Char1,Footnote Text Char1 Char2 Char Char Char Char Char1,Footnote Text Char1 Char2 Char Char Char1,f Char1,footnote text Char"/>
    <w:locked/>
    <w:rsid w:val="00E518FE"/>
  </w:style>
  <w:style w:type="paragraph" w:styleId="BalloonText">
    <w:name w:val="Balloon Text"/>
    <w:basedOn w:val="Normal"/>
    <w:link w:val="BalloonTextChar"/>
    <w:uiPriority w:val="99"/>
    <w:semiHidden/>
    <w:unhideWhenUsed/>
    <w:rsid w:val="00CB3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A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06121B"/>
    <w:rPr>
      <w:sz w:val="16"/>
      <w:szCs w:val="16"/>
    </w:rPr>
  </w:style>
  <w:style w:type="paragraph" w:styleId="CommentText">
    <w:name w:val="annotation text"/>
    <w:basedOn w:val="Normal"/>
    <w:link w:val="CommentTextChar"/>
    <w:uiPriority w:val="99"/>
    <w:unhideWhenUsed/>
    <w:rsid w:val="001604FF"/>
    <w:rPr>
      <w:sz w:val="20"/>
    </w:rPr>
  </w:style>
  <w:style w:type="character" w:customStyle="1" w:styleId="CommentTextChar">
    <w:name w:val="Comment Text Char"/>
    <w:basedOn w:val="DefaultParagraphFont"/>
    <w:link w:val="CommentText"/>
    <w:uiPriority w:val="99"/>
    <w:rsid w:val="0006121B"/>
    <w:rPr>
      <w:snapToGrid w:val="0"/>
      <w:kern w:val="28"/>
    </w:rPr>
  </w:style>
  <w:style w:type="paragraph" w:styleId="CommentSubject">
    <w:name w:val="annotation subject"/>
    <w:basedOn w:val="CommentText"/>
    <w:next w:val="CommentText"/>
    <w:link w:val="CommentSubjectChar"/>
    <w:uiPriority w:val="99"/>
    <w:semiHidden/>
    <w:unhideWhenUsed/>
    <w:rsid w:val="0006121B"/>
    <w:rPr>
      <w:b/>
      <w:bCs/>
    </w:rPr>
  </w:style>
  <w:style w:type="character" w:customStyle="1" w:styleId="CommentSubjectChar">
    <w:name w:val="Comment Subject Char"/>
    <w:basedOn w:val="CommentTextChar"/>
    <w:link w:val="CommentSubject"/>
    <w:uiPriority w:val="99"/>
    <w:semiHidden/>
    <w:rsid w:val="0006121B"/>
    <w:rPr>
      <w:b/>
      <w:bCs/>
      <w:snapToGrid w:val="0"/>
      <w:kern w:val="28"/>
    </w:rPr>
  </w:style>
  <w:style w:type="paragraph" w:styleId="Revision">
    <w:name w:val="Revision"/>
    <w:hidden/>
    <w:uiPriority w:val="99"/>
    <w:semiHidden/>
    <w:rsid w:val="005A35CE"/>
    <w:rPr>
      <w:snapToGrid w:val="0"/>
      <w:kern w:val="28"/>
      <w:sz w:val="22"/>
    </w:rPr>
  </w:style>
  <w:style w:type="character" w:customStyle="1" w:styleId="UnresolvedMention1">
    <w:name w:val="Unresolved Mention1"/>
    <w:basedOn w:val="DefaultParagraphFont"/>
    <w:uiPriority w:val="99"/>
    <w:rsid w:val="00FA492F"/>
    <w:rPr>
      <w:color w:val="605E5C"/>
      <w:shd w:val="clear" w:color="auto" w:fill="E1DFDD"/>
    </w:rPr>
  </w:style>
  <w:style w:type="paragraph" w:styleId="NoSpacing">
    <w:name w:val="No Spacing"/>
    <w:uiPriority w:val="1"/>
    <w:qFormat/>
    <w:rsid w:val="009D176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43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gao.gov/products/GAO-19-50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