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B7D131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851CC65" w14:textId="77777777">
      <w:pPr>
        <w:pStyle w:val="StyleBoldCentered"/>
      </w:pPr>
      <w:r>
        <w:t>F</w:t>
      </w:r>
      <w:r>
        <w:rPr>
          <w:caps w:val="0"/>
        </w:rPr>
        <w:t>ederal Communications Commission</w:t>
      </w:r>
    </w:p>
    <w:p w:rsidR="004C2EE3" w:rsidP="00096D8C" w14:paraId="151B0846" w14:textId="77777777">
      <w:pPr>
        <w:pStyle w:val="StyleBoldCentered"/>
      </w:pPr>
      <w:r>
        <w:rPr>
          <w:caps w:val="0"/>
        </w:rPr>
        <w:t>Washington, D.C. 20554</w:t>
      </w:r>
    </w:p>
    <w:p w:rsidR="004C2EE3" w:rsidP="0070224F" w14:paraId="49192724" w14:textId="77777777"/>
    <w:p w:rsidR="004C2EE3" w:rsidP="0070224F" w14:paraId="64FF7561" w14:textId="77777777"/>
    <w:tbl>
      <w:tblPr>
        <w:tblW w:w="0" w:type="auto"/>
        <w:tblLayout w:type="fixed"/>
        <w:tblLook w:val="0000"/>
      </w:tblPr>
      <w:tblGrid>
        <w:gridCol w:w="4698"/>
        <w:gridCol w:w="630"/>
        <w:gridCol w:w="4248"/>
      </w:tblGrid>
      <w:tr w14:paraId="0514D47B" w14:textId="77777777">
        <w:tblPrEx>
          <w:tblW w:w="0" w:type="auto"/>
          <w:tblLayout w:type="fixed"/>
          <w:tblLook w:val="0000"/>
        </w:tblPrEx>
        <w:tc>
          <w:tcPr>
            <w:tcW w:w="4698" w:type="dxa"/>
          </w:tcPr>
          <w:p w:rsidR="004C2EE3" w14:paraId="3746FA42" w14:textId="77777777">
            <w:pPr>
              <w:tabs>
                <w:tab w:val="center" w:pos="4680"/>
              </w:tabs>
              <w:suppressAutoHyphens/>
              <w:rPr>
                <w:spacing w:val="-2"/>
              </w:rPr>
            </w:pPr>
            <w:r>
              <w:rPr>
                <w:spacing w:val="-2"/>
              </w:rPr>
              <w:t>In the Matter of</w:t>
            </w:r>
          </w:p>
          <w:p w:rsidR="00602506" w:rsidRPr="00EF0AC2" w:rsidP="00602506" w14:paraId="09780C03" w14:textId="77777777">
            <w:pPr>
              <w:tabs>
                <w:tab w:val="center" w:pos="4680"/>
              </w:tabs>
              <w:suppressAutoHyphens/>
              <w:rPr>
                <w:spacing w:val="-2"/>
              </w:rPr>
            </w:pPr>
          </w:p>
          <w:p w:rsidR="00602506" w:rsidP="00602506" w14:paraId="5D71943F" w14:textId="77777777">
            <w:pPr>
              <w:widowControl/>
              <w:tabs>
                <w:tab w:val="center" w:pos="4680"/>
              </w:tabs>
              <w:suppressAutoHyphens/>
              <w:rPr>
                <w:szCs w:val="18"/>
              </w:rPr>
            </w:pPr>
            <w:r>
              <w:rPr>
                <w:szCs w:val="18"/>
              </w:rPr>
              <w:t>Univision Holdings, Inc.</w:t>
            </w:r>
          </w:p>
          <w:p w:rsidR="00602506" w:rsidP="00602506" w14:paraId="695127D3" w14:textId="77777777">
            <w:pPr>
              <w:widowControl/>
              <w:tabs>
                <w:tab w:val="center" w:pos="4680"/>
              </w:tabs>
              <w:suppressAutoHyphens/>
              <w:rPr>
                <w:szCs w:val="18"/>
              </w:rPr>
            </w:pPr>
          </w:p>
          <w:p w:rsidR="00602506" w:rsidP="00602506" w14:paraId="6971BBEA" w14:textId="77777777">
            <w:pPr>
              <w:widowControl/>
              <w:tabs>
                <w:tab w:val="center" w:pos="4680"/>
              </w:tabs>
              <w:suppressAutoHyphens/>
              <w:rPr>
                <w:szCs w:val="18"/>
              </w:rPr>
            </w:pPr>
            <w:r>
              <w:rPr>
                <w:szCs w:val="18"/>
              </w:rPr>
              <w:t>and</w:t>
            </w:r>
          </w:p>
          <w:p w:rsidR="00602506" w:rsidP="00602506" w14:paraId="4B430049" w14:textId="77777777">
            <w:pPr>
              <w:widowControl/>
              <w:tabs>
                <w:tab w:val="center" w:pos="4680"/>
              </w:tabs>
              <w:suppressAutoHyphens/>
              <w:rPr>
                <w:szCs w:val="18"/>
              </w:rPr>
            </w:pPr>
          </w:p>
          <w:p w:rsidR="00602506" w:rsidP="00602506" w14:paraId="646EC928" w14:textId="77777777">
            <w:pPr>
              <w:widowControl/>
              <w:tabs>
                <w:tab w:val="center" w:pos="4680"/>
              </w:tabs>
              <w:suppressAutoHyphens/>
              <w:rPr>
                <w:szCs w:val="18"/>
              </w:rPr>
            </w:pPr>
            <w:r>
              <w:rPr>
                <w:szCs w:val="18"/>
              </w:rPr>
              <w:t>Grupo Televisa S.A.B.</w:t>
            </w:r>
          </w:p>
          <w:p w:rsidR="00602506" w:rsidP="00602506" w14:paraId="0927FF2B" w14:textId="77777777">
            <w:pPr>
              <w:widowControl/>
              <w:tabs>
                <w:tab w:val="center" w:pos="4680"/>
              </w:tabs>
              <w:suppressAutoHyphens/>
              <w:rPr>
                <w:szCs w:val="18"/>
              </w:rPr>
            </w:pPr>
          </w:p>
          <w:p w:rsidR="004C2EE3" w:rsidRPr="007115F7" w:rsidP="00602506" w14:paraId="5E74BCDB" w14:textId="77777777">
            <w:pPr>
              <w:tabs>
                <w:tab w:val="center" w:pos="4680"/>
              </w:tabs>
              <w:suppressAutoHyphens/>
              <w:rPr>
                <w:spacing w:val="-2"/>
              </w:rPr>
            </w:pPr>
            <w:r>
              <w:rPr>
                <w:szCs w:val="18"/>
              </w:rPr>
              <w:t>Petition for Declaratory Ruling</w:t>
            </w:r>
          </w:p>
        </w:tc>
        <w:tc>
          <w:tcPr>
            <w:tcW w:w="630" w:type="dxa"/>
          </w:tcPr>
          <w:p w:rsidR="004C2EE3" w14:paraId="3F7E0C27" w14:textId="77777777">
            <w:pPr>
              <w:tabs>
                <w:tab w:val="center" w:pos="4680"/>
              </w:tabs>
              <w:suppressAutoHyphens/>
              <w:rPr>
                <w:b/>
                <w:spacing w:val="-2"/>
              </w:rPr>
            </w:pPr>
            <w:r>
              <w:rPr>
                <w:b/>
                <w:spacing w:val="-2"/>
              </w:rPr>
              <w:t>)</w:t>
            </w:r>
          </w:p>
          <w:p w:rsidR="004C2EE3" w14:paraId="61A511E7" w14:textId="77777777">
            <w:pPr>
              <w:tabs>
                <w:tab w:val="center" w:pos="4680"/>
              </w:tabs>
              <w:suppressAutoHyphens/>
              <w:rPr>
                <w:b/>
                <w:spacing w:val="-2"/>
              </w:rPr>
            </w:pPr>
            <w:r>
              <w:rPr>
                <w:b/>
                <w:spacing w:val="-2"/>
              </w:rPr>
              <w:t>)</w:t>
            </w:r>
          </w:p>
          <w:p w:rsidR="004C2EE3" w14:paraId="14ACADAD" w14:textId="77777777">
            <w:pPr>
              <w:tabs>
                <w:tab w:val="center" w:pos="4680"/>
              </w:tabs>
              <w:suppressAutoHyphens/>
              <w:rPr>
                <w:b/>
                <w:spacing w:val="-2"/>
              </w:rPr>
            </w:pPr>
            <w:r>
              <w:rPr>
                <w:b/>
                <w:spacing w:val="-2"/>
              </w:rPr>
              <w:t>)</w:t>
            </w:r>
          </w:p>
          <w:p w:rsidR="004C2EE3" w14:paraId="3F8F88C2" w14:textId="77777777">
            <w:pPr>
              <w:tabs>
                <w:tab w:val="center" w:pos="4680"/>
              </w:tabs>
              <w:suppressAutoHyphens/>
              <w:rPr>
                <w:b/>
                <w:spacing w:val="-2"/>
              </w:rPr>
            </w:pPr>
            <w:r>
              <w:rPr>
                <w:b/>
                <w:spacing w:val="-2"/>
              </w:rPr>
              <w:t>)</w:t>
            </w:r>
          </w:p>
          <w:p w:rsidR="004C2EE3" w14:paraId="007E5C30" w14:textId="77777777">
            <w:pPr>
              <w:tabs>
                <w:tab w:val="center" w:pos="4680"/>
              </w:tabs>
              <w:suppressAutoHyphens/>
              <w:rPr>
                <w:b/>
                <w:spacing w:val="-2"/>
              </w:rPr>
            </w:pPr>
            <w:r>
              <w:rPr>
                <w:b/>
                <w:spacing w:val="-2"/>
              </w:rPr>
              <w:t>)</w:t>
            </w:r>
          </w:p>
          <w:p w:rsidR="004C2EE3" w14:paraId="0AA34B86" w14:textId="77777777">
            <w:pPr>
              <w:tabs>
                <w:tab w:val="center" w:pos="4680"/>
              </w:tabs>
              <w:suppressAutoHyphens/>
              <w:rPr>
                <w:b/>
                <w:spacing w:val="-2"/>
              </w:rPr>
            </w:pPr>
            <w:r>
              <w:rPr>
                <w:b/>
                <w:spacing w:val="-2"/>
              </w:rPr>
              <w:t>)</w:t>
            </w:r>
          </w:p>
          <w:p w:rsidR="004C2EE3" w14:paraId="3594FBFE" w14:textId="77777777">
            <w:pPr>
              <w:tabs>
                <w:tab w:val="center" w:pos="4680"/>
              </w:tabs>
              <w:suppressAutoHyphens/>
              <w:rPr>
                <w:b/>
                <w:spacing w:val="-2"/>
              </w:rPr>
            </w:pPr>
            <w:r>
              <w:rPr>
                <w:b/>
                <w:spacing w:val="-2"/>
              </w:rPr>
              <w:t>)</w:t>
            </w:r>
          </w:p>
          <w:p w:rsidR="004C2EE3" w14:paraId="2F9419FA" w14:textId="77777777">
            <w:pPr>
              <w:tabs>
                <w:tab w:val="center" w:pos="4680"/>
              </w:tabs>
              <w:suppressAutoHyphens/>
              <w:rPr>
                <w:b/>
                <w:spacing w:val="-2"/>
              </w:rPr>
            </w:pPr>
            <w:r>
              <w:rPr>
                <w:b/>
                <w:spacing w:val="-2"/>
              </w:rPr>
              <w:t>)</w:t>
            </w:r>
          </w:p>
          <w:p w:rsidR="004C2EE3" w14:paraId="5FB54DC1" w14:textId="77777777">
            <w:pPr>
              <w:tabs>
                <w:tab w:val="center" w:pos="4680"/>
              </w:tabs>
              <w:suppressAutoHyphens/>
              <w:rPr>
                <w:b/>
                <w:spacing w:val="-2"/>
              </w:rPr>
            </w:pPr>
            <w:r>
              <w:rPr>
                <w:b/>
                <w:spacing w:val="-2"/>
              </w:rPr>
              <w:t>)</w:t>
            </w:r>
          </w:p>
          <w:p w:rsidR="00602506" w14:paraId="4974DF52" w14:textId="77777777">
            <w:pPr>
              <w:tabs>
                <w:tab w:val="center" w:pos="4680"/>
              </w:tabs>
              <w:suppressAutoHyphens/>
              <w:rPr>
                <w:spacing w:val="-2"/>
              </w:rPr>
            </w:pPr>
            <w:r>
              <w:rPr>
                <w:spacing w:val="-2"/>
              </w:rPr>
              <w:t>)</w:t>
            </w:r>
          </w:p>
          <w:p w:rsidR="00602506" w14:paraId="23A83072" w14:textId="77777777">
            <w:pPr>
              <w:tabs>
                <w:tab w:val="center" w:pos="4680"/>
              </w:tabs>
              <w:suppressAutoHyphens/>
              <w:rPr>
                <w:spacing w:val="-2"/>
              </w:rPr>
            </w:pPr>
            <w:r>
              <w:rPr>
                <w:spacing w:val="-2"/>
              </w:rPr>
              <w:t>)</w:t>
            </w:r>
          </w:p>
        </w:tc>
        <w:tc>
          <w:tcPr>
            <w:tcW w:w="4248" w:type="dxa"/>
          </w:tcPr>
          <w:p w:rsidR="004C2EE3" w14:paraId="06574F39" w14:textId="77777777">
            <w:pPr>
              <w:tabs>
                <w:tab w:val="center" w:pos="4680"/>
              </w:tabs>
              <w:suppressAutoHyphens/>
              <w:rPr>
                <w:spacing w:val="-2"/>
              </w:rPr>
            </w:pPr>
          </w:p>
          <w:p w:rsidR="004C2EE3" w14:paraId="5E86EDF6" w14:textId="77777777">
            <w:pPr>
              <w:pStyle w:val="TOAHeading"/>
              <w:tabs>
                <w:tab w:val="center" w:pos="4680"/>
                <w:tab w:val="clear" w:pos="9360"/>
              </w:tabs>
              <w:rPr>
                <w:spacing w:val="-2"/>
              </w:rPr>
            </w:pPr>
          </w:p>
          <w:p w:rsidR="004C2EE3" w14:paraId="7963CF4E" w14:textId="77777777">
            <w:pPr>
              <w:tabs>
                <w:tab w:val="center" w:pos="4680"/>
              </w:tabs>
              <w:suppressAutoHyphens/>
              <w:rPr>
                <w:spacing w:val="-2"/>
              </w:rPr>
            </w:pPr>
            <w:r>
              <w:rPr>
                <w:spacing w:val="-2"/>
              </w:rPr>
              <w:t>MB Docket 19-132</w:t>
            </w:r>
            <w:bookmarkStart w:id="0" w:name="_GoBack"/>
            <w:bookmarkEnd w:id="0"/>
          </w:p>
        </w:tc>
      </w:tr>
    </w:tbl>
    <w:p w:rsidR="004C2EE3" w:rsidP="0070224F" w14:paraId="0B2830F4" w14:textId="77777777"/>
    <w:p w:rsidR="00602506" w:rsidRPr="00EF0AC2" w:rsidP="00602506" w14:paraId="1FEAB1F2" w14:textId="77777777">
      <w:pPr>
        <w:pStyle w:val="StyleBoldCentered"/>
      </w:pPr>
      <w:r>
        <w:t>DECLARATORY RULING</w:t>
      </w:r>
    </w:p>
    <w:p w:rsidR="00841AB1" w:rsidP="00F021FA" w14:paraId="09B95853" w14:textId="77777777">
      <w:pPr>
        <w:pStyle w:val="StyleBoldCentered"/>
      </w:pPr>
    </w:p>
    <w:p w:rsidR="004C2EE3" w14:paraId="267E1F9A" w14:textId="77777777">
      <w:pPr>
        <w:tabs>
          <w:tab w:val="left" w:pos="-720"/>
        </w:tabs>
        <w:suppressAutoHyphens/>
        <w:spacing w:line="227" w:lineRule="auto"/>
        <w:rPr>
          <w:spacing w:val="-2"/>
        </w:rPr>
      </w:pPr>
    </w:p>
    <w:p w:rsidR="004C2EE3" w:rsidP="00133F79" w14:paraId="4F8F1A4E" w14:textId="1023234F">
      <w:pPr>
        <w:tabs>
          <w:tab w:val="left" w:pos="720"/>
          <w:tab w:val="right" w:pos="9360"/>
        </w:tabs>
        <w:suppressAutoHyphens/>
        <w:spacing w:line="227" w:lineRule="auto"/>
        <w:rPr>
          <w:spacing w:val="-2"/>
        </w:rPr>
      </w:pPr>
      <w:r>
        <w:rPr>
          <w:b/>
          <w:spacing w:val="-2"/>
        </w:rPr>
        <w:t xml:space="preserve">Adopted:  </w:t>
      </w:r>
      <w:r w:rsidR="00F2217E">
        <w:rPr>
          <w:b/>
          <w:spacing w:val="-2"/>
        </w:rPr>
        <w:t>December 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2217E">
        <w:rPr>
          <w:b/>
          <w:spacing w:val="-2"/>
        </w:rPr>
        <w:t>December 5, 2019</w:t>
      </w:r>
    </w:p>
    <w:p w:rsidR="00822CE0" w14:paraId="3FF1077D" w14:textId="77777777"/>
    <w:p w:rsidR="00412FC5" w:rsidP="00D57D89" w14:paraId="1CB9287E" w14:textId="18D71E60">
      <w:pPr>
        <w:rPr>
          <w:spacing w:val="-2"/>
        </w:rPr>
      </w:pPr>
      <w:r>
        <w:t xml:space="preserve">By </w:t>
      </w:r>
      <w:r w:rsidR="004E4A22">
        <w:t>the</w:t>
      </w:r>
      <w:r w:rsidR="002A2D2E">
        <w:t xml:space="preserve"> </w:t>
      </w:r>
      <w:r w:rsidR="00602506">
        <w:rPr>
          <w:spacing w:val="-2"/>
        </w:rPr>
        <w:t xml:space="preserve">Chief, </w:t>
      </w:r>
      <w:r w:rsidR="00DD3788">
        <w:rPr>
          <w:spacing w:val="-2"/>
        </w:rPr>
        <w:t>Video</w:t>
      </w:r>
      <w:r w:rsidR="00602506">
        <w:rPr>
          <w:spacing w:val="-2"/>
        </w:rPr>
        <w:t xml:space="preserve"> </w:t>
      </w:r>
      <w:r w:rsidR="00DD3788">
        <w:rPr>
          <w:spacing w:val="-2"/>
        </w:rPr>
        <w:t>Division</w:t>
      </w:r>
      <w:r>
        <w:rPr>
          <w:spacing w:val="-2"/>
        </w:rPr>
        <w:t>:</w:t>
      </w:r>
    </w:p>
    <w:p w:rsidR="00D57D89" w:rsidRPr="00D57D89" w:rsidP="00D57D89" w14:paraId="06533AB3" w14:textId="77777777">
      <w:pPr>
        <w:rPr>
          <w:spacing w:val="-2"/>
        </w:rPr>
      </w:pPr>
    </w:p>
    <w:p w:rsidR="00602506" w:rsidP="00602506" w14:paraId="41FF9F19" w14:textId="4715A6B5">
      <w:pPr>
        <w:pStyle w:val="ParaNum"/>
      </w:pPr>
      <w:r>
        <w:rPr>
          <w:snapToGrid/>
          <w:kern w:val="0"/>
          <w:szCs w:val="18"/>
        </w:rPr>
        <w:t>In this Declaratory Ruling, the Media Bureau (Bureau) addresses a Petition for Declaratory Ruling (Petition)</w:t>
      </w:r>
      <w:r>
        <w:rPr>
          <w:snapToGrid/>
          <w:kern w:val="0"/>
          <w:szCs w:val="18"/>
          <w:vertAlign w:val="superscript"/>
        </w:rPr>
        <w:footnoteReference w:id="3"/>
      </w:r>
      <w:r>
        <w:rPr>
          <w:snapToGrid/>
          <w:kern w:val="0"/>
          <w:szCs w:val="18"/>
        </w:rPr>
        <w:t xml:space="preserve"> filed</w:t>
      </w:r>
      <w:r w:rsidR="00AB0286">
        <w:rPr>
          <w:snapToGrid/>
          <w:kern w:val="0"/>
          <w:szCs w:val="18"/>
        </w:rPr>
        <w:t xml:space="preserve"> by</w:t>
      </w:r>
      <w:r>
        <w:rPr>
          <w:snapToGrid/>
          <w:kern w:val="0"/>
          <w:szCs w:val="18"/>
        </w:rPr>
        <w:t xml:space="preserve"> </w:t>
      </w:r>
      <w:r w:rsidRPr="00602506">
        <w:rPr>
          <w:snapToGrid/>
          <w:kern w:val="0"/>
          <w:szCs w:val="18"/>
        </w:rPr>
        <w:t>Univision Holdings, Inc. (Univision)</w:t>
      </w:r>
      <w:r>
        <w:rPr>
          <w:snapToGrid/>
          <w:kern w:val="0"/>
          <w:szCs w:val="18"/>
        </w:rPr>
        <w:t>.  Univision requests that</w:t>
      </w:r>
      <w:r w:rsidR="00832F49">
        <w:rPr>
          <w:snapToGrid/>
          <w:kern w:val="0"/>
          <w:szCs w:val="18"/>
        </w:rPr>
        <w:t xml:space="preserve"> the </w:t>
      </w:r>
      <w:r w:rsidRPr="00602506">
        <w:rPr>
          <w:snapToGrid/>
          <w:kern w:val="0"/>
          <w:szCs w:val="18"/>
        </w:rPr>
        <w:t>Commission</w:t>
      </w:r>
      <w:r w:rsidR="00501AE9">
        <w:rPr>
          <w:snapToGrid/>
          <w:kern w:val="0"/>
          <w:szCs w:val="18"/>
        </w:rPr>
        <w:t xml:space="preserve">, </w:t>
      </w:r>
      <w:r>
        <w:rPr>
          <w:snapToGrid/>
          <w:kern w:val="0"/>
          <w:szCs w:val="18"/>
        </w:rPr>
        <w:t xml:space="preserve">pursuant to its authority under section 310(b)(4) of the Communications Act of 1934, </w:t>
      </w:r>
      <w:r w:rsidR="007714CD">
        <w:rPr>
          <w:snapToGrid/>
          <w:kern w:val="0"/>
          <w:szCs w:val="18"/>
        </w:rPr>
        <w:t xml:space="preserve">as </w:t>
      </w:r>
      <w:r>
        <w:rPr>
          <w:snapToGrid/>
          <w:kern w:val="0"/>
          <w:szCs w:val="18"/>
        </w:rPr>
        <w:t>amended (the Act),</w:t>
      </w:r>
      <w:r>
        <w:rPr>
          <w:rStyle w:val="FootnoteReference"/>
          <w:snapToGrid/>
          <w:kern w:val="0"/>
          <w:szCs w:val="18"/>
        </w:rPr>
        <w:footnoteReference w:id="4"/>
      </w:r>
      <w:r w:rsidRPr="00602506">
        <w:rPr>
          <w:snapToGrid/>
          <w:kern w:val="0"/>
          <w:szCs w:val="18"/>
        </w:rPr>
        <w:t xml:space="preserve"> modify </w:t>
      </w:r>
      <w:r w:rsidR="003178C3">
        <w:rPr>
          <w:snapToGrid/>
          <w:kern w:val="0"/>
          <w:szCs w:val="18"/>
        </w:rPr>
        <w:t>its</w:t>
      </w:r>
      <w:r w:rsidRPr="00602506" w:rsidR="003178C3">
        <w:rPr>
          <w:snapToGrid/>
          <w:kern w:val="0"/>
          <w:szCs w:val="18"/>
        </w:rPr>
        <w:t xml:space="preserve"> </w:t>
      </w:r>
      <w:r w:rsidRPr="00602506">
        <w:rPr>
          <w:snapToGrid/>
          <w:kern w:val="0"/>
          <w:szCs w:val="18"/>
        </w:rPr>
        <w:t>previous declaratory ruling</w:t>
      </w:r>
      <w:r>
        <w:rPr>
          <w:snapToGrid/>
          <w:kern w:val="0"/>
          <w:szCs w:val="18"/>
          <w:vertAlign w:val="superscript"/>
        </w:rPr>
        <w:footnoteReference w:id="5"/>
      </w:r>
      <w:r w:rsidRPr="00602506">
        <w:rPr>
          <w:snapToGrid/>
          <w:kern w:val="0"/>
          <w:szCs w:val="18"/>
        </w:rPr>
        <w:t xml:space="preserve"> so that it may undertake a </w:t>
      </w:r>
      <w:r w:rsidRPr="00602506">
        <w:rPr>
          <w:i/>
          <w:snapToGrid/>
          <w:kern w:val="0"/>
          <w:szCs w:val="18"/>
        </w:rPr>
        <w:t xml:space="preserve">pro forma </w:t>
      </w:r>
      <w:r w:rsidRPr="00602506">
        <w:rPr>
          <w:snapToGrid/>
          <w:kern w:val="0"/>
          <w:szCs w:val="18"/>
        </w:rPr>
        <w:t xml:space="preserve">internal restructuring of one of its indirect, wholly-owned subsidiaries while retaining the flexibility to accept foreign investment from third parties at the levels previously authorized by the Commission in the </w:t>
      </w:r>
      <w:r w:rsidRPr="00602506">
        <w:rPr>
          <w:i/>
          <w:snapToGrid/>
          <w:kern w:val="0"/>
          <w:szCs w:val="18"/>
        </w:rPr>
        <w:t>2017 Declaratory Ruling</w:t>
      </w:r>
      <w:r w:rsidRPr="00602506">
        <w:rPr>
          <w:snapToGrid/>
          <w:kern w:val="0"/>
          <w:szCs w:val="18"/>
        </w:rPr>
        <w:t>.</w:t>
      </w:r>
      <w:r>
        <w:rPr>
          <w:snapToGrid/>
          <w:kern w:val="0"/>
          <w:szCs w:val="18"/>
          <w:vertAlign w:val="superscript"/>
        </w:rPr>
        <w:footnoteReference w:id="6"/>
      </w:r>
      <w:r w:rsidR="001D6F98">
        <w:rPr>
          <w:snapToGrid/>
          <w:kern w:val="0"/>
          <w:szCs w:val="18"/>
        </w:rPr>
        <w:t xml:space="preserve"> </w:t>
      </w:r>
      <w:r>
        <w:rPr>
          <w:snapToGrid/>
          <w:kern w:val="0"/>
          <w:szCs w:val="18"/>
        </w:rPr>
        <w:t xml:space="preserve"> </w:t>
      </w:r>
      <w:r w:rsidR="001D6F98">
        <w:t xml:space="preserve">The </w:t>
      </w:r>
      <w:r w:rsidR="007A4734">
        <w:t>P</w:t>
      </w:r>
      <w:r w:rsidR="001D6F98">
        <w:t>etition is unopposed.</w:t>
      </w:r>
      <w:r w:rsidR="003178C3">
        <w:t xml:space="preserve"> </w:t>
      </w:r>
      <w:r w:rsidR="001D6F98">
        <w:t xml:space="preserve"> Upon consideration of the record, we grant the Petition </w:t>
      </w:r>
      <w:r w:rsidR="001D6F98">
        <w:t>as set forth below.</w:t>
      </w:r>
    </w:p>
    <w:p w:rsidR="00DF7A41" w:rsidP="00DF7A41" w14:paraId="06875329" w14:textId="77777777">
      <w:pPr>
        <w:pStyle w:val="Heading1"/>
      </w:pPr>
      <w:r>
        <w:t>background</w:t>
      </w:r>
    </w:p>
    <w:p w:rsidR="00D57D89" w:rsidP="00DF7A41" w14:paraId="108DED8A" w14:textId="5726F105">
      <w:pPr>
        <w:pStyle w:val="ParaNum"/>
      </w:pPr>
      <w:r w:rsidRPr="00ED3FF9">
        <w:t xml:space="preserve">In the </w:t>
      </w:r>
      <w:r>
        <w:rPr>
          <w:i/>
        </w:rPr>
        <w:t>2017</w:t>
      </w:r>
      <w:r w:rsidRPr="00ED3FF9">
        <w:rPr>
          <w:i/>
        </w:rPr>
        <w:t xml:space="preserve"> Declaratory Ruling</w:t>
      </w:r>
      <w:r w:rsidRPr="0059620E">
        <w:t>,</w:t>
      </w:r>
      <w:r w:rsidRPr="00ED3FF9">
        <w:rPr>
          <w:i/>
        </w:rPr>
        <w:t xml:space="preserve"> </w:t>
      </w:r>
      <w:r w:rsidRPr="00ED3FF9">
        <w:t xml:space="preserve">the Media Bureau, acting on delegated authority, found that the public interest would not be served by refusing to grant </w:t>
      </w:r>
      <w:r>
        <w:t>Univision’s</w:t>
      </w:r>
      <w:r w:rsidRPr="00ED3FF9">
        <w:t xml:space="preserve"> </w:t>
      </w:r>
      <w:r w:rsidR="00E25C8F">
        <w:t>previous p</w:t>
      </w:r>
      <w:r w:rsidRPr="00ED3FF9">
        <w:t xml:space="preserve">etition for </w:t>
      </w:r>
      <w:r w:rsidR="00E25C8F">
        <w:t>d</w:t>
      </w:r>
      <w:r w:rsidRPr="00ED3FF9">
        <w:t xml:space="preserve">eclaratory </w:t>
      </w:r>
      <w:r w:rsidR="00E25C8F">
        <w:t>r</w:t>
      </w:r>
      <w:r w:rsidRPr="00ED3FF9">
        <w:t>uling</w:t>
      </w:r>
      <w:r w:rsidR="006105EB">
        <w:t xml:space="preserve"> </w:t>
      </w:r>
      <w:r w:rsidR="000E32DF">
        <w:t>seeking permission for</w:t>
      </w:r>
      <w:r w:rsidRPr="00ED3FF9">
        <w:t xml:space="preserve"> foreign ownership above </w:t>
      </w:r>
      <w:r w:rsidR="000436C7">
        <w:t>s</w:t>
      </w:r>
      <w:r w:rsidR="000E32DF">
        <w:t xml:space="preserve">ection 310(b)(4)’s </w:t>
      </w:r>
      <w:r w:rsidRPr="00ED3FF9">
        <w:t>statutory cap of 25</w:t>
      </w:r>
      <w:r w:rsidR="00A0483F">
        <w:t>%</w:t>
      </w:r>
      <w:r w:rsidR="00231C17">
        <w:t>, as well as</w:t>
      </w:r>
      <w:r w:rsidR="00A0483F">
        <w:t xml:space="preserve"> </w:t>
      </w:r>
      <w:r w:rsidRPr="00ED3FF9">
        <w:t>up to 4</w:t>
      </w:r>
      <w:r w:rsidR="0094240B">
        <w:t>9</w:t>
      </w:r>
      <w:r w:rsidR="00A0483F">
        <w:t>%</w:t>
      </w:r>
      <w:r w:rsidRPr="00ED3FF9">
        <w:t xml:space="preserve"> voting interests and up to 49</w:t>
      </w:r>
      <w:r w:rsidR="00A0483F">
        <w:t>%</w:t>
      </w:r>
      <w:r w:rsidRPr="00ED3FF9">
        <w:t xml:space="preserve"> of the company’s equity.</w:t>
      </w:r>
      <w:r>
        <w:rPr>
          <w:sz w:val="20"/>
          <w:vertAlign w:val="superscript"/>
        </w:rPr>
        <w:footnoteReference w:id="7"/>
      </w:r>
      <w:r w:rsidRPr="00ED3FF9">
        <w:t xml:space="preserve">  </w:t>
      </w:r>
      <w:r>
        <w:t xml:space="preserve">The </w:t>
      </w:r>
      <w:r>
        <w:rPr>
          <w:i/>
        </w:rPr>
        <w:t xml:space="preserve">2017 Declaratory Ruling </w:t>
      </w:r>
      <w:r>
        <w:t>also specifically approved permitting Grupo Televisa, S.A.B. (Televisa)</w:t>
      </w:r>
      <w:r w:rsidR="004B5A91">
        <w:t xml:space="preserve">, </w:t>
      </w:r>
      <w:r w:rsidR="002E023C">
        <w:t xml:space="preserve">a Mexican </w:t>
      </w:r>
      <w:r w:rsidR="001B0A6E">
        <w:t xml:space="preserve">corporation and </w:t>
      </w:r>
      <w:r w:rsidR="004B5A91">
        <w:t>certain</w:t>
      </w:r>
      <w:r w:rsidR="001B0A6E">
        <w:t xml:space="preserve"> of its</w:t>
      </w:r>
      <w:r w:rsidR="004B5A91">
        <w:t xml:space="preserve"> affiliates, </w:t>
      </w:r>
      <w:r w:rsidR="000E32DF">
        <w:t xml:space="preserve">as well as </w:t>
      </w:r>
      <w:r w:rsidR="00A95A8D">
        <w:t>Emilio</w:t>
      </w:r>
      <w:r w:rsidRPr="00A95A8D" w:rsidR="00A95A8D">
        <w:t xml:space="preserve"> </w:t>
      </w:r>
      <w:r w:rsidR="00A95A8D">
        <w:t xml:space="preserve">Fernando </w:t>
      </w:r>
      <w:r w:rsidR="00A95A8D">
        <w:t>Azcarraga</w:t>
      </w:r>
      <w:r w:rsidR="004B5A91">
        <w:t xml:space="preserve"> </w:t>
      </w:r>
      <w:r w:rsidR="00A95A8D">
        <w:t xml:space="preserve">Jean, an owner of Televisa, </w:t>
      </w:r>
      <w:r w:rsidR="004B5A91">
        <w:t>to own up to 49</w:t>
      </w:r>
      <w:r w:rsidR="00A0483F">
        <w:t xml:space="preserve">% </w:t>
      </w:r>
      <w:r w:rsidR="004B5A91">
        <w:t>of Univision’s equity and 4</w:t>
      </w:r>
      <w:r w:rsidR="00A95A8D">
        <w:t>0</w:t>
      </w:r>
      <w:r w:rsidR="00A0483F">
        <w:t xml:space="preserve">% </w:t>
      </w:r>
      <w:r w:rsidR="004B5A91">
        <w:t>of its voting interests.</w:t>
      </w:r>
      <w:r>
        <w:rPr>
          <w:rStyle w:val="FootnoteReference"/>
        </w:rPr>
        <w:footnoteReference w:id="8"/>
      </w:r>
      <w:r w:rsidR="001B0A6E">
        <w:t xml:space="preserve">  At the time of the </w:t>
      </w:r>
      <w:r w:rsidR="001B0A6E">
        <w:rPr>
          <w:i/>
        </w:rPr>
        <w:t xml:space="preserve">2017 Declaratory Ruling, </w:t>
      </w:r>
      <w:r w:rsidR="001B0A6E">
        <w:t>Televisa</w:t>
      </w:r>
      <w:r w:rsidR="007A4734">
        <w:t>,</w:t>
      </w:r>
      <w:r w:rsidR="001B0A6E">
        <w:t xml:space="preserve"> through a series of wholly owned subsidiaries, held 14.4</w:t>
      </w:r>
      <w:r w:rsidR="00767F66">
        <w:t xml:space="preserve">% </w:t>
      </w:r>
      <w:r w:rsidR="001B0A6E">
        <w:t>of the voting interests and 10</w:t>
      </w:r>
      <w:r w:rsidR="00767F66">
        <w:t xml:space="preserve">% </w:t>
      </w:r>
      <w:r w:rsidR="001B0A6E">
        <w:t>of the equity of Univision.</w:t>
      </w:r>
      <w:r>
        <w:rPr>
          <w:rStyle w:val="FootnoteReference"/>
        </w:rPr>
        <w:footnoteReference w:id="9"/>
      </w:r>
      <w:r w:rsidR="001B0A6E">
        <w:t xml:space="preserve">  </w:t>
      </w:r>
      <w:r w:rsidR="00496381">
        <w:t>Aggregate</w:t>
      </w:r>
      <w:r w:rsidR="00AA6FF1">
        <w:t xml:space="preserve"> foreign investment in Univision at the time </w:t>
      </w:r>
      <w:r w:rsidR="00496381">
        <w:t>was 15.6</w:t>
      </w:r>
      <w:r w:rsidR="00767F66">
        <w:t xml:space="preserve">% </w:t>
      </w:r>
      <w:r w:rsidR="00496381">
        <w:t>equity and 19.9</w:t>
      </w:r>
      <w:r w:rsidR="00767F66">
        <w:t xml:space="preserve">% </w:t>
      </w:r>
      <w:r w:rsidR="00496381">
        <w:t>voting.</w:t>
      </w:r>
      <w:r>
        <w:rPr>
          <w:rStyle w:val="FootnoteReference"/>
        </w:rPr>
        <w:footnoteReference w:id="10"/>
      </w:r>
      <w:r w:rsidR="00496381">
        <w:t xml:space="preserve">  </w:t>
      </w:r>
      <w:r w:rsidR="001B0A6E">
        <w:t xml:space="preserve">According to Univision, those percentages </w:t>
      </w:r>
      <w:r w:rsidR="00304232">
        <w:t>are</w:t>
      </w:r>
      <w:r w:rsidR="00496381">
        <w:t xml:space="preserve"> materially unchanged</w:t>
      </w:r>
      <w:r w:rsidR="001B0A6E">
        <w:t>.</w:t>
      </w:r>
      <w:r>
        <w:rPr>
          <w:rStyle w:val="FootnoteReference"/>
        </w:rPr>
        <w:footnoteReference w:id="11"/>
      </w:r>
      <w:r w:rsidR="001B0A6E">
        <w:t xml:space="preserve">  </w:t>
      </w:r>
    </w:p>
    <w:p w:rsidR="008F733D" w:rsidP="00DF7A41" w14:paraId="2FDE8FF7" w14:textId="3B993750">
      <w:pPr>
        <w:pStyle w:val="ParaNum"/>
      </w:pPr>
      <w:r w:rsidRPr="00DF7A41">
        <w:t>As part of a proposed intra-corporate restructuring</w:t>
      </w:r>
      <w:r w:rsidR="00304232">
        <w:t xml:space="preserve"> (Proposed Restructuring) unrelated to external investment</w:t>
      </w:r>
      <w:r w:rsidRPr="00DF7A41">
        <w:t>, a wholly-owned Univision subsidiary, Notivision, S.A. de C.V. (Notivision), which is domiciled in Mexico, would acquire a direct, 21</w:t>
      </w:r>
      <w:r w:rsidR="00767F66">
        <w:t xml:space="preserve">% </w:t>
      </w:r>
      <w:r w:rsidRPr="00DF7A41">
        <w:t>interest in Univision’s wholly</w:t>
      </w:r>
      <w:r w:rsidR="007A4734">
        <w:t>-</w:t>
      </w:r>
      <w:r w:rsidRPr="00DF7A41">
        <w:t>owned indirect U.S. subsidiary, Univision Radio, Inc.</w:t>
      </w:r>
      <w:r w:rsidR="00934672">
        <w:t xml:space="preserve"> (Univision Radio).</w:t>
      </w:r>
      <w:r>
        <w:rPr>
          <w:rStyle w:val="FootnoteReference"/>
        </w:rPr>
        <w:footnoteReference w:id="12"/>
      </w:r>
      <w:r w:rsidRPr="00DF7A41">
        <w:t xml:space="preserve">  </w:t>
      </w:r>
      <w:r w:rsidR="00934672">
        <w:t>As a result, Univision Radio would be owned 79% by Univision Local Media, Inc., an indirect, wholly-owned Univision subsidiary domiciled in Delaware, with the remaining 21% held by Notivision.  Under section 310(b)(4), Notivision’s 21% interest in Univision Radio would be deemed foreign because of Notivision’s status as a foreign domiciled entity</w:t>
      </w:r>
      <w:r w:rsidR="00A0483F">
        <w:t xml:space="preserve">, reducing the total amount available for foreign investment under the terms of the </w:t>
      </w:r>
      <w:r w:rsidR="00A0483F">
        <w:rPr>
          <w:i/>
        </w:rPr>
        <w:t xml:space="preserve">2017 Declaratory Ruling </w:t>
      </w:r>
      <w:r w:rsidR="00A0483F">
        <w:t>from 49% to 28%</w:t>
      </w:r>
      <w:r w:rsidR="00934672">
        <w:t xml:space="preserve">.  </w:t>
      </w:r>
      <w:r>
        <w:t>The</w:t>
      </w:r>
      <w:r w:rsidR="00934672">
        <w:t xml:space="preserve"> </w:t>
      </w:r>
      <w:r w:rsidR="00304232">
        <w:t>Proposed Restructuring</w:t>
      </w:r>
      <w:r w:rsidR="00934672">
        <w:t xml:space="preserve"> does not introduce any</w:t>
      </w:r>
      <w:r w:rsidR="00947533">
        <w:t xml:space="preserve"> new</w:t>
      </w:r>
      <w:r w:rsidR="00934672">
        <w:t xml:space="preserve"> third-party foreign investment into Univision</w:t>
      </w:r>
      <w:r>
        <w:t xml:space="preserve"> </w:t>
      </w:r>
      <w:r w:rsidR="00947533">
        <w:t>and</w:t>
      </w:r>
      <w:r>
        <w:t xml:space="preserve"> </w:t>
      </w:r>
      <w:r w:rsidR="007A4734">
        <w:t xml:space="preserve">the </w:t>
      </w:r>
      <w:r>
        <w:t xml:space="preserve">ultimate ownership of Univision and Notivision </w:t>
      </w:r>
      <w:r w:rsidR="00947533">
        <w:t>remains</w:t>
      </w:r>
      <w:r>
        <w:t xml:space="preserve"> the same.</w:t>
      </w:r>
      <w:r>
        <w:rPr>
          <w:rStyle w:val="FootnoteReference"/>
        </w:rPr>
        <w:footnoteReference w:id="13"/>
      </w:r>
      <w:r w:rsidRPr="00304232" w:rsidR="00934672">
        <w:t xml:space="preserve"> </w:t>
      </w:r>
      <w:r w:rsidR="00304232">
        <w:t xml:space="preserve"> </w:t>
      </w:r>
    </w:p>
    <w:p w:rsidR="00DF7A41" w:rsidP="00715EE3" w14:paraId="0845BF7D" w14:textId="64BBE258">
      <w:pPr>
        <w:pStyle w:val="ParaNum"/>
      </w:pPr>
      <w:r>
        <w:t xml:space="preserve">Univision </w:t>
      </w:r>
      <w:r w:rsidRPr="00DF7A41">
        <w:t xml:space="preserve">has requested that the Commission modify the </w:t>
      </w:r>
      <w:r w:rsidRPr="0094240B">
        <w:rPr>
          <w:i/>
        </w:rPr>
        <w:t>2017 Declaratory Ruling</w:t>
      </w:r>
      <w:r w:rsidRPr="00DF7A41">
        <w:t xml:space="preserve"> to permit aggregate foreign ownership of up to 70</w:t>
      </w:r>
      <w:r w:rsidR="00A0483F">
        <w:t>%</w:t>
      </w:r>
      <w:r w:rsidRPr="00DF7A41">
        <w:t xml:space="preserve"> of its </w:t>
      </w:r>
      <w:bookmarkStart w:id="3" w:name="_Hlk25068189"/>
      <w:r w:rsidRPr="00DF7A41">
        <w:t>equity</w:t>
      </w:r>
      <w:r>
        <w:t xml:space="preserve"> </w:t>
      </w:r>
      <w:r w:rsidR="00832F49">
        <w:t xml:space="preserve">and </w:t>
      </w:r>
      <w:r w:rsidRPr="00DF7A41">
        <w:t>voting interests</w:t>
      </w:r>
      <w:bookmarkEnd w:id="3"/>
      <w:r>
        <w:t xml:space="preserve"> in order to permit the same level of third-party investment as previously approved in the </w:t>
      </w:r>
      <w:r>
        <w:rPr>
          <w:i/>
        </w:rPr>
        <w:t>2017 Declaratory Ruling</w:t>
      </w:r>
      <w:r w:rsidRPr="00DF7A41">
        <w:t>.</w:t>
      </w:r>
      <w:r>
        <w:rPr>
          <w:rStyle w:val="FootnoteReference"/>
        </w:rPr>
        <w:footnoteReference w:id="14"/>
      </w:r>
      <w:r w:rsidRPr="00DF7A41">
        <w:t xml:space="preserve">  </w:t>
      </w:r>
      <w:r>
        <w:t xml:space="preserve">The </w:t>
      </w:r>
      <w:r>
        <w:t>Petition is unopposed</w:t>
      </w:r>
      <w:r w:rsidR="00715EE3">
        <w:t>.</w:t>
      </w:r>
      <w:r>
        <w:rPr>
          <w:rStyle w:val="FootnoteReference"/>
        </w:rPr>
        <w:footnoteReference w:id="15"/>
      </w:r>
    </w:p>
    <w:p w:rsidR="000525DC" w:rsidP="000525DC" w14:paraId="76CFE032" w14:textId="77777777">
      <w:pPr>
        <w:pStyle w:val="Heading1"/>
      </w:pPr>
      <w:r>
        <w:t>discussion</w:t>
      </w:r>
    </w:p>
    <w:p w:rsidR="00752E02" w:rsidRPr="000B63E1" w:rsidP="00752E02" w14:paraId="1FD8CA70" w14:textId="0C63C9D2">
      <w:pPr>
        <w:pStyle w:val="ParaNum"/>
      </w:pPr>
      <w:r>
        <w:t xml:space="preserve">We grant the Petition for the reasons stated below.  </w:t>
      </w:r>
      <w:r>
        <w:t xml:space="preserve">Section 310(b) of the Act </w:t>
      </w:r>
      <w:r w:rsidRPr="00752E02">
        <w:t xml:space="preserve">restricts investment by non-U.S. citizens in broadcast, common carrier, aeronautical </w:t>
      </w:r>
      <w:r w:rsidRPr="00752E02">
        <w:t>en</w:t>
      </w:r>
      <w:r w:rsidRPr="00752E02">
        <w:t xml:space="preserve"> route, and aeronautical fixed radio licensees.</w:t>
      </w:r>
      <w:r>
        <w:rPr>
          <w:rStyle w:val="FootnoteReference"/>
          <w:szCs w:val="22"/>
        </w:rPr>
        <w:footnoteReference w:id="16"/>
      </w:r>
      <w:r w:rsidRPr="00752E02">
        <w:t xml:space="preserve">  Section 310(b)(4) of the Act states:</w:t>
      </w:r>
    </w:p>
    <w:p w:rsidR="00752E02" w:rsidP="000436C7" w14:paraId="5ADAF04B" w14:textId="77777777">
      <w:pPr>
        <w:pStyle w:val="ParaNum"/>
        <w:numPr>
          <w:ilvl w:val="0"/>
          <w:numId w:val="0"/>
        </w:numPr>
        <w:ind w:left="720" w:right="720"/>
        <w:jc w:val="both"/>
      </w:pPr>
      <w:r w:rsidRPr="00EF0AC2">
        <w:t xml:space="preserve">No broadcast or common carrier or aeronautical </w:t>
      </w:r>
      <w:r w:rsidRPr="00EF0AC2">
        <w:t>en</w:t>
      </w:r>
      <w:r w:rsidRPr="00EF0AC2">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Cs w:val="22"/>
        </w:rPr>
        <w:footnoteReference w:id="17"/>
      </w:r>
      <w:r>
        <w:t xml:space="preserve"> </w:t>
      </w:r>
    </w:p>
    <w:p w:rsidR="00752E02" w:rsidP="00752E02" w14:paraId="1C4163A3" w14:textId="2B62DBE5">
      <w:pPr>
        <w:pStyle w:val="ParaNum"/>
      </w:pPr>
      <w:r>
        <w:t xml:space="preserve">Three years prior to the adoption of the </w:t>
      </w:r>
      <w:r>
        <w:rPr>
          <w:i/>
        </w:rPr>
        <w:t>2016 Foreign Ownership Order</w:t>
      </w:r>
      <w:r w:rsidRPr="003859A0">
        <w:t>,</w:t>
      </w:r>
      <w:r w:rsidRPr="003859A0">
        <w:t xml:space="preserve"> </w:t>
      </w:r>
      <w:r>
        <w:t>the</w:t>
      </w:r>
      <w:r>
        <w:t xml:space="preserve"> Commission</w:t>
      </w:r>
      <w:r>
        <w:t xml:space="preserve"> </w:t>
      </w:r>
      <w:r w:rsidRPr="00EF0AC2">
        <w:t xml:space="preserve">clarified the policies and procedures for evaluating potential foreign investment in broadcast licensees under </w:t>
      </w:r>
      <w:r w:rsidR="00E645EB">
        <w:t>s</w:t>
      </w:r>
      <w:r w:rsidRPr="00EF0AC2">
        <w:t>ection 310(b)(4) of the Act to remove apparent uncertainty</w:t>
      </w:r>
      <w:r>
        <w:t xml:space="preserve"> </w:t>
      </w:r>
      <w:r w:rsidR="00767F66">
        <w:t xml:space="preserve">and </w:t>
      </w:r>
      <w:r>
        <w:t>issued its</w:t>
      </w:r>
      <w:r w:rsidRPr="00EF0AC2">
        <w:t xml:space="preserve"> </w:t>
      </w:r>
      <w:r w:rsidRPr="00EF0AC2">
        <w:rPr>
          <w:i/>
        </w:rPr>
        <w:t>2013 Broadcast Clarification Order</w:t>
      </w:r>
      <w:r w:rsidRPr="003859A0" w:rsidR="00BA11FF">
        <w:t>.</w:t>
      </w:r>
      <w:r>
        <w:rPr>
          <w:rStyle w:val="FootnoteReference"/>
        </w:rPr>
        <w:footnoteReference w:id="18"/>
      </w:r>
      <w:r w:rsidRPr="00EF0AC2">
        <w:t xml:space="preserve">  </w:t>
      </w:r>
      <w:r>
        <w:t>In that decision, t</w:t>
      </w:r>
      <w:r>
        <w:t>he Commission</w:t>
      </w:r>
      <w:r w:rsidRPr="00EF0AC2">
        <w:t xml:space="preserve"> declined to adopt a standardized review </w:t>
      </w:r>
      <w:r>
        <w:t xml:space="preserve">process and instead </w:t>
      </w:r>
      <w:r w:rsidR="00767F66">
        <w:t>said</w:t>
      </w:r>
      <w:r>
        <w:t xml:space="preserve"> that it would continue to conduct a</w:t>
      </w:r>
      <w:r w:rsidRPr="00EF0AC2">
        <w:t xml:space="preserve"> fact-specific, individualized case-by-case review of each application or petition for declaratory ruling involving broadcast stations.</w:t>
      </w:r>
      <w:r>
        <w:rPr>
          <w:rStyle w:val="FootnoteReference"/>
        </w:rPr>
        <w:footnoteReference w:id="19"/>
      </w:r>
      <w:r w:rsidRPr="00EF0AC2">
        <w:t xml:space="preserve">  </w:t>
      </w:r>
      <w:r>
        <w:t xml:space="preserve">The Commission reiterated its position that, in the context of </w:t>
      </w:r>
      <w:r w:rsidR="00233F1E">
        <w:t>s</w:t>
      </w:r>
      <w:r>
        <w:t xml:space="preserve">ection 310(b)(4) review for broadcast licensees, </w:t>
      </w:r>
      <w:r w:rsidRPr="00EF0AC2">
        <w:t>the 25</w:t>
      </w:r>
      <w:r w:rsidR="00767F66">
        <w:t>%</w:t>
      </w:r>
      <w:r w:rsidRPr="00EF0AC2">
        <w:t xml:space="preserve"> benchmark “is only a trigger for the exercise of our discretion, which we then exercise based upon a more searching analysis of the circumstances of each case.”</w:t>
      </w:r>
      <w:r>
        <w:rPr>
          <w:rStyle w:val="FootnoteReference"/>
        </w:rPr>
        <w:footnoteReference w:id="20"/>
      </w:r>
      <w:r w:rsidRPr="00EF0AC2">
        <w:t xml:space="preserve">  </w:t>
      </w:r>
      <w:r>
        <w:t>The Commission also recognized</w:t>
      </w:r>
      <w:r w:rsidRPr="00EF0AC2">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Pr>
          <w:rStyle w:val="FootnoteReference"/>
        </w:rPr>
        <w:footnoteReference w:id="21"/>
      </w:r>
      <w:r w:rsidR="00392617">
        <w:t xml:space="preserve">  </w:t>
      </w:r>
    </w:p>
    <w:p w:rsidR="00C67DA2" w:rsidP="000F78F1" w14:paraId="13981765" w14:textId="1C8947F0">
      <w:pPr>
        <w:pStyle w:val="ParaNum"/>
      </w:pPr>
      <w:r>
        <w:t>The declaratory rulings issue</w:t>
      </w:r>
      <w:r w:rsidR="00767F66">
        <w:t>d</w:t>
      </w:r>
      <w:r>
        <w:t xml:space="preserve"> under the case-by-case review process of the </w:t>
      </w:r>
      <w:r>
        <w:rPr>
          <w:i/>
        </w:rPr>
        <w:t xml:space="preserve">2013 Broadcast Clarification Order </w:t>
      </w:r>
      <w:r>
        <w:t>contain</w:t>
      </w:r>
      <w:r w:rsidR="003859A0">
        <w:t>s</w:t>
      </w:r>
      <w:r>
        <w:t xml:space="preserve"> detailed terms and conditions that licensees must abide by to stay in compliance with their rulings, including specified levels of foreign ownership.  </w:t>
      </w:r>
      <w:r w:rsidR="00392617">
        <w:t xml:space="preserve">In </w:t>
      </w:r>
      <w:r w:rsidR="00EC32A5">
        <w:t xml:space="preserve">its </w:t>
      </w:r>
      <w:r w:rsidR="00392617">
        <w:t>dec</w:t>
      </w:r>
      <w:r w:rsidR="008F6D51">
        <w:t>laratory ruling</w:t>
      </w:r>
      <w:r w:rsidR="00392617">
        <w:t xml:space="preserve"> under the </w:t>
      </w:r>
      <w:r w:rsidR="00392617">
        <w:rPr>
          <w:i/>
        </w:rPr>
        <w:t>2013 Broadcast Clarification Order</w:t>
      </w:r>
      <w:r w:rsidRPr="003859A0" w:rsidR="00392617">
        <w:t>,</w:t>
      </w:r>
      <w:r w:rsidR="00392617">
        <w:rPr>
          <w:i/>
        </w:rPr>
        <w:t xml:space="preserve"> </w:t>
      </w:r>
      <w:r w:rsidR="00EC32A5">
        <w:t>Univision was</w:t>
      </w:r>
      <w:r w:rsidR="008F6D51">
        <w:t xml:space="preserve"> </w:t>
      </w:r>
      <w:r w:rsidR="00EC32A5">
        <w:t xml:space="preserve">only </w:t>
      </w:r>
      <w:r w:rsidR="008F6D51">
        <w:t>granted</w:t>
      </w:r>
      <w:r w:rsidR="00392617">
        <w:t xml:space="preserve"> </w:t>
      </w:r>
      <w:r w:rsidR="008F6D51">
        <w:t xml:space="preserve">approval for </w:t>
      </w:r>
      <w:r w:rsidR="00EC32A5">
        <w:t>its</w:t>
      </w:r>
      <w:r w:rsidR="008F6D51">
        <w:t xml:space="preserve"> aggregate foreign ownership to </w:t>
      </w:r>
      <w:r w:rsidR="00BE4215">
        <w:t>rise to</w:t>
      </w:r>
      <w:r w:rsidR="00EC32A5">
        <w:t xml:space="preserve"> 49</w:t>
      </w:r>
      <w:r w:rsidR="00767F66">
        <w:t xml:space="preserve">% </w:t>
      </w:r>
      <w:r w:rsidR="00EC32A5">
        <w:t>on both the voting and equity side and it was</w:t>
      </w:r>
      <w:r w:rsidR="008F6D51">
        <w:t xml:space="preserve"> required to return to the Commission if </w:t>
      </w:r>
      <w:r w:rsidR="00EC32A5">
        <w:t>it wished to</w:t>
      </w:r>
      <w:r w:rsidR="008F6D51">
        <w:t xml:space="preserve"> exceed that amount</w:t>
      </w:r>
      <w:r w:rsidR="000F78F1">
        <w:t>.</w:t>
      </w:r>
      <w:r>
        <w:rPr>
          <w:rStyle w:val="FootnoteReference"/>
        </w:rPr>
        <w:footnoteReference w:id="22"/>
      </w:r>
      <w:r w:rsidR="008F6D51">
        <w:t xml:space="preserve">  </w:t>
      </w:r>
    </w:p>
    <w:p w:rsidR="00752E02" w:rsidP="00951FE2" w14:paraId="4CC6337D" w14:textId="3140189B">
      <w:pPr>
        <w:pStyle w:val="ParaNum"/>
      </w:pPr>
      <w:r>
        <w:t xml:space="preserve">The </w:t>
      </w:r>
      <w:r w:rsidRPr="0052548A">
        <w:rPr>
          <w:i/>
        </w:rPr>
        <w:t>2016 Foreign Ownership Order</w:t>
      </w:r>
      <w:r>
        <w:t xml:space="preserve"> permitted parties that were subject to an existing declaratory ruling as of the effective date of the new rules to continue to comply with any general and specific terms and conditions of their rulings.</w:t>
      </w:r>
      <w:r>
        <w:rPr>
          <w:rStyle w:val="FootnoteReference"/>
        </w:rPr>
        <w:footnoteReference w:id="23"/>
      </w:r>
      <w:r>
        <w:t xml:space="preserve">  In the alternative, a party could request a new ruling under the revised rules, but was not required to do so.</w:t>
      </w:r>
      <w:r>
        <w:rPr>
          <w:rStyle w:val="FootnoteReference"/>
        </w:rPr>
        <w:footnoteReference w:id="24"/>
      </w:r>
      <w:r>
        <w:t xml:space="preserve">  Rather than seek a new ruling, Univision has requested a modification</w:t>
      </w:r>
      <w:r w:rsidRPr="0052548A">
        <w:t xml:space="preserve"> </w:t>
      </w:r>
      <w:r>
        <w:t xml:space="preserve">of its previous ruling.  </w:t>
      </w:r>
      <w:r>
        <w:t xml:space="preserve"> </w:t>
      </w:r>
      <w:r w:rsidRPr="000F78F1">
        <w:rPr>
          <w:i/>
        </w:rPr>
        <w:t xml:space="preserve">  </w:t>
      </w:r>
      <w:r>
        <w:t xml:space="preserve">  </w:t>
      </w:r>
    </w:p>
    <w:p w:rsidR="00715EE3" w:rsidP="00DF7A41" w14:paraId="6AB22C48" w14:textId="02FCB4ED">
      <w:pPr>
        <w:pStyle w:val="ParaNum"/>
      </w:pPr>
      <w:r>
        <w:t xml:space="preserve">Inserting Notivision only into the ownership chain of Univision Radio has an impact on both the radio and television subsidiaries under the terms of the </w:t>
      </w:r>
      <w:r>
        <w:rPr>
          <w:i/>
        </w:rPr>
        <w:t>2017 Declaratory Ruling</w:t>
      </w:r>
      <w:r w:rsidR="00767F66">
        <w:t xml:space="preserve"> because it affects the total amount of foreign investment available to Univision and its subsidiaries</w:t>
      </w:r>
      <w:r>
        <w:rPr>
          <w:i/>
        </w:rPr>
        <w:t>.</w:t>
      </w:r>
      <w:r>
        <w:t xml:space="preserve">  </w:t>
      </w:r>
      <w:r w:rsidRPr="00DF7A41" w:rsidR="00767F66">
        <w:t xml:space="preserve">Although Commission approval of </w:t>
      </w:r>
      <w:r w:rsidR="00767F66">
        <w:t>Notivision’s proposed</w:t>
      </w:r>
      <w:r w:rsidRPr="00DF7A41" w:rsidR="00767F66">
        <w:t xml:space="preserve"> acquisition is not required under the </w:t>
      </w:r>
      <w:r w:rsidRPr="0094240B" w:rsidR="00767F66">
        <w:rPr>
          <w:i/>
        </w:rPr>
        <w:t>2017 Declaratory Ruling</w:t>
      </w:r>
      <w:r w:rsidRPr="004E17BA" w:rsidR="00767F66">
        <w:t>,</w:t>
      </w:r>
      <w:r w:rsidR="00767F66">
        <w:t xml:space="preserve"> i</w:t>
      </w:r>
      <w:r>
        <w:t>f Notivision utilizes 21% of the approved foreign investment available under the terms of the ruling, then only 28% remains available to third party investors, including to Televisa, which received specific approval to hold 49% of Univision’s equity</w:t>
      </w:r>
      <w:r w:rsidRPr="00DF7A41">
        <w:t xml:space="preserve"> and </w:t>
      </w:r>
      <w:r>
        <w:t xml:space="preserve">40% of its </w:t>
      </w:r>
      <w:r w:rsidRPr="00DF7A41">
        <w:t>voting interests</w:t>
      </w:r>
      <w:r>
        <w:t xml:space="preserve">.  </w:t>
      </w:r>
      <w:r w:rsidR="0054084F">
        <w:t xml:space="preserve">  </w:t>
      </w:r>
    </w:p>
    <w:p w:rsidR="00DF7A41" w:rsidRPr="00BE3C5E" w:rsidP="00DF7A41" w14:paraId="5059B93F" w14:textId="052EEC0A">
      <w:pPr>
        <w:pStyle w:val="ParaNum"/>
      </w:pPr>
      <w:r>
        <w:t xml:space="preserve">We find that this modification, which </w:t>
      </w:r>
      <w:r w:rsidR="0054084F">
        <w:t xml:space="preserve">significantly </w:t>
      </w:r>
      <w:r>
        <w:t>does not seek specific approval of any new parties</w:t>
      </w:r>
      <w:r w:rsidR="0054084F">
        <w:t xml:space="preserve"> or seek to increase the investment level of any previously approved </w:t>
      </w:r>
      <w:r w:rsidR="005B25D8">
        <w:t>parties and</w:t>
      </w:r>
      <w:r>
        <w:t xml:space="preserve"> will only facilitate aggregate third-party foreign investment at </w:t>
      </w:r>
      <w:r w:rsidR="006C2D09">
        <w:t xml:space="preserve">substantially </w:t>
      </w:r>
      <w:r>
        <w:t xml:space="preserve">the same level that was previously approved, is consistent with the </w:t>
      </w:r>
      <w:r>
        <w:rPr>
          <w:i/>
        </w:rPr>
        <w:t>2017 Declaratory Ruling</w:t>
      </w:r>
      <w:r w:rsidRPr="000436C7">
        <w:t>.</w:t>
      </w:r>
      <w:r w:rsidRPr="00BE3C5E">
        <w:t xml:space="preserve"> </w:t>
      </w:r>
      <w:r>
        <w:t xml:space="preserve"> </w:t>
      </w:r>
      <w:r w:rsidR="00951FE2">
        <w:t xml:space="preserve">In the context of considering whether to grant this </w:t>
      </w:r>
      <w:r w:rsidR="00BE3C5E">
        <w:t>P</w:t>
      </w:r>
      <w:r w:rsidR="00951FE2">
        <w:t xml:space="preserve">etition, we are mindful that the </w:t>
      </w:r>
      <w:r w:rsidR="00951FE2">
        <w:rPr>
          <w:i/>
        </w:rPr>
        <w:t xml:space="preserve">2017 Declaratory Ruling </w:t>
      </w:r>
      <w:r w:rsidR="00951FE2">
        <w:t xml:space="preserve">was adopted in the gap between adoption of the </w:t>
      </w:r>
      <w:r w:rsidR="00951FE2">
        <w:rPr>
          <w:i/>
        </w:rPr>
        <w:t xml:space="preserve">2016 Foreign Ownership Ruling </w:t>
      </w:r>
      <w:r w:rsidR="00951FE2">
        <w:t xml:space="preserve">and its effective date.  The </w:t>
      </w:r>
      <w:r w:rsidR="00951FE2">
        <w:rPr>
          <w:i/>
        </w:rPr>
        <w:t xml:space="preserve">2017 Declaratory Ruling </w:t>
      </w:r>
      <w:r w:rsidR="00951FE2">
        <w:t xml:space="preserve">states that, although it was subject to the terms of the </w:t>
      </w:r>
      <w:r w:rsidR="00951FE2">
        <w:rPr>
          <w:i/>
        </w:rPr>
        <w:t>2013 Clarification Order</w:t>
      </w:r>
      <w:r w:rsidRPr="009A3C5C" w:rsidR="00951FE2">
        <w:t>,</w:t>
      </w:r>
      <w:r w:rsidR="00951FE2">
        <w:rPr>
          <w:i/>
        </w:rPr>
        <w:t xml:space="preserve"> </w:t>
      </w:r>
      <w:r w:rsidR="00951FE2">
        <w:t xml:space="preserve">“we are cognizant of the Commission’s recent decision in the </w:t>
      </w:r>
      <w:r w:rsidRPr="00EC180F" w:rsidR="00951FE2">
        <w:rPr>
          <w:i/>
        </w:rPr>
        <w:t>2016 Foreign Ownership Order</w:t>
      </w:r>
      <w:r w:rsidRPr="000436C7" w:rsidR="00951FE2">
        <w:t>,</w:t>
      </w:r>
      <w:r w:rsidRPr="00EC180F" w:rsidR="00951FE2">
        <w:rPr>
          <w:i/>
        </w:rPr>
        <w:t xml:space="preserve"> </w:t>
      </w:r>
      <w:r w:rsidR="00951FE2">
        <w:t>which is scheduled to become effective soon after the adoption of this declaratory ruling.  Although the rules adopted in that order are not yet in effect, we note that our action here is not inconsistent with the policies or rules the Commission adopted.”</w:t>
      </w:r>
      <w:r>
        <w:rPr>
          <w:rStyle w:val="FootnoteReference"/>
        </w:rPr>
        <w:footnoteReference w:id="25"/>
      </w:r>
      <w:r w:rsidR="00951FE2">
        <w:rPr>
          <w:i/>
        </w:rPr>
        <w:t xml:space="preserve"> </w:t>
      </w:r>
      <w:r w:rsidR="00951FE2">
        <w:t xml:space="preserve"> The </w:t>
      </w:r>
      <w:r w:rsidR="006C2D09">
        <w:t xml:space="preserve">total </w:t>
      </w:r>
      <w:r w:rsidR="00951FE2">
        <w:t xml:space="preserve">level of aggregate foreign ownership that we approve here is not only materially consistent with the intent of the </w:t>
      </w:r>
      <w:r w:rsidR="00951FE2">
        <w:rPr>
          <w:i/>
        </w:rPr>
        <w:t>2017 Declaratory Ruling</w:t>
      </w:r>
      <w:r w:rsidRPr="000436C7" w:rsidR="00951FE2">
        <w:t xml:space="preserve">, </w:t>
      </w:r>
      <w:r w:rsidR="00951FE2">
        <w:t xml:space="preserve">but also </w:t>
      </w:r>
      <w:r w:rsidR="006C2D09">
        <w:t>less than what is normally granted to broadcast licensees pursuant to the</w:t>
      </w:r>
      <w:r w:rsidR="00951FE2">
        <w:t xml:space="preserve"> </w:t>
      </w:r>
      <w:r w:rsidR="00951FE2">
        <w:rPr>
          <w:i/>
        </w:rPr>
        <w:t>2016 Foreign Ownership Order</w:t>
      </w:r>
      <w:r w:rsidRPr="000436C7" w:rsidR="005B25D8">
        <w:t>.</w:t>
      </w:r>
    </w:p>
    <w:p w:rsidR="000525DC" w:rsidP="000525DC" w14:paraId="1D247FBA" w14:textId="77777777">
      <w:pPr>
        <w:pStyle w:val="Heading1"/>
      </w:pPr>
      <w:r>
        <w:t>declaratory ruling</w:t>
      </w:r>
    </w:p>
    <w:p w:rsidR="000525DC" w:rsidRPr="000525DC" w:rsidP="000525DC" w14:paraId="1C44D43F" w14:textId="3B0CFEB3">
      <w:pPr>
        <w:pStyle w:val="ParaNum"/>
      </w:pPr>
      <w:r>
        <w:t xml:space="preserve"> Under these circumstances, pursuant to section 310(b)</w:t>
      </w:r>
      <w:r w:rsidR="00B35226">
        <w:t>(4)</w:t>
      </w:r>
      <w:r>
        <w:t xml:space="preserve"> of the Act and sections 1.5001 through 1.5004 of the Commission’s rules, we find that the public interest would not be served by prohibiting foreign ownership of Univision in excess of the 25</w:t>
      </w:r>
      <w:r w:rsidR="00767F66">
        <w:t xml:space="preserve">% </w:t>
      </w:r>
      <w:r>
        <w:t>benchmark in section 310(b)(4) of the Act because</w:t>
      </w:r>
      <w:r w:rsidRPr="006D7270">
        <w:t xml:space="preserve"> </w:t>
      </w:r>
      <w:r>
        <w:t xml:space="preserve">this increased level of foreign investment in Univision will facilitate investment from new sources of capital in </w:t>
      </w:r>
      <w:r w:rsidR="006C2D09">
        <w:t>Univision</w:t>
      </w:r>
      <w:r>
        <w:t xml:space="preserve"> that would not otherwise be available</w:t>
      </w:r>
      <w:r w:rsidR="006C2D09">
        <w:t>.</w:t>
      </w:r>
      <w:r>
        <w:t xml:space="preserve"> </w:t>
      </w:r>
      <w:r w:rsidR="006C2D09">
        <w:t xml:space="preserve"> </w:t>
      </w:r>
      <w:r>
        <w:t>Specifically, this ruling, which supersedes all previous rulings, permits aggregate foreign equity and voting interest in Univision to exceed 25</w:t>
      </w:r>
      <w:r w:rsidR="00767F66">
        <w:t xml:space="preserve">% </w:t>
      </w:r>
      <w:r>
        <w:t>and to increase up to and including 70</w:t>
      </w:r>
      <w:r w:rsidR="00767F66">
        <w:t>%</w:t>
      </w:r>
      <w:r>
        <w:t>.  Univision has not sought specific approval for any new individuals or entities or any other changes in its previous declaratory ruling as part of its Petition and we make no other modifications here.  No other parties have requested any changes or modifications as part of this proceeding.</w:t>
      </w:r>
    </w:p>
    <w:p w:rsidR="006452D3" w:rsidP="000525DC" w14:paraId="178F27EA" w14:textId="77777777">
      <w:pPr>
        <w:pStyle w:val="Heading1"/>
      </w:pPr>
      <w:r>
        <w:t>ordering clauses</w:t>
      </w:r>
    </w:p>
    <w:p w:rsidR="000525DC" w:rsidRPr="00284C8C" w:rsidP="00F91FAC" w14:paraId="69FB0A3B" w14:textId="76506490">
      <w:pPr>
        <w:numPr>
          <w:ilvl w:val="0"/>
          <w:numId w:val="9"/>
        </w:numPr>
        <w:tabs>
          <w:tab w:val="num" w:pos="1620"/>
        </w:tabs>
        <w:spacing w:after="120"/>
      </w:pPr>
      <w:r>
        <w:tab/>
      </w:r>
      <w:r w:rsidRPr="00284C8C">
        <w:t xml:space="preserve">Accordingly, </w:t>
      </w:r>
      <w:r w:rsidRPr="00284C8C">
        <w:rPr>
          <w:b/>
        </w:rPr>
        <w:t>IT IS ORDERED</w:t>
      </w:r>
      <w:r w:rsidRPr="00284C8C">
        <w:t xml:space="preserve"> that, pursuant to section 310(b)(4) of the Communications Act of 1934, as amended, 47 U.S.C. § 310(b)(4), and sections 1.5001 through 1.5004 of the Commission’s rules, 47 CFR </w:t>
      </w:r>
      <w:r w:rsidRPr="00284C8C">
        <w:rPr>
          <w:color w:val="000000"/>
          <w:w w:val="0"/>
          <w:szCs w:val="24"/>
        </w:rPr>
        <w:t>§§</w:t>
      </w:r>
      <w:r w:rsidRPr="00284C8C">
        <w:t xml:space="preserve"> 1.5001-04, and pursuant to authority delegated to the Media Bureau in section 0.283 of the Commission’s rules, </w:t>
      </w:r>
      <w:r w:rsidRPr="00284C8C">
        <w:rPr>
          <w:color w:val="000000"/>
          <w:w w:val="0"/>
          <w:szCs w:val="24"/>
        </w:rPr>
        <w:t xml:space="preserve">47 CFR § 0.283, </w:t>
      </w:r>
      <w:r w:rsidRPr="00284C8C">
        <w:t>the Petition for Declaratory Ruling filed by</w:t>
      </w:r>
      <w:r>
        <w:t xml:space="preserve"> </w:t>
      </w:r>
      <w:r>
        <w:t>Univision Holdings</w:t>
      </w:r>
      <w:r w:rsidR="00FA7D83">
        <w:t>,</w:t>
      </w:r>
      <w:r>
        <w:t xml:space="preserve"> Inc</w:t>
      </w:r>
      <w:r w:rsidR="00FA7D83">
        <w:t>.</w:t>
      </w:r>
      <w:r w:rsidRPr="00284C8C">
        <w:t xml:space="preserve">, </w:t>
      </w:r>
      <w:r w:rsidRPr="00284C8C">
        <w:rPr>
          <w:b/>
        </w:rPr>
        <w:t>IS GRANTED</w:t>
      </w:r>
      <w:r w:rsidRPr="00284C8C">
        <w:t xml:space="preserve"> to the extent specified in this</w:t>
      </w:r>
      <w:r w:rsidRPr="00284C8C">
        <w:rPr>
          <w:b/>
        </w:rPr>
        <w:t xml:space="preserve"> </w:t>
      </w:r>
      <w:r w:rsidRPr="00284C8C">
        <w:t>Declaratory Ruling and subject to the conditions specified herein.</w:t>
      </w:r>
    </w:p>
    <w:p w:rsidR="000525DC" w:rsidRPr="00284C8C" w:rsidP="00F91FAC" w14:paraId="5EC46B8C" w14:textId="77777777">
      <w:pPr>
        <w:widowControl/>
        <w:numPr>
          <w:ilvl w:val="0"/>
          <w:numId w:val="9"/>
        </w:numPr>
        <w:tabs>
          <w:tab w:val="num" w:pos="1620"/>
        </w:tabs>
        <w:spacing w:after="120"/>
      </w:pPr>
      <w:r>
        <w:rPr>
          <w:b/>
        </w:rPr>
        <w:tab/>
      </w:r>
      <w:r w:rsidRPr="00284C8C">
        <w:rPr>
          <w:b/>
        </w:rPr>
        <w:t>IT IS FURTHER ORDERED</w:t>
      </w:r>
      <w:r w:rsidRPr="00284C8C">
        <w:t xml:space="preserve"> that this Declaratory Ruling </w:t>
      </w:r>
      <w:r w:rsidRPr="00284C8C">
        <w:rPr>
          <w:b/>
        </w:rPr>
        <w:t>SHALL BE EFECTIVE</w:t>
      </w:r>
      <w:r w:rsidRPr="00284C8C">
        <w:t xml:space="preserve"> upon release.</w:t>
      </w:r>
    </w:p>
    <w:p w:rsidR="000525DC" w:rsidRPr="00284C8C" w:rsidP="000525DC" w14:paraId="305ECC34" w14:textId="77777777">
      <w:pPr>
        <w:keepNext/>
        <w:widowControl/>
        <w:rPr>
          <w:rFonts w:ascii="Calibri" w:eastAsia="Calibri" w:hAnsi="Calibri"/>
          <w:snapToGrid/>
          <w:kern w:val="0"/>
          <w:szCs w:val="22"/>
        </w:rPr>
      </w:pPr>
    </w:p>
    <w:p w:rsidR="000525DC" w:rsidRPr="00284C8C" w:rsidP="000525DC" w14:paraId="3FCCA169" w14:textId="77777777">
      <w:pPr>
        <w:keepNext/>
        <w:widowControl/>
        <w:rPr>
          <w:rFonts w:ascii="Calibri" w:eastAsia="Calibri" w:hAnsi="Calibri"/>
          <w:snapToGrid/>
          <w:kern w:val="0"/>
          <w:szCs w:val="22"/>
        </w:rPr>
      </w:pPr>
    </w:p>
    <w:p w:rsidR="000525DC" w:rsidRPr="00284C8C" w:rsidP="000525DC" w14:paraId="28590DAA" w14:textId="77777777">
      <w:pPr>
        <w:keepNext/>
        <w:widowControl/>
        <w:rPr>
          <w:rFonts w:eastAsia="Calibri"/>
          <w:snapToGrid/>
          <w:kern w:val="0"/>
          <w:szCs w:val="22"/>
        </w:rPr>
      </w:pP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eastAsia="Calibri"/>
          <w:snapToGrid/>
          <w:kern w:val="0"/>
          <w:szCs w:val="22"/>
        </w:rPr>
        <w:t>FEDERAL COMMUNICATIONS COMMISSION</w:t>
      </w:r>
    </w:p>
    <w:p w:rsidR="000525DC" w:rsidRPr="00284C8C" w:rsidP="000525DC" w14:paraId="7B6E0866" w14:textId="77777777">
      <w:pPr>
        <w:keepNext/>
        <w:widowControl/>
        <w:rPr>
          <w:rFonts w:eastAsia="Calibri"/>
          <w:snapToGrid/>
          <w:kern w:val="0"/>
          <w:szCs w:val="22"/>
        </w:rPr>
      </w:pPr>
    </w:p>
    <w:p w:rsidR="000525DC" w:rsidRPr="00284C8C" w:rsidP="000525DC" w14:paraId="4745227F" w14:textId="77777777">
      <w:pPr>
        <w:keepNext/>
        <w:widowControl/>
        <w:rPr>
          <w:rFonts w:eastAsia="Calibri"/>
          <w:snapToGrid/>
          <w:kern w:val="0"/>
          <w:szCs w:val="22"/>
        </w:rPr>
      </w:pPr>
    </w:p>
    <w:p w:rsidR="000525DC" w:rsidRPr="00284C8C" w:rsidP="000525DC" w14:paraId="42493C47" w14:textId="77777777">
      <w:pPr>
        <w:keepNext/>
        <w:widowControl/>
        <w:rPr>
          <w:rFonts w:eastAsia="Calibri"/>
          <w:snapToGrid/>
          <w:kern w:val="0"/>
          <w:szCs w:val="22"/>
        </w:rPr>
      </w:pPr>
    </w:p>
    <w:p w:rsidR="000525DC" w:rsidRPr="00284C8C" w:rsidP="000525DC" w14:paraId="0E9A36FA" w14:textId="77777777">
      <w:pPr>
        <w:keepNext/>
        <w:widowControl/>
        <w:rPr>
          <w:rFonts w:eastAsia="Calibri"/>
          <w:snapToGrid/>
          <w:kern w:val="0"/>
          <w:szCs w:val="22"/>
        </w:rPr>
      </w:pPr>
    </w:p>
    <w:p w:rsidR="000525DC" w:rsidRPr="00284C8C" w:rsidP="000525DC" w14:paraId="4D3BDDBA" w14:textId="22215BF8">
      <w:pPr>
        <w:keepNext/>
        <w:widowControl/>
        <w:rPr>
          <w:rFonts w:eastAsia="Calibri"/>
          <w:snapToGrid/>
          <w:kern w:val="0"/>
          <w:szCs w:val="22"/>
        </w:rPr>
      </w:pP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00DD3788">
        <w:rPr>
          <w:rFonts w:eastAsia="Calibri"/>
          <w:snapToGrid/>
          <w:kern w:val="0"/>
          <w:szCs w:val="22"/>
        </w:rPr>
        <w:t>Barbara A. Kreisman</w:t>
      </w:r>
    </w:p>
    <w:p w:rsidR="000525DC" w:rsidRPr="00284C8C" w:rsidP="000525DC" w14:paraId="0CB5F84C" w14:textId="54979A93">
      <w:pPr>
        <w:keepNext/>
        <w:widowControl/>
        <w:rPr>
          <w:rFonts w:eastAsia="Calibri"/>
          <w:snapToGrid/>
          <w:kern w:val="0"/>
          <w:szCs w:val="22"/>
        </w:rPr>
      </w:pP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t xml:space="preserve">Chief, </w:t>
      </w:r>
      <w:r w:rsidR="00DD3788">
        <w:rPr>
          <w:rFonts w:eastAsia="Calibri"/>
          <w:snapToGrid/>
          <w:kern w:val="0"/>
          <w:szCs w:val="22"/>
        </w:rPr>
        <w:t>Video Division</w:t>
      </w:r>
      <w:r w:rsidRPr="00284C8C">
        <w:rPr>
          <w:rFonts w:eastAsia="Calibri"/>
          <w:snapToGrid/>
          <w:kern w:val="0"/>
          <w:szCs w:val="22"/>
        </w:rPr>
        <w:t xml:space="preserve"> </w:t>
      </w:r>
    </w:p>
    <w:p w:rsidR="000525DC" w:rsidRPr="000525DC" w:rsidP="00ED6DEC" w14:paraId="3C033947" w14:textId="77777777">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140B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178D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8982762" w14:textId="77777777">
    <w:pPr>
      <w:pStyle w:val="Footer"/>
      <w:jc w:val="center"/>
    </w:pPr>
    <w:r>
      <w:fldChar w:fldCharType="begin"/>
    </w:r>
    <w:r>
      <w:instrText xml:space="preserve"> PAGE   \* MERGEFORMAT </w:instrText>
    </w:r>
    <w:r>
      <w:fldChar w:fldCharType="separate"/>
    </w:r>
    <w:r w:rsidR="00B35226">
      <w:rPr>
        <w:noProof/>
      </w:rPr>
      <w:t>4</w:t>
    </w:r>
    <w:r>
      <w:rPr>
        <w:noProof/>
      </w:rPr>
      <w:fldChar w:fldCharType="end"/>
    </w:r>
  </w:p>
  <w:p w:rsidR="00D25FB5" w14:paraId="102BB0E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BA4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4C22" w14:paraId="7BD8322A" w14:textId="77777777">
      <w:r>
        <w:separator/>
      </w:r>
    </w:p>
  </w:footnote>
  <w:footnote w:type="continuationSeparator" w:id="1">
    <w:p w:rsidR="00FD4C22" w:rsidP="00C721AC" w14:paraId="7789EEFD" w14:textId="77777777">
      <w:pPr>
        <w:spacing w:before="120"/>
        <w:rPr>
          <w:sz w:val="20"/>
        </w:rPr>
      </w:pPr>
      <w:r>
        <w:rPr>
          <w:sz w:val="20"/>
        </w:rPr>
        <w:t xml:space="preserve">(Continued from previous page)  </w:t>
      </w:r>
      <w:r>
        <w:rPr>
          <w:sz w:val="20"/>
        </w:rPr>
        <w:separator/>
      </w:r>
    </w:p>
  </w:footnote>
  <w:footnote w:type="continuationNotice" w:id="2">
    <w:p w:rsidR="00FD4C22" w:rsidP="00C721AC" w14:paraId="4B963E25" w14:textId="77777777">
      <w:pPr>
        <w:jc w:val="right"/>
        <w:rPr>
          <w:sz w:val="20"/>
        </w:rPr>
      </w:pPr>
      <w:r>
        <w:rPr>
          <w:sz w:val="20"/>
        </w:rPr>
        <w:t>(continued….)</w:t>
      </w:r>
    </w:p>
  </w:footnote>
  <w:footnote w:id="3">
    <w:p w:rsidR="00481835" w:rsidRPr="00D147CD" w:rsidP="007714CD" w14:paraId="26055DB0" w14:textId="77777777">
      <w:pPr>
        <w:pStyle w:val="FootnoteText"/>
      </w:pPr>
      <w:r>
        <w:rPr>
          <w:rStyle w:val="FootnoteReference"/>
        </w:rPr>
        <w:footnoteRef/>
      </w:r>
      <w:r>
        <w:t xml:space="preserve"> </w:t>
      </w:r>
      <w:r w:rsidRPr="00D147CD">
        <w:t>47 CFR § 1.</w:t>
      </w:r>
      <w:r>
        <w:t xml:space="preserve">5000, </w:t>
      </w:r>
      <w:r>
        <w:rPr>
          <w:i/>
        </w:rPr>
        <w:t>et seq</w:t>
      </w:r>
      <w:r w:rsidRPr="00D147CD">
        <w:t>.</w:t>
      </w:r>
      <w:r w:rsidR="00AB0286">
        <w:t xml:space="preserve"> </w:t>
      </w:r>
      <w:r w:rsidR="00AB0286">
        <w:rPr>
          <w:i/>
        </w:rPr>
        <w:t xml:space="preserve">See </w:t>
      </w:r>
      <w:r w:rsidRPr="00602506" w:rsidR="00AB0286">
        <w:rPr>
          <w:i/>
          <w:szCs w:val="18"/>
        </w:rPr>
        <w:t xml:space="preserve">Media Bureau Announces Filing of Petition for Declaratory Ruling by Univision Holdings, Inc., and Permit-But-Disclose Ex </w:t>
      </w:r>
      <w:r w:rsidRPr="00602506" w:rsidR="00AB0286">
        <w:rPr>
          <w:i/>
          <w:szCs w:val="18"/>
        </w:rPr>
        <w:t>Parte</w:t>
      </w:r>
      <w:r w:rsidRPr="00602506" w:rsidR="00AB0286">
        <w:rPr>
          <w:i/>
          <w:szCs w:val="18"/>
        </w:rPr>
        <w:t xml:space="preserve"> Status for the Proceeding</w:t>
      </w:r>
      <w:r w:rsidR="00AB0286">
        <w:rPr>
          <w:szCs w:val="18"/>
        </w:rPr>
        <w:t>, Public Notice, MB Docket 19-132, DA 19-136 (MB May 7, 2019)(</w:t>
      </w:r>
      <w:r w:rsidR="00AB0286">
        <w:rPr>
          <w:i/>
          <w:szCs w:val="18"/>
        </w:rPr>
        <w:t>May 2019 PN</w:t>
      </w:r>
      <w:r w:rsidR="00AB0286">
        <w:rPr>
          <w:szCs w:val="18"/>
        </w:rPr>
        <w:t>)</w:t>
      </w:r>
      <w:r w:rsidR="00D54FC7">
        <w:rPr>
          <w:szCs w:val="18"/>
        </w:rPr>
        <w:t xml:space="preserve">.  </w:t>
      </w:r>
    </w:p>
  </w:footnote>
  <w:footnote w:id="4">
    <w:p w:rsidR="00481835" w:rsidRPr="008674DD" w:rsidP="007714CD" w14:paraId="36E7FCC8" w14:textId="77777777">
      <w:pPr>
        <w:pStyle w:val="FootnoteText"/>
      </w:pPr>
      <w:r>
        <w:rPr>
          <w:rStyle w:val="FootnoteReference"/>
        </w:rPr>
        <w:footnoteRef/>
      </w:r>
      <w:r>
        <w:t xml:space="preserve"> </w:t>
      </w:r>
      <w:r w:rsidRPr="008674DD">
        <w:t>Section 310(b)(4) of the Communications Act states:</w:t>
      </w:r>
    </w:p>
    <w:p w:rsidR="00481835" w:rsidRPr="008674DD" w:rsidP="007714CD" w14:paraId="7CD9684F" w14:textId="77777777">
      <w:pPr>
        <w:pStyle w:val="FootnoteText"/>
        <w:ind w:left="540" w:right="720"/>
      </w:pPr>
      <w:r w:rsidRPr="008674DD">
        <w:t xml:space="preserve">No broadcast or common carrier or aeronautical </w:t>
      </w:r>
      <w:r w:rsidRPr="008674DD">
        <w:t>en</w:t>
      </w:r>
      <w:r w:rsidRPr="008674DD">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w:t>
      </w:r>
    </w:p>
    <w:p w:rsidR="00481835" w:rsidP="007714CD" w14:paraId="3B838EDE" w14:textId="77777777">
      <w:pPr>
        <w:pStyle w:val="FootnoteText"/>
      </w:pPr>
      <w:r w:rsidRPr="008674DD">
        <w:t>47 U.S.C. § 310(b)(4).</w:t>
      </w:r>
    </w:p>
  </w:footnote>
  <w:footnote w:id="5">
    <w:p w:rsidR="00602506" w:rsidRPr="00C64FAF" w:rsidP="007714CD" w14:paraId="410CB157" w14:textId="77777777">
      <w:pPr>
        <w:pStyle w:val="FootnoteText"/>
      </w:pPr>
      <w:r w:rsidRPr="00D147CD">
        <w:rPr>
          <w:rStyle w:val="FootnoteReference"/>
        </w:rPr>
        <w:footnoteRef/>
      </w:r>
      <w:r w:rsidRPr="00D147CD">
        <w:t xml:space="preserve"> </w:t>
      </w:r>
      <w:r w:rsidRPr="00D147CD">
        <w:rPr>
          <w:i/>
        </w:rPr>
        <w:t xml:space="preserve">Univision Holdings, Inc. and Grupo Televisa, S.A.B., </w:t>
      </w:r>
      <w:r w:rsidRPr="00D147CD">
        <w:t xml:space="preserve">MB Docket No. 16-217, </w:t>
      </w:r>
      <w:r w:rsidR="00E25C8F">
        <w:t xml:space="preserve">Declaratory Ruling, </w:t>
      </w:r>
      <w:r w:rsidRPr="00D147CD">
        <w:t xml:space="preserve">32 FCC </w:t>
      </w:r>
      <w:r w:rsidRPr="00D147CD">
        <w:t>Rcd</w:t>
      </w:r>
      <w:r w:rsidRPr="00D147CD">
        <w:t xml:space="preserve"> 6 (2017) (</w:t>
      </w:r>
      <w:r w:rsidRPr="00D147CD">
        <w:rPr>
          <w:i/>
        </w:rPr>
        <w:t>2017 Declaratory Ruling</w:t>
      </w:r>
      <w:r w:rsidRPr="00D147CD">
        <w:t>).</w:t>
      </w:r>
      <w:r w:rsidR="00D54FC7">
        <w:t xml:space="preserve">  </w:t>
      </w:r>
    </w:p>
  </w:footnote>
  <w:footnote w:id="6">
    <w:p w:rsidR="00602506" w:rsidRPr="00546957" w:rsidP="000436C7" w14:paraId="1EFC3684" w14:textId="77777777">
      <w:pPr>
        <w:pStyle w:val="FootnoteText"/>
      </w:pPr>
      <w:r w:rsidRPr="00D147CD">
        <w:rPr>
          <w:rStyle w:val="FootnoteReference"/>
        </w:rPr>
        <w:footnoteRef/>
      </w:r>
      <w:r w:rsidRPr="00D147CD">
        <w:t xml:space="preserve"> </w:t>
      </w:r>
      <w:bookmarkStart w:id="1" w:name="_Hlk1037059"/>
      <w:r w:rsidR="00AB0286">
        <w:t xml:space="preserve">Petition at 1.  </w:t>
      </w:r>
      <w:bookmarkEnd w:id="1"/>
      <w:r w:rsidR="00546957">
        <w:t xml:space="preserve">The </w:t>
      </w:r>
      <w:r w:rsidR="00546957">
        <w:rPr>
          <w:i/>
        </w:rPr>
        <w:t xml:space="preserve">2017 Declaratory Ruling </w:t>
      </w:r>
      <w:r w:rsidR="00546957">
        <w:t xml:space="preserve">was adopted prior to the effective date of </w:t>
      </w:r>
      <w:r w:rsidR="00392617">
        <w:t xml:space="preserve">the Commission’s decision in </w:t>
      </w:r>
      <w:r w:rsidRPr="0052548A" w:rsidR="00392617">
        <w:rPr>
          <w:i/>
        </w:rPr>
        <w:t>Review of Foreign Ownership Policies for Broadcast, Common Carrier and Aeronautical Radio Licensees under Section 310(b)(4) of the Communications Act of 1934, as Amended</w:t>
      </w:r>
      <w:r w:rsidRPr="0052548A" w:rsidR="00392617">
        <w:t xml:space="preserve">, GN Docket 15-236, Report and Order, 31 FCC </w:t>
      </w:r>
      <w:r w:rsidRPr="0052548A" w:rsidR="00392617">
        <w:t>Rcd</w:t>
      </w:r>
      <w:r w:rsidRPr="0052548A" w:rsidR="00392617">
        <w:t xml:space="preserve"> 11272 (2016) (</w:t>
      </w:r>
      <w:r w:rsidRPr="0052548A" w:rsidR="00392617">
        <w:rPr>
          <w:i/>
        </w:rPr>
        <w:t>2016 Foreign Ownership Order</w:t>
      </w:r>
      <w:r w:rsidRPr="0052548A" w:rsidR="00392617">
        <w:t>)</w:t>
      </w:r>
      <w:r w:rsidR="00832F49">
        <w:t xml:space="preserve">, </w:t>
      </w:r>
      <w:r w:rsidRPr="00231C17" w:rsidR="00832F49">
        <w:rPr>
          <w:i/>
        </w:rPr>
        <w:t>pet. for recon. dismissed</w:t>
      </w:r>
      <w:r w:rsidR="00832F49">
        <w:t xml:space="preserve">, 32 FCC </w:t>
      </w:r>
      <w:r w:rsidR="00832F49">
        <w:t>Rcd</w:t>
      </w:r>
      <w:r w:rsidR="00832F49">
        <w:t xml:space="preserve"> 4780 (2017)</w:t>
      </w:r>
      <w:r w:rsidR="00392617">
        <w:t xml:space="preserve">.  Therefore, as explained more fully below, it is governed by the Commission’s ruling in </w:t>
      </w:r>
      <w:r w:rsidRPr="00EF0AC2" w:rsidR="00392617">
        <w:rPr>
          <w:i/>
        </w:rPr>
        <w:t>Commission Policies and Procedures Under Section 310(b)(4) of the Communications Act, Foreign Investment in Broadcast Licensees</w:t>
      </w:r>
      <w:r w:rsidRPr="00EF0AC2" w:rsidR="00392617">
        <w:t xml:space="preserve">, MB Docket No. 13-50, Declaratory Ruling, 28 FCC </w:t>
      </w:r>
      <w:r w:rsidRPr="00EF0AC2" w:rsidR="00392617">
        <w:t>Rcd</w:t>
      </w:r>
      <w:r w:rsidRPr="00EF0AC2" w:rsidR="00392617">
        <w:t xml:space="preserve"> 16244 (2013) (</w:t>
      </w:r>
      <w:r w:rsidRPr="00EF0AC2" w:rsidR="00392617">
        <w:rPr>
          <w:i/>
        </w:rPr>
        <w:t>2013 Broadcast</w:t>
      </w:r>
      <w:r w:rsidRPr="00EF0AC2" w:rsidR="00392617">
        <w:t xml:space="preserve"> </w:t>
      </w:r>
      <w:r w:rsidRPr="00EF0AC2" w:rsidR="00392617">
        <w:rPr>
          <w:i/>
        </w:rPr>
        <w:t>Clarification Order</w:t>
      </w:r>
      <w:r w:rsidRPr="00EF0AC2" w:rsidR="00392617">
        <w:t>).</w:t>
      </w:r>
    </w:p>
  </w:footnote>
  <w:footnote w:id="7">
    <w:p w:rsidR="00D57D89" w:rsidRPr="008054D5" w:rsidP="007714CD" w14:paraId="4CC42C9C" w14:textId="77777777">
      <w:pPr>
        <w:pStyle w:val="FootnoteText"/>
      </w:pPr>
      <w:r w:rsidRPr="008054D5">
        <w:rPr>
          <w:rStyle w:val="FootnoteReference"/>
        </w:rPr>
        <w:footnoteRef/>
      </w:r>
      <w:r w:rsidRPr="008054D5">
        <w:t xml:space="preserve"> </w:t>
      </w:r>
      <w:bookmarkStart w:id="2" w:name="_Hlk25224439"/>
      <w:r w:rsidR="00DE249B">
        <w:rPr>
          <w:i/>
        </w:rPr>
        <w:t xml:space="preserve">2017 Declaratory Ruling, </w:t>
      </w:r>
      <w:r w:rsidR="00684498">
        <w:t>32</w:t>
      </w:r>
      <w:r w:rsidR="00DE249B">
        <w:t xml:space="preserve"> FCC </w:t>
      </w:r>
      <w:r w:rsidR="00DE249B">
        <w:t>Rcd</w:t>
      </w:r>
      <w:r w:rsidR="00DE249B">
        <w:t xml:space="preserve"> at 13, para. 20</w:t>
      </w:r>
      <w:bookmarkEnd w:id="2"/>
      <w:r w:rsidR="00DE249B">
        <w:t>;</w:t>
      </w:r>
      <w:r>
        <w:t xml:space="preserve"> </w:t>
      </w:r>
      <w:r>
        <w:rPr>
          <w:i/>
        </w:rPr>
        <w:t xml:space="preserve">see also </w:t>
      </w:r>
      <w:r w:rsidRPr="008674DD">
        <w:t>47 U.S.C. § 310(b)(4)</w:t>
      </w:r>
      <w:r w:rsidRPr="008054D5">
        <w:t>.</w:t>
      </w:r>
    </w:p>
  </w:footnote>
  <w:footnote w:id="8">
    <w:p w:rsidR="00A95A8D" w:rsidRPr="00DE249B" w14:paraId="1CF04187" w14:textId="77777777">
      <w:pPr>
        <w:pStyle w:val="FootnoteText"/>
      </w:pPr>
      <w:r>
        <w:rPr>
          <w:rStyle w:val="FootnoteReference"/>
        </w:rPr>
        <w:footnoteRef/>
      </w:r>
      <w:r>
        <w:t xml:space="preserve"> </w:t>
      </w:r>
      <w:r w:rsidR="00DE249B">
        <w:rPr>
          <w:i/>
        </w:rPr>
        <w:t xml:space="preserve">2017 Declaratory Ruling, </w:t>
      </w:r>
      <w:r w:rsidR="00684498">
        <w:t>32</w:t>
      </w:r>
      <w:r w:rsidR="00DE249B">
        <w:t xml:space="preserve"> FCC </w:t>
      </w:r>
      <w:r w:rsidR="00DE249B">
        <w:t>Rcd</w:t>
      </w:r>
      <w:r w:rsidR="00DE249B">
        <w:t xml:space="preserve"> at 13, para. 21.</w:t>
      </w:r>
    </w:p>
  </w:footnote>
  <w:footnote w:id="9">
    <w:p w:rsidR="001B0A6E" w:rsidRPr="00DE249B" w14:paraId="480E9E40" w14:textId="77777777">
      <w:pPr>
        <w:pStyle w:val="FootnoteText"/>
      </w:pPr>
      <w:r>
        <w:rPr>
          <w:rStyle w:val="FootnoteReference"/>
        </w:rPr>
        <w:footnoteRef/>
      </w:r>
      <w:r>
        <w:t xml:space="preserve"> </w:t>
      </w:r>
      <w:r w:rsidR="00DE249B">
        <w:rPr>
          <w:i/>
        </w:rPr>
        <w:t xml:space="preserve">Id. </w:t>
      </w:r>
      <w:r w:rsidR="00DE249B">
        <w:t>at 7-8, para. 5.</w:t>
      </w:r>
    </w:p>
  </w:footnote>
  <w:footnote w:id="10">
    <w:p w:rsidR="00496381" w:rsidRPr="00496381" w14:paraId="73D9DEA7" w14:textId="77777777">
      <w:pPr>
        <w:pStyle w:val="FootnoteText"/>
      </w:pPr>
      <w:r>
        <w:rPr>
          <w:rStyle w:val="FootnoteReference"/>
        </w:rPr>
        <w:footnoteRef/>
      </w:r>
      <w:r>
        <w:t xml:space="preserve"> </w:t>
      </w:r>
      <w:r>
        <w:rPr>
          <w:i/>
        </w:rPr>
        <w:t>Id.</w:t>
      </w:r>
      <w:r>
        <w:t xml:space="preserve"> at 8, para. 8. </w:t>
      </w:r>
    </w:p>
  </w:footnote>
  <w:footnote w:id="11">
    <w:p w:rsidR="001B0A6E" w14:paraId="083FB1F8" w14:textId="77777777">
      <w:pPr>
        <w:pStyle w:val="FootnoteText"/>
      </w:pPr>
      <w:r>
        <w:rPr>
          <w:rStyle w:val="FootnoteReference"/>
        </w:rPr>
        <w:footnoteRef/>
      </w:r>
      <w:r>
        <w:t xml:space="preserve"> </w:t>
      </w:r>
      <w:r w:rsidR="00496381">
        <w:t>Petition at 4</w:t>
      </w:r>
      <w:r w:rsidR="00BF14B0">
        <w:t>, Exhibit B</w:t>
      </w:r>
      <w:r w:rsidR="00496381">
        <w:t>.</w:t>
      </w:r>
    </w:p>
  </w:footnote>
  <w:footnote w:id="12">
    <w:p w:rsidR="001B0A6E" w:rsidRPr="00BF14B0" w14:paraId="0E9B2FF8" w14:textId="77777777">
      <w:pPr>
        <w:pStyle w:val="FootnoteText"/>
      </w:pPr>
      <w:r>
        <w:rPr>
          <w:rStyle w:val="FootnoteReference"/>
        </w:rPr>
        <w:footnoteRef/>
      </w:r>
      <w:r>
        <w:t xml:space="preserve"> </w:t>
      </w:r>
      <w:r w:rsidR="00BF14B0">
        <w:rPr>
          <w:i/>
        </w:rPr>
        <w:t xml:space="preserve">Id. </w:t>
      </w:r>
      <w:r w:rsidR="00BF14B0">
        <w:t>at 1, 3.</w:t>
      </w:r>
    </w:p>
  </w:footnote>
  <w:footnote w:id="13">
    <w:p w:rsidR="008F733D" w:rsidRPr="00947533" w14:paraId="728BEB66" w14:textId="77777777">
      <w:pPr>
        <w:pStyle w:val="FootnoteText"/>
      </w:pPr>
      <w:r>
        <w:rPr>
          <w:rStyle w:val="FootnoteReference"/>
        </w:rPr>
        <w:footnoteRef/>
      </w:r>
      <w:r>
        <w:t xml:space="preserve"> </w:t>
      </w:r>
      <w:r w:rsidR="00947533">
        <w:rPr>
          <w:i/>
        </w:rPr>
        <w:t xml:space="preserve">Id. </w:t>
      </w:r>
      <w:r w:rsidR="00947533">
        <w:t>at 3-4.</w:t>
      </w:r>
    </w:p>
  </w:footnote>
  <w:footnote w:id="14">
    <w:p w:rsidR="00CC3FB8" w:rsidRPr="00CC3FB8" w:rsidP="000436C7" w14:paraId="7CD28BA2" w14:textId="33B58792">
      <w:pPr>
        <w:pStyle w:val="FootnoteText"/>
      </w:pPr>
      <w:r>
        <w:rPr>
          <w:rStyle w:val="FootnoteReference"/>
        </w:rPr>
        <w:footnoteRef/>
      </w:r>
      <w:r>
        <w:t xml:space="preserve"> </w:t>
      </w:r>
      <w:r>
        <w:rPr>
          <w:i/>
        </w:rPr>
        <w:t xml:space="preserve">Id. </w:t>
      </w:r>
      <w:r>
        <w:t>at 4.</w:t>
      </w:r>
      <w:r w:rsidR="004D359E">
        <w:t xml:space="preserve">  </w:t>
      </w:r>
      <w:r w:rsidR="004D359E">
        <w:rPr>
          <w:szCs w:val="18"/>
        </w:rPr>
        <w:t xml:space="preserve">Univision is not seeking specific approval in connection with this Petition for any new foreign investor to hold a greater than 5% voting or equity interest in it.  Petition at 6.  </w:t>
      </w:r>
      <w:r w:rsidR="004D359E">
        <w:t>Under section 1.5001(</w:t>
      </w:r>
      <w:r w:rsidR="004D359E">
        <w:t>i</w:t>
      </w:r>
      <w:r w:rsidR="004D359E">
        <w:t>)(1) of the Commission’s Rules petitioners for a declaratory ruling are required to identify and seek specific approval for any foreign individual, entity, or group that holds or would hold, directly and/or indirectly, more than 5% of equity and/or voting interests, or a controlling interest, in the petitioner’s controlling U.S. parent, subject to certain exemptions including an exemption that increases the specific approval threshold to 10% for certain institutional investors.  47 CFR § 1.5001(</w:t>
      </w:r>
      <w:r w:rsidR="004D359E">
        <w:t>i</w:t>
      </w:r>
      <w:r w:rsidR="004D359E">
        <w:t>)(3).  In broadcast foreign ownership declaratory rulings decided prior to the effective date of the Commission’s decision in</w:t>
      </w:r>
      <w:r w:rsidR="00832F49">
        <w:t xml:space="preserve"> </w:t>
      </w:r>
      <w:r w:rsidRPr="00231C17" w:rsidR="00832F49">
        <w:rPr>
          <w:i/>
        </w:rPr>
        <w:t>the 2016 Foreign Participation Order</w:t>
      </w:r>
      <w:r w:rsidR="004D359E">
        <w:t xml:space="preserve">, such as the </w:t>
      </w:r>
      <w:r w:rsidR="004D359E">
        <w:rPr>
          <w:i/>
        </w:rPr>
        <w:t>2017 Declaratory Ruling,</w:t>
      </w:r>
      <w:r w:rsidR="004D359E">
        <w:t xml:space="preserve"> parties followed the same process for identifying individuals and entities seeking specific approval.  </w:t>
      </w:r>
      <w:r w:rsidR="004D359E">
        <w:rPr>
          <w:i/>
        </w:rPr>
        <w:t>See</w:t>
      </w:r>
      <w:r w:rsidR="004D359E">
        <w:t xml:space="preserve">, </w:t>
      </w:r>
      <w:r w:rsidR="004D359E">
        <w:rPr>
          <w:i/>
        </w:rPr>
        <w:t xml:space="preserve">e.g., 2017 Declaratory Ruling, </w:t>
      </w:r>
      <w:r w:rsidR="004D359E">
        <w:t xml:space="preserve">23 FCC </w:t>
      </w:r>
      <w:r w:rsidR="004D359E">
        <w:t>Rcd</w:t>
      </w:r>
      <w:r w:rsidR="004D359E">
        <w:t xml:space="preserve"> at 12, para. 21; </w:t>
      </w:r>
      <w:r w:rsidR="004D359E">
        <w:rPr>
          <w:i/>
        </w:rPr>
        <w:t xml:space="preserve">Pandora Radio, LLC, </w:t>
      </w:r>
      <w:r w:rsidR="004D359E">
        <w:t xml:space="preserve">MB Docket No. 14-109, Declaratory Ruling, 30 FCC </w:t>
      </w:r>
      <w:r w:rsidR="004D359E">
        <w:t>Rcd</w:t>
      </w:r>
      <w:r w:rsidR="004D359E">
        <w:t xml:space="preserve"> 5094, 5101, para. 19 (2015).</w:t>
      </w:r>
    </w:p>
  </w:footnote>
  <w:footnote w:id="15">
    <w:p w:rsidR="00DD3788" w14:paraId="16E73EC9" w14:textId="3DAFE806">
      <w:pPr>
        <w:pStyle w:val="FootnoteText"/>
      </w:pPr>
      <w:r>
        <w:rPr>
          <w:rStyle w:val="FootnoteReference"/>
        </w:rPr>
        <w:footnoteRef/>
      </w:r>
      <w:r>
        <w:t xml:space="preserve"> The Department of Justice declined to express an interest in this case.</w:t>
      </w:r>
    </w:p>
  </w:footnote>
  <w:footnote w:id="16">
    <w:p w:rsidR="00752E02" w:rsidP="007714CD" w14:paraId="3443AF20" w14:textId="77777777">
      <w:pPr>
        <w:pStyle w:val="FootnoteText"/>
      </w:pPr>
      <w:r>
        <w:rPr>
          <w:rStyle w:val="FootnoteReference"/>
        </w:rPr>
        <w:footnoteRef/>
      </w:r>
      <w:r>
        <w:t xml:space="preserve"> 47 U.S.C. § 310(b).</w:t>
      </w:r>
    </w:p>
  </w:footnote>
  <w:footnote w:id="17">
    <w:p w:rsidR="00752E02" w:rsidRPr="00105E96" w14:paraId="23A24069" w14:textId="77777777">
      <w:pPr>
        <w:pStyle w:val="FootnoteText"/>
      </w:pPr>
      <w:r>
        <w:rPr>
          <w:rStyle w:val="FootnoteReference"/>
        </w:rPr>
        <w:footnoteRef/>
      </w:r>
      <w:r>
        <w:t xml:space="preserve"> 47 U.S.C. § 310(b)(4).</w:t>
      </w:r>
    </w:p>
  </w:footnote>
  <w:footnote w:id="18">
    <w:p w:rsidR="00FA7D83" w14:paraId="228DB132" w14:textId="77777777">
      <w:pPr>
        <w:pStyle w:val="FootnoteText"/>
      </w:pPr>
      <w:r>
        <w:rPr>
          <w:rStyle w:val="FootnoteReference"/>
        </w:rPr>
        <w:footnoteRef/>
      </w:r>
      <w:r w:rsidR="00392617">
        <w:t xml:space="preserve"> </w:t>
      </w:r>
      <w:bookmarkStart w:id="4" w:name="_Hlk25573615"/>
      <w:r w:rsidRPr="00EF0AC2" w:rsidR="00392617">
        <w:rPr>
          <w:i/>
        </w:rPr>
        <w:t>2013 Broadcast</w:t>
      </w:r>
      <w:r w:rsidRPr="00EF0AC2" w:rsidR="00392617">
        <w:t xml:space="preserve"> </w:t>
      </w:r>
      <w:r w:rsidRPr="00EF0AC2" w:rsidR="00392617">
        <w:rPr>
          <w:i/>
        </w:rPr>
        <w:t>Clarification Order</w:t>
      </w:r>
      <w:bookmarkEnd w:id="4"/>
      <w:r w:rsidR="00392617">
        <w:t>,</w:t>
      </w:r>
      <w:r w:rsidRPr="00EF0AC2" w:rsidR="00392617">
        <w:t xml:space="preserve"> </w:t>
      </w:r>
      <w:bookmarkStart w:id="5" w:name="_Hlk25582039"/>
      <w:r w:rsidRPr="00EF0AC2">
        <w:t xml:space="preserve">28 FCC </w:t>
      </w:r>
      <w:r w:rsidRPr="00EF0AC2">
        <w:t>Rcd</w:t>
      </w:r>
      <w:r w:rsidRPr="00EF0AC2">
        <w:t xml:space="preserve"> </w:t>
      </w:r>
      <w:bookmarkEnd w:id="5"/>
      <w:r w:rsidRPr="00EF0AC2">
        <w:t>16244 (2013).</w:t>
      </w:r>
    </w:p>
  </w:footnote>
  <w:footnote w:id="19">
    <w:p w:rsidR="00752E02" w:rsidRPr="00EF0AC2" w14:paraId="30D395B8" w14:textId="4E63821B">
      <w:pPr>
        <w:pStyle w:val="FootnoteText"/>
      </w:pPr>
      <w:r w:rsidRPr="00EF0AC2">
        <w:rPr>
          <w:rStyle w:val="FootnoteReference"/>
        </w:rPr>
        <w:footnoteRef/>
      </w:r>
      <w:r>
        <w:t xml:space="preserve"> The Commission stated that it</w:t>
      </w:r>
      <w:r w:rsidRPr="00EF0AC2">
        <w:t xml:space="preserve"> would not entertain petitions to exceed the foreign ownership limits of Section 310(b)(3) for foreign investment in broadcast licensees.  </w:t>
      </w:r>
      <w:r w:rsidRPr="00EF0AC2">
        <w:rPr>
          <w:i/>
        </w:rPr>
        <w:t>2013 Broadcast Clarification Order</w:t>
      </w:r>
      <w:r w:rsidRPr="00EF0AC2">
        <w:t xml:space="preserve">, 28 FCC </w:t>
      </w:r>
      <w:r w:rsidRPr="00EF0AC2">
        <w:t>Rcd</w:t>
      </w:r>
      <w:r w:rsidRPr="00EF0AC2">
        <w:t xml:space="preserve"> at 5752, para. 15</w:t>
      </w:r>
      <w:r>
        <w:t>,</w:t>
      </w:r>
      <w:r w:rsidRPr="00EF0AC2">
        <w:t xml:space="preserve"> n.49.  Unlike </w:t>
      </w:r>
      <w:r w:rsidR="00233F1E">
        <w:t>s</w:t>
      </w:r>
      <w:r w:rsidRPr="00EF0AC2">
        <w:t xml:space="preserve">ection 310(b)(4), </w:t>
      </w:r>
      <w:r w:rsidR="00233F1E">
        <w:t>s</w:t>
      </w:r>
      <w:r w:rsidRPr="00EF0AC2">
        <w:t xml:space="preserve">ection 310(b)(3) does not afford the Commission discretion to approve foreign investment in broadcast licensees in excess of the limitations contained therein.      </w:t>
      </w:r>
    </w:p>
  </w:footnote>
  <w:footnote w:id="20">
    <w:p w:rsidR="00752E02" w:rsidRPr="00EF0AC2" w14:paraId="4023836B" w14:textId="77777777">
      <w:pPr>
        <w:pStyle w:val="FootnoteText"/>
      </w:pPr>
      <w:r w:rsidRPr="00EF0AC2">
        <w:rPr>
          <w:rStyle w:val="FootnoteReference"/>
        </w:rPr>
        <w:footnoteRef/>
      </w:r>
      <w:r w:rsidRPr="00EF0AC2">
        <w:t xml:space="preserve"> </w:t>
      </w:r>
      <w:r w:rsidRPr="00EF0AC2">
        <w:rPr>
          <w:i/>
        </w:rPr>
        <w:t>2013 Broadcast Clarification Order</w:t>
      </w:r>
      <w:r w:rsidRPr="00EF0AC2">
        <w:t xml:space="preserve">, 28 FCC </w:t>
      </w:r>
      <w:r w:rsidRPr="00EF0AC2">
        <w:t>Rcd</w:t>
      </w:r>
      <w:r w:rsidRPr="00EF0AC2">
        <w:t xml:space="preserve"> at 16249-50, para. 11.</w:t>
      </w:r>
    </w:p>
  </w:footnote>
  <w:footnote w:id="21">
    <w:p w:rsidR="00752E02" w:rsidRPr="00EF0AC2" w14:paraId="2D7575F7" w14:textId="77777777">
      <w:pPr>
        <w:pStyle w:val="FootnoteText"/>
      </w:pPr>
      <w:r w:rsidRPr="00EF0AC2">
        <w:rPr>
          <w:rStyle w:val="FootnoteReference"/>
        </w:rPr>
        <w:footnoteRef/>
      </w:r>
      <w:r w:rsidRPr="00EF0AC2">
        <w:t xml:space="preserve"> </w:t>
      </w:r>
      <w:r w:rsidRPr="00EF0AC2">
        <w:rPr>
          <w:i/>
        </w:rPr>
        <w:t>Id.</w:t>
      </w:r>
      <w:r w:rsidRPr="00EF0AC2">
        <w:t xml:space="preserve"> at 16249, para. 10.</w:t>
      </w:r>
    </w:p>
  </w:footnote>
  <w:footnote w:id="22">
    <w:p w:rsidR="000F78F1" w:rsidRPr="006A35BE" w14:paraId="0E3B5342" w14:textId="77777777">
      <w:pPr>
        <w:pStyle w:val="FootnoteText"/>
      </w:pPr>
      <w:r>
        <w:rPr>
          <w:rStyle w:val="FootnoteReference"/>
        </w:rPr>
        <w:footnoteRef/>
      </w:r>
      <w:r>
        <w:t xml:space="preserve"> </w:t>
      </w:r>
      <w:r>
        <w:rPr>
          <w:i/>
        </w:rPr>
        <w:t xml:space="preserve">See, e.g. </w:t>
      </w:r>
      <w:bookmarkStart w:id="6" w:name="_Hlk25581957"/>
      <w:r>
        <w:rPr>
          <w:i/>
        </w:rPr>
        <w:t>2017 Declaratory Ruling</w:t>
      </w:r>
      <w:r w:rsidR="00684498">
        <w:t xml:space="preserve">, 32 FCC </w:t>
      </w:r>
      <w:r w:rsidR="00684498">
        <w:t>Rcd</w:t>
      </w:r>
      <w:r w:rsidR="00684498">
        <w:t xml:space="preserve"> at 13, para. 20</w:t>
      </w:r>
      <w:bookmarkEnd w:id="6"/>
      <w:r>
        <w:t xml:space="preserve">; </w:t>
      </w:r>
      <w:r>
        <w:rPr>
          <w:i/>
        </w:rPr>
        <w:t xml:space="preserve">Hemisphere </w:t>
      </w:r>
      <w:r w:rsidR="006A35BE">
        <w:rPr>
          <w:i/>
        </w:rPr>
        <w:t>Media Group, Inc.</w:t>
      </w:r>
      <w:r w:rsidR="006A35BE">
        <w:t xml:space="preserve">, </w:t>
      </w:r>
      <w:r w:rsidR="00684498">
        <w:t xml:space="preserve">MB Docket 32 FCC </w:t>
      </w:r>
      <w:r w:rsidR="00684498">
        <w:t>Rcd</w:t>
      </w:r>
      <w:r w:rsidR="00684498">
        <w:t xml:space="preserve"> 718, 725, para. 21, Declaratory Ruling (MB 2017). </w:t>
      </w:r>
      <w:r w:rsidR="00EC32A5">
        <w:t xml:space="preserve"> In contrast, in declaratory rulings granted under the </w:t>
      </w:r>
      <w:r w:rsidR="00EC32A5">
        <w:rPr>
          <w:i/>
        </w:rPr>
        <w:t xml:space="preserve">2016 Foreign Ownership Order, </w:t>
      </w:r>
      <w:r w:rsidR="00EC32A5">
        <w:t xml:space="preserve">parties normally are granted permission for aggregate foreign ownership to increase up to and including 100% on both the equity and voting side.  </w:t>
      </w:r>
      <w:r w:rsidR="00EC32A5">
        <w:rPr>
          <w:i/>
        </w:rPr>
        <w:t>See, e.g., Terrier Media, Inc.¸</w:t>
      </w:r>
      <w:r w:rsidR="00EC32A5">
        <w:t xml:space="preserve"> MB Docket No. 19-196, DA 19-1205, Declaratory Ruling, para. 19 (MB 2019).  Specific ownership limits must be specified for any parties seeking specific approval and </w:t>
      </w:r>
      <w:r w:rsidR="005E7097">
        <w:t>parties must</w:t>
      </w:r>
      <w:r w:rsidR="00EC32A5">
        <w:t xml:space="preserve"> seek further approval from the Commission before those limits can be exceeded.  47 CFR §</w:t>
      </w:r>
      <w:r w:rsidR="005E7097">
        <w:t xml:space="preserve"> 1.5001(</w:t>
      </w:r>
      <w:r w:rsidR="005E7097">
        <w:t>i</w:t>
      </w:r>
      <w:r w:rsidR="005E7097">
        <w:t>),</w:t>
      </w:r>
      <w:r w:rsidR="00EC32A5">
        <w:t xml:space="preserve"> 1.5004(e)</w:t>
      </w:r>
      <w:r w:rsidR="00832F49">
        <w:t xml:space="preserve">, </w:t>
      </w:r>
      <w:r w:rsidR="00EC32A5">
        <w:t>(f).</w:t>
      </w:r>
    </w:p>
  </w:footnote>
  <w:footnote w:id="23">
    <w:p w:rsidR="00C67DA2" w:rsidRPr="00715EE3" w14:paraId="14F5CC3E" w14:textId="77777777">
      <w:pPr>
        <w:pStyle w:val="FootnoteText"/>
      </w:pPr>
      <w:r>
        <w:rPr>
          <w:rStyle w:val="FootnoteReference"/>
        </w:rPr>
        <w:footnoteRef/>
      </w:r>
      <w:r>
        <w:t xml:space="preserve"> </w:t>
      </w:r>
      <w:r>
        <w:rPr>
          <w:i/>
        </w:rPr>
        <w:t xml:space="preserve">2016 Foreign Ownership Order, </w:t>
      </w:r>
      <w:r>
        <w:t xml:space="preserve">31 FCC </w:t>
      </w:r>
      <w:r>
        <w:t>Rcd</w:t>
      </w:r>
      <w:r>
        <w:rPr>
          <w:i/>
        </w:rPr>
        <w:t xml:space="preserve"> </w:t>
      </w:r>
      <w:r>
        <w:t>at 11317-11318, para</w:t>
      </w:r>
      <w:r w:rsidR="00684498">
        <w:t xml:space="preserve"> </w:t>
      </w:r>
      <w:r w:rsidR="005B25D8">
        <w:t>104</w:t>
      </w:r>
      <w:r>
        <w:t xml:space="preserve">. </w:t>
      </w:r>
    </w:p>
  </w:footnote>
  <w:footnote w:id="24">
    <w:p w:rsidR="00C67DA2" w:rsidRPr="00715EE3" w14:paraId="34A92204" w14:textId="77777777">
      <w:pPr>
        <w:pStyle w:val="FootnoteText"/>
      </w:pPr>
      <w:r>
        <w:rPr>
          <w:rStyle w:val="FootnoteReference"/>
        </w:rPr>
        <w:footnoteRef/>
      </w:r>
      <w:r>
        <w:t xml:space="preserve"> </w:t>
      </w:r>
      <w:r>
        <w:rPr>
          <w:i/>
        </w:rPr>
        <w:t>Id.</w:t>
      </w:r>
    </w:p>
  </w:footnote>
  <w:footnote w:id="25">
    <w:p w:rsidR="00951FE2" w:rsidRPr="005B25D8" w14:paraId="578AD5D5" w14:textId="77777777">
      <w:pPr>
        <w:pStyle w:val="FootnoteText"/>
      </w:pPr>
      <w:r>
        <w:rPr>
          <w:rStyle w:val="FootnoteReference"/>
        </w:rPr>
        <w:footnoteRef/>
      </w:r>
      <w:r>
        <w:t xml:space="preserve"> </w:t>
      </w:r>
      <w:r>
        <w:rPr>
          <w:i/>
        </w:rPr>
        <w:t>2017 Declaratory Ruling,</w:t>
      </w:r>
      <w:r w:rsidR="005B25D8">
        <w:rPr>
          <w:i/>
        </w:rPr>
        <w:t xml:space="preserve"> </w:t>
      </w:r>
      <w:r w:rsidR="005B25D8">
        <w:t xml:space="preserve">32 FCC </w:t>
      </w:r>
      <w:r w:rsidR="005B25D8">
        <w:t>Rcd</w:t>
      </w:r>
      <w:r w:rsidR="005B25D8">
        <w:t xml:space="preserve"> at 12,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1E0BF8" w14:textId="5BA70C1F">
    <w:pPr>
      <w:pStyle w:val="Header"/>
      <w:rPr>
        <w:b w:val="0"/>
      </w:rPr>
    </w:pPr>
    <w:r>
      <w:tab/>
      <w:t>Federal Communications Commission</w:t>
    </w:r>
    <w:r>
      <w:tab/>
    </w:r>
    <w:r w:rsidR="00F2217E">
      <w:t>DA 19-1228</w:t>
    </w:r>
  </w:p>
  <w:p w:rsidR="00D25FB5" w14:paraId="3DBDD72D" w14:textId="22D7091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6F4A8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BE35BC" w14:textId="0ADE8A3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2217E">
      <w:rPr>
        <w:spacing w:val="-2"/>
      </w:rPr>
      <w:t>DA 19-1228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3D7D6E"/>
    <w:multiLevelType w:val="hybridMultilevel"/>
    <w:tmpl w:val="69D46496"/>
    <w:lvl w:ilvl="0">
      <w:start w:val="2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73417E"/>
    <w:multiLevelType w:val="hybridMultilevel"/>
    <w:tmpl w:val="8BBEA34C"/>
    <w:lvl w:ilvl="0">
      <w:start w:val="12"/>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1"/>
  </w:num>
  <w:num w:numId="8">
    <w:abstractNumId w:val="7"/>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06"/>
    <w:rsid w:val="00017165"/>
    <w:rsid w:val="0001778A"/>
    <w:rsid w:val="00036039"/>
    <w:rsid w:val="00037F90"/>
    <w:rsid w:val="000436C7"/>
    <w:rsid w:val="000525DC"/>
    <w:rsid w:val="00080908"/>
    <w:rsid w:val="000875BF"/>
    <w:rsid w:val="00096D8C"/>
    <w:rsid w:val="000B63E1"/>
    <w:rsid w:val="000C0B65"/>
    <w:rsid w:val="000E05FE"/>
    <w:rsid w:val="000E32DF"/>
    <w:rsid w:val="000E3D42"/>
    <w:rsid w:val="000F78F1"/>
    <w:rsid w:val="00105E96"/>
    <w:rsid w:val="00112EEF"/>
    <w:rsid w:val="00122BD5"/>
    <w:rsid w:val="00133F79"/>
    <w:rsid w:val="00194A66"/>
    <w:rsid w:val="001B0A6E"/>
    <w:rsid w:val="001D6BCF"/>
    <w:rsid w:val="001D6F98"/>
    <w:rsid w:val="001E01CA"/>
    <w:rsid w:val="00231C17"/>
    <w:rsid w:val="00233F1E"/>
    <w:rsid w:val="00275CF5"/>
    <w:rsid w:val="0028301F"/>
    <w:rsid w:val="00284C8C"/>
    <w:rsid w:val="00285017"/>
    <w:rsid w:val="002A2D2E"/>
    <w:rsid w:val="002C00E8"/>
    <w:rsid w:val="002E023C"/>
    <w:rsid w:val="00304232"/>
    <w:rsid w:val="003178C3"/>
    <w:rsid w:val="00343749"/>
    <w:rsid w:val="003660ED"/>
    <w:rsid w:val="003859A0"/>
    <w:rsid w:val="00392617"/>
    <w:rsid w:val="003B0550"/>
    <w:rsid w:val="003B694F"/>
    <w:rsid w:val="003F171C"/>
    <w:rsid w:val="00412FC5"/>
    <w:rsid w:val="00422276"/>
    <w:rsid w:val="004242F1"/>
    <w:rsid w:val="00445A00"/>
    <w:rsid w:val="00451B0F"/>
    <w:rsid w:val="004731E1"/>
    <w:rsid w:val="004741C0"/>
    <w:rsid w:val="00481835"/>
    <w:rsid w:val="00496381"/>
    <w:rsid w:val="004B5A91"/>
    <w:rsid w:val="004C2EE3"/>
    <w:rsid w:val="004D359E"/>
    <w:rsid w:val="004E17BA"/>
    <w:rsid w:val="004E4A22"/>
    <w:rsid w:val="00501AE9"/>
    <w:rsid w:val="00502A1D"/>
    <w:rsid w:val="00511968"/>
    <w:rsid w:val="0052548A"/>
    <w:rsid w:val="0054084F"/>
    <w:rsid w:val="00546957"/>
    <w:rsid w:val="0055614C"/>
    <w:rsid w:val="00566D06"/>
    <w:rsid w:val="00571BBA"/>
    <w:rsid w:val="0059620E"/>
    <w:rsid w:val="005B25D8"/>
    <w:rsid w:val="005C55C1"/>
    <w:rsid w:val="005E14C2"/>
    <w:rsid w:val="005E7097"/>
    <w:rsid w:val="00602506"/>
    <w:rsid w:val="00607BA5"/>
    <w:rsid w:val="006105EB"/>
    <w:rsid w:val="0061180A"/>
    <w:rsid w:val="00626EB6"/>
    <w:rsid w:val="006452D3"/>
    <w:rsid w:val="00655D03"/>
    <w:rsid w:val="00683388"/>
    <w:rsid w:val="00683F84"/>
    <w:rsid w:val="00684498"/>
    <w:rsid w:val="006A35BE"/>
    <w:rsid w:val="006A6A81"/>
    <w:rsid w:val="006C2D09"/>
    <w:rsid w:val="006D7270"/>
    <w:rsid w:val="006F7393"/>
    <w:rsid w:val="0070224F"/>
    <w:rsid w:val="007115F7"/>
    <w:rsid w:val="00715EE3"/>
    <w:rsid w:val="00732251"/>
    <w:rsid w:val="00752E02"/>
    <w:rsid w:val="00767F66"/>
    <w:rsid w:val="007714CD"/>
    <w:rsid w:val="00785689"/>
    <w:rsid w:val="0079754B"/>
    <w:rsid w:val="007A1E6D"/>
    <w:rsid w:val="007A4734"/>
    <w:rsid w:val="007B0EB2"/>
    <w:rsid w:val="007C1BBA"/>
    <w:rsid w:val="008054D5"/>
    <w:rsid w:val="00810B6F"/>
    <w:rsid w:val="00822CE0"/>
    <w:rsid w:val="00832F49"/>
    <w:rsid w:val="00841AB1"/>
    <w:rsid w:val="00865BE8"/>
    <w:rsid w:val="008674DD"/>
    <w:rsid w:val="008C68F1"/>
    <w:rsid w:val="008F6D51"/>
    <w:rsid w:val="008F733D"/>
    <w:rsid w:val="00921803"/>
    <w:rsid w:val="00926503"/>
    <w:rsid w:val="00934672"/>
    <w:rsid w:val="0094240B"/>
    <w:rsid w:val="00947533"/>
    <w:rsid w:val="00951FE2"/>
    <w:rsid w:val="009726D8"/>
    <w:rsid w:val="009A3C5C"/>
    <w:rsid w:val="009C516A"/>
    <w:rsid w:val="009D2151"/>
    <w:rsid w:val="009D7308"/>
    <w:rsid w:val="009E38BB"/>
    <w:rsid w:val="009F76DB"/>
    <w:rsid w:val="00A0483F"/>
    <w:rsid w:val="00A32C3B"/>
    <w:rsid w:val="00A45F4F"/>
    <w:rsid w:val="00A51549"/>
    <w:rsid w:val="00A600A9"/>
    <w:rsid w:val="00A92055"/>
    <w:rsid w:val="00A95A8D"/>
    <w:rsid w:val="00A97931"/>
    <w:rsid w:val="00AA55B7"/>
    <w:rsid w:val="00AA5B9E"/>
    <w:rsid w:val="00AA6FF1"/>
    <w:rsid w:val="00AB0286"/>
    <w:rsid w:val="00AB2407"/>
    <w:rsid w:val="00AB53DF"/>
    <w:rsid w:val="00AC1857"/>
    <w:rsid w:val="00B07E5C"/>
    <w:rsid w:val="00B3054F"/>
    <w:rsid w:val="00B35226"/>
    <w:rsid w:val="00B62777"/>
    <w:rsid w:val="00B811F7"/>
    <w:rsid w:val="00BA11FF"/>
    <w:rsid w:val="00BA5DC6"/>
    <w:rsid w:val="00BA6196"/>
    <w:rsid w:val="00BC568D"/>
    <w:rsid w:val="00BC6D8C"/>
    <w:rsid w:val="00BE3C5E"/>
    <w:rsid w:val="00BE4215"/>
    <w:rsid w:val="00BF14B0"/>
    <w:rsid w:val="00C34006"/>
    <w:rsid w:val="00C36B4C"/>
    <w:rsid w:val="00C426B1"/>
    <w:rsid w:val="00C64FAF"/>
    <w:rsid w:val="00C66160"/>
    <w:rsid w:val="00C67DA2"/>
    <w:rsid w:val="00C721AC"/>
    <w:rsid w:val="00C77C89"/>
    <w:rsid w:val="00C90D6A"/>
    <w:rsid w:val="00CA247E"/>
    <w:rsid w:val="00CA6D21"/>
    <w:rsid w:val="00CC3FB8"/>
    <w:rsid w:val="00CC72B6"/>
    <w:rsid w:val="00D0218D"/>
    <w:rsid w:val="00D147CD"/>
    <w:rsid w:val="00D25FB5"/>
    <w:rsid w:val="00D44223"/>
    <w:rsid w:val="00D54FC7"/>
    <w:rsid w:val="00D57D89"/>
    <w:rsid w:val="00DA2529"/>
    <w:rsid w:val="00DB130A"/>
    <w:rsid w:val="00DB2EBB"/>
    <w:rsid w:val="00DC0F51"/>
    <w:rsid w:val="00DC10A1"/>
    <w:rsid w:val="00DC655F"/>
    <w:rsid w:val="00DD0B59"/>
    <w:rsid w:val="00DD3788"/>
    <w:rsid w:val="00DD7EBD"/>
    <w:rsid w:val="00DE249B"/>
    <w:rsid w:val="00DF5C9B"/>
    <w:rsid w:val="00DF62B6"/>
    <w:rsid w:val="00DF7A41"/>
    <w:rsid w:val="00E07225"/>
    <w:rsid w:val="00E25C8F"/>
    <w:rsid w:val="00E5409F"/>
    <w:rsid w:val="00E645EB"/>
    <w:rsid w:val="00E924E0"/>
    <w:rsid w:val="00EB7DCD"/>
    <w:rsid w:val="00EC180F"/>
    <w:rsid w:val="00EC32A5"/>
    <w:rsid w:val="00ED3FF9"/>
    <w:rsid w:val="00ED6DEC"/>
    <w:rsid w:val="00EE6488"/>
    <w:rsid w:val="00EF0AC2"/>
    <w:rsid w:val="00F021FA"/>
    <w:rsid w:val="00F209B6"/>
    <w:rsid w:val="00F2217E"/>
    <w:rsid w:val="00F62E97"/>
    <w:rsid w:val="00F64209"/>
    <w:rsid w:val="00F726AB"/>
    <w:rsid w:val="00F91FAC"/>
    <w:rsid w:val="00F93BF5"/>
    <w:rsid w:val="00FA0CC8"/>
    <w:rsid w:val="00FA7D83"/>
    <w:rsid w:val="00FD4C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125036-AB40-4EB6-8D37-8ED6473D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link w:val="FootnoteText"/>
    <w:uiPriority w:val="99"/>
    <w:rsid w:val="001D6F98"/>
  </w:style>
  <w:style w:type="character" w:customStyle="1" w:styleId="FootnoteTextCharCharChar4CharChar">
    <w:name w:val="Footnote Text Char Char Char4 Char Char"/>
    <w:aliases w:val="Footnote Text Char1 Char,Footnote Text Char4 Char1 Char Char,Footnote Text Char4 Char1 Char Char Char Char Char,Footnote Text Char7 Char Char,Footnote Text Char7 Char Char Char Char Char,f Char"/>
    <w:rsid w:val="00481835"/>
  </w:style>
  <w:style w:type="character" w:customStyle="1" w:styleId="ParaNumChar">
    <w:name w:val="ParaNum Char"/>
    <w:link w:val="ParaNum"/>
    <w:rsid w:val="00752E02"/>
    <w:rPr>
      <w:snapToGrid w:val="0"/>
      <w:kern w:val="28"/>
      <w:sz w:val="22"/>
    </w:rPr>
  </w:style>
  <w:style w:type="paragraph" w:styleId="BalloonText">
    <w:name w:val="Balloon Text"/>
    <w:basedOn w:val="Normal"/>
    <w:link w:val="BalloonTextChar"/>
    <w:rsid w:val="00501AE9"/>
    <w:rPr>
      <w:rFonts w:ascii="Segoe UI" w:hAnsi="Segoe UI" w:cs="Segoe UI"/>
      <w:sz w:val="18"/>
      <w:szCs w:val="18"/>
    </w:rPr>
  </w:style>
  <w:style w:type="character" w:customStyle="1" w:styleId="BalloonTextChar">
    <w:name w:val="Balloon Text Char"/>
    <w:link w:val="BalloonText"/>
    <w:rsid w:val="00501AE9"/>
    <w:rPr>
      <w:rFonts w:ascii="Segoe UI" w:hAnsi="Segoe UI" w:cs="Segoe UI"/>
      <w:snapToGrid w:val="0"/>
      <w:kern w:val="28"/>
      <w:sz w:val="18"/>
      <w:szCs w:val="18"/>
    </w:rPr>
  </w:style>
  <w:style w:type="character" w:styleId="CommentReference">
    <w:name w:val="annotation reference"/>
    <w:rsid w:val="00832F49"/>
    <w:rPr>
      <w:sz w:val="16"/>
      <w:szCs w:val="16"/>
    </w:rPr>
  </w:style>
  <w:style w:type="paragraph" w:styleId="CommentText">
    <w:name w:val="annotation text"/>
    <w:basedOn w:val="Normal"/>
    <w:link w:val="CommentTextChar"/>
    <w:rsid w:val="00832F49"/>
    <w:rPr>
      <w:sz w:val="20"/>
    </w:rPr>
  </w:style>
  <w:style w:type="character" w:customStyle="1" w:styleId="CommentTextChar">
    <w:name w:val="Comment Text Char"/>
    <w:link w:val="CommentText"/>
    <w:rsid w:val="00832F49"/>
    <w:rPr>
      <w:snapToGrid w:val="0"/>
      <w:kern w:val="28"/>
    </w:rPr>
  </w:style>
  <w:style w:type="paragraph" w:styleId="CommentSubject">
    <w:name w:val="annotation subject"/>
    <w:basedOn w:val="CommentText"/>
    <w:next w:val="CommentText"/>
    <w:link w:val="CommentSubjectChar"/>
    <w:rsid w:val="00832F49"/>
    <w:rPr>
      <w:b/>
      <w:bCs/>
    </w:rPr>
  </w:style>
  <w:style w:type="character" w:customStyle="1" w:styleId="CommentSubjectChar">
    <w:name w:val="Comment Subject Char"/>
    <w:link w:val="CommentSubject"/>
    <w:rsid w:val="00832F4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