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97EBE" w:rsidRPr="00497EBE" w:rsidP="00497EBE">
      <w:pPr>
        <w:jc w:val="right"/>
        <w:rPr>
          <w:b/>
          <w:szCs w:val="22"/>
        </w:rPr>
      </w:pPr>
      <w:r w:rsidRPr="00497EBE">
        <w:rPr>
          <w:b/>
          <w:szCs w:val="22"/>
        </w:rPr>
        <w:t>D</w:t>
      </w:r>
      <w:bookmarkStart w:id="0" w:name="_GoBack"/>
      <w:bookmarkEnd w:id="0"/>
      <w:r w:rsidRPr="00497EBE">
        <w:rPr>
          <w:b/>
          <w:szCs w:val="22"/>
        </w:rPr>
        <w:t>A 19-</w:t>
      </w:r>
      <w:r w:rsidR="00825337">
        <w:rPr>
          <w:b/>
          <w:szCs w:val="22"/>
        </w:rPr>
        <w:t>1231</w:t>
      </w:r>
    </w:p>
    <w:p w:rsidR="00497EBE" w:rsidRPr="00497EBE" w:rsidP="00497EBE">
      <w:pPr>
        <w:jc w:val="right"/>
        <w:rPr>
          <w:b/>
          <w:szCs w:val="22"/>
        </w:rPr>
      </w:pPr>
      <w:r w:rsidRPr="00497EBE">
        <w:rPr>
          <w:b/>
          <w:szCs w:val="22"/>
        </w:rPr>
        <w:t xml:space="preserve">  Released:  </w:t>
      </w:r>
      <w:r w:rsidR="00825337">
        <w:rPr>
          <w:b/>
          <w:szCs w:val="22"/>
        </w:rPr>
        <w:t>December 4, 2019</w:t>
      </w:r>
    </w:p>
    <w:p w:rsidR="00497EBE" w:rsidRPr="00497EBE" w:rsidP="00497EBE">
      <w:pPr>
        <w:spacing w:before="60"/>
        <w:jc w:val="right"/>
        <w:rPr>
          <w:b/>
          <w:szCs w:val="22"/>
        </w:rPr>
      </w:pPr>
    </w:p>
    <w:p w:rsidR="00497EBE" w:rsidRPr="00497EBE" w:rsidP="00497EBE">
      <w:pPr>
        <w:spacing w:before="60"/>
        <w:jc w:val="center"/>
        <w:rPr>
          <w:b/>
          <w:szCs w:val="22"/>
        </w:rPr>
      </w:pPr>
      <w:r>
        <w:rPr>
          <w:b/>
          <w:szCs w:val="22"/>
        </w:rPr>
        <w:t>MEDIA BUREAU</w:t>
      </w:r>
      <w:r w:rsidRPr="00497EBE">
        <w:rPr>
          <w:b/>
          <w:szCs w:val="22"/>
        </w:rPr>
        <w:t xml:space="preserve"> SEEKS TO UPDATE THE RECORD ON THE OPERATION OF ANALOG RADIO SERVICES BY DIGITAL LPTV STATIONS AS ANCILLARY OR SUPPLEMENTARY SERVICES</w:t>
      </w:r>
    </w:p>
    <w:p w:rsidR="00497EBE" w:rsidRPr="00497EBE" w:rsidP="00497EBE">
      <w:pPr>
        <w:spacing w:before="60"/>
        <w:jc w:val="center"/>
        <w:rPr>
          <w:b/>
          <w:szCs w:val="22"/>
        </w:rPr>
      </w:pPr>
      <w:r w:rsidRPr="00497EBE">
        <w:rPr>
          <w:b/>
          <w:szCs w:val="22"/>
        </w:rPr>
        <w:t>MB Docket No.  03-185</w:t>
      </w:r>
    </w:p>
    <w:p w:rsidR="00497EBE" w:rsidRPr="00497EBE" w:rsidP="00497EBE">
      <w:pPr>
        <w:spacing w:before="60"/>
        <w:jc w:val="center"/>
        <w:rPr>
          <w:b/>
          <w:szCs w:val="22"/>
        </w:rPr>
      </w:pPr>
    </w:p>
    <w:p w:rsidR="00497EBE" w:rsidRPr="00497EBE" w:rsidP="00497EBE">
      <w:pPr>
        <w:rPr>
          <w:b/>
          <w:szCs w:val="22"/>
        </w:rPr>
      </w:pPr>
      <w:r w:rsidRPr="00497EBE">
        <w:rPr>
          <w:b/>
          <w:szCs w:val="22"/>
        </w:rPr>
        <w:t>Comment Date</w:t>
      </w:r>
      <w:r w:rsidRPr="00497EBE">
        <w:rPr>
          <w:b/>
          <w:szCs w:val="22"/>
        </w:rPr>
        <w:t>:  [</w:t>
      </w:r>
      <w:r w:rsidRPr="00497EBE">
        <w:rPr>
          <w:b/>
          <w:szCs w:val="22"/>
        </w:rPr>
        <w:t>30 days after publication in the Federal Register]</w:t>
      </w:r>
    </w:p>
    <w:p w:rsidR="00497EBE" w:rsidRPr="00497EBE" w:rsidP="00497EBE">
      <w:pPr>
        <w:rPr>
          <w:b/>
          <w:szCs w:val="22"/>
        </w:rPr>
      </w:pPr>
      <w:r w:rsidRPr="00497EBE">
        <w:rPr>
          <w:b/>
          <w:szCs w:val="22"/>
        </w:rPr>
        <w:t>Reply Comment Date</w:t>
      </w:r>
      <w:r w:rsidRPr="00497EBE">
        <w:rPr>
          <w:b/>
          <w:szCs w:val="22"/>
        </w:rPr>
        <w:t>:  [</w:t>
      </w:r>
      <w:r w:rsidRPr="00497EBE">
        <w:rPr>
          <w:b/>
          <w:szCs w:val="22"/>
        </w:rPr>
        <w:t>45 days after publication in the Federal Register]</w:t>
      </w:r>
    </w:p>
    <w:p w:rsidR="00497EBE" w:rsidRPr="00497EBE" w:rsidP="00497EBE">
      <w:pPr>
        <w:spacing w:before="60"/>
        <w:jc w:val="center"/>
        <w:rPr>
          <w:b/>
          <w:szCs w:val="22"/>
        </w:rPr>
      </w:pPr>
    </w:p>
    <w:p w:rsidR="00497EBE" w:rsidRPr="00497EBE" w:rsidP="00497EBE">
      <w:pPr>
        <w:widowControl w:val="0"/>
        <w:numPr>
          <w:ilvl w:val="0"/>
          <w:numId w:val="12"/>
        </w:numPr>
        <w:spacing w:after="220"/>
        <w:rPr>
          <w:szCs w:val="22"/>
        </w:rPr>
      </w:pPr>
      <w:r w:rsidRPr="00497EBE">
        <w:rPr>
          <w:szCs w:val="22"/>
        </w:rPr>
        <w:t xml:space="preserve">In this Public Notice, the </w:t>
      </w:r>
      <w:r w:rsidR="00EC3B04">
        <w:rPr>
          <w:szCs w:val="22"/>
        </w:rPr>
        <w:t>Media Bureau</w:t>
      </w:r>
      <w:r w:rsidRPr="00497EBE">
        <w:rPr>
          <w:szCs w:val="22"/>
        </w:rPr>
        <w:t xml:space="preserve"> seeks to update the record in MB Docket No. 03-185 on the operation of analog radio services by digital low power television stations (LPTV) as ancillary or supplementary services under section 7</w:t>
      </w:r>
      <w:r w:rsidR="00A971E1">
        <w:rPr>
          <w:szCs w:val="22"/>
        </w:rPr>
        <w:t>4</w:t>
      </w:r>
      <w:r w:rsidRPr="00497EBE">
        <w:rPr>
          <w:szCs w:val="22"/>
        </w:rPr>
        <w:t>.</w:t>
      </w:r>
      <w:r w:rsidR="00A971E1">
        <w:rPr>
          <w:szCs w:val="22"/>
        </w:rPr>
        <w:t>790(i)</w:t>
      </w:r>
      <w:r w:rsidRPr="00497EBE">
        <w:rPr>
          <w:szCs w:val="22"/>
        </w:rPr>
        <w:t xml:space="preserve"> of the Commission’s rules.</w:t>
      </w:r>
      <w:r>
        <w:rPr>
          <w:szCs w:val="22"/>
          <w:vertAlign w:val="superscript"/>
        </w:rPr>
        <w:footnoteReference w:id="3"/>
      </w:r>
      <w:r w:rsidRPr="00497EBE">
        <w:rPr>
          <w:szCs w:val="22"/>
        </w:rPr>
        <w:t xml:space="preserve">  Due to the impending deadline for elimination of the analog </w:t>
      </w:r>
      <w:r w:rsidR="00962E48">
        <w:rPr>
          <w:szCs w:val="22"/>
        </w:rPr>
        <w:t xml:space="preserve">LPTV </w:t>
      </w:r>
      <w:r w:rsidRPr="00497EBE">
        <w:rPr>
          <w:szCs w:val="22"/>
        </w:rPr>
        <w:t>service, and recent developments in the record,</w:t>
      </w:r>
      <w:r>
        <w:rPr>
          <w:szCs w:val="22"/>
          <w:vertAlign w:val="superscript"/>
        </w:rPr>
        <w:footnoteReference w:id="4"/>
      </w:r>
      <w:r w:rsidRPr="00497EBE">
        <w:rPr>
          <w:szCs w:val="22"/>
        </w:rPr>
        <w:t xml:space="preserve"> we seek to refresh the record in this proceeding.  </w:t>
      </w:r>
    </w:p>
    <w:p w:rsidR="00497EBE" w:rsidRPr="00497EBE" w:rsidP="00497EBE">
      <w:pPr>
        <w:widowControl w:val="0"/>
        <w:numPr>
          <w:ilvl w:val="0"/>
          <w:numId w:val="12"/>
        </w:numPr>
        <w:spacing w:after="220"/>
        <w:rPr>
          <w:szCs w:val="22"/>
        </w:rPr>
      </w:pPr>
      <w:r w:rsidRPr="00497EBE">
        <w:rPr>
          <w:szCs w:val="22"/>
        </w:rPr>
        <w:t xml:space="preserve">Historically, some analog LPTV stations licensed on channel 6 </w:t>
      </w:r>
      <w:r w:rsidR="00E137F0">
        <w:rPr>
          <w:szCs w:val="22"/>
        </w:rPr>
        <w:t>have</w:t>
      </w:r>
      <w:r w:rsidRPr="00497EBE">
        <w:rPr>
          <w:szCs w:val="22"/>
        </w:rPr>
        <w:t xml:space="preserve"> operat</w:t>
      </w:r>
      <w:r w:rsidR="00E137F0">
        <w:rPr>
          <w:szCs w:val="22"/>
        </w:rPr>
        <w:t>ed</w:t>
      </w:r>
      <w:r w:rsidRPr="00497EBE">
        <w:rPr>
          <w:szCs w:val="22"/>
        </w:rPr>
        <w:t xml:space="preserve"> with very limited visual programming and an audio signal that is programmed like a radio station.</w:t>
      </w:r>
      <w:r>
        <w:rPr>
          <w:szCs w:val="22"/>
          <w:vertAlign w:val="superscript"/>
        </w:rPr>
        <w:footnoteReference w:id="5"/>
      </w:r>
      <w:r w:rsidRPr="00497EBE">
        <w:rPr>
          <w:szCs w:val="22"/>
        </w:rPr>
        <w:t xml:space="preserve">  FM radio listeners are able to receive the audio portion of these LPTV stations at 87.76 MHz, which is adjacent to noncommercial educational (NCE) FM channel 201 (88.1 MHz). </w:t>
      </w:r>
      <w:r w:rsidR="00E137F0">
        <w:rPr>
          <w:szCs w:val="22"/>
        </w:rPr>
        <w:t xml:space="preserve"> </w:t>
      </w:r>
      <w:r w:rsidRPr="00497EBE">
        <w:rPr>
          <w:szCs w:val="22"/>
        </w:rPr>
        <w:t>When these LPTV stations convert to digital, however, they will be unable to continue providing such radio service because the digital audio portion of their signal can no longer be received by standard FM receivers.</w:t>
      </w:r>
      <w:r>
        <w:rPr>
          <w:rStyle w:val="FootnoteReference"/>
          <w:szCs w:val="22"/>
        </w:rPr>
        <w:footnoteReference w:id="6"/>
      </w:r>
      <w:r w:rsidRPr="00497EBE">
        <w:rPr>
          <w:szCs w:val="22"/>
        </w:rPr>
        <w:t xml:space="preserve">  </w:t>
      </w:r>
    </w:p>
    <w:p w:rsidR="00BF46C5" w:rsidP="003F3C2E">
      <w:pPr>
        <w:widowControl w:val="0"/>
        <w:numPr>
          <w:ilvl w:val="0"/>
          <w:numId w:val="12"/>
        </w:numPr>
        <w:spacing w:after="220"/>
        <w:rPr>
          <w:szCs w:val="22"/>
        </w:rPr>
      </w:pPr>
      <w:r w:rsidRPr="00BF46C5">
        <w:rPr>
          <w:szCs w:val="22"/>
        </w:rPr>
        <w:t xml:space="preserve">As part of the transition from analog to digital operations, the Commission sought comment in a 2014 </w:t>
      </w:r>
      <w:r w:rsidRPr="00BF46C5">
        <w:rPr>
          <w:i/>
          <w:szCs w:val="22"/>
        </w:rPr>
        <w:t>NPRM</w:t>
      </w:r>
      <w:r w:rsidRPr="00BF46C5">
        <w:rPr>
          <w:szCs w:val="22"/>
        </w:rPr>
        <w:t xml:space="preserve"> on whether to allow LPTV stations on digital television channel 6 to continue to operate these analog FM radio-type services on an ancillary or supplementary basis.</w:t>
      </w:r>
      <w:r>
        <w:rPr>
          <w:szCs w:val="22"/>
          <w:vertAlign w:val="superscript"/>
        </w:rPr>
        <w:footnoteReference w:id="7"/>
      </w:r>
      <w:r w:rsidRPr="00BF46C5">
        <w:rPr>
          <w:szCs w:val="22"/>
        </w:rPr>
        <w:t xml:space="preserve">  Specifically, the Commission sought comment on whether to permit LPTV stations on digital television channel 6 to operate dual digital and analog transmission systems.</w:t>
      </w:r>
      <w:r>
        <w:rPr>
          <w:szCs w:val="22"/>
          <w:vertAlign w:val="superscript"/>
        </w:rPr>
        <w:footnoteReference w:id="8"/>
      </w:r>
      <w:r w:rsidRPr="00BF46C5">
        <w:rPr>
          <w:szCs w:val="22"/>
        </w:rPr>
        <w:t xml:space="preserve">  The Commission sought to determine whether a digital LPTV station can provide an analog FM radio-type service as an ancillary or supplementary service consistent with the Communications Act of 1934, as amended, and the rules.</w:t>
      </w:r>
      <w:r>
        <w:rPr>
          <w:szCs w:val="22"/>
          <w:vertAlign w:val="superscript"/>
        </w:rPr>
        <w:footnoteReference w:id="9"/>
      </w:r>
      <w:r w:rsidRPr="00BF46C5">
        <w:rPr>
          <w:szCs w:val="22"/>
        </w:rPr>
        <w:t xml:space="preserve">  The Commission also sought comment on the potential for a digital LPTV station’s analog FM radio-type service to interfere with or disrupt the LPTV station’s digital TV service and/or interfere with primary licensees.</w:t>
      </w:r>
      <w:r>
        <w:rPr>
          <w:szCs w:val="22"/>
          <w:vertAlign w:val="superscript"/>
        </w:rPr>
        <w:footnoteReference w:id="10"/>
      </w:r>
      <w:r w:rsidRPr="00BF46C5">
        <w:rPr>
          <w:szCs w:val="22"/>
        </w:rPr>
        <w:t xml:space="preserve">  Finally, the Commission </w:t>
      </w:r>
      <w:r w:rsidRPr="00BF46C5" w:rsidR="00E91D53">
        <w:rPr>
          <w:szCs w:val="22"/>
        </w:rPr>
        <w:t xml:space="preserve">asked </w:t>
      </w:r>
      <w:r w:rsidRPr="00BF46C5">
        <w:rPr>
          <w:szCs w:val="22"/>
        </w:rPr>
        <w:t>whether such operations should be subject to the Part 73 rules applicable to FM radio stations and whether the analog FM radio-type service should be subject to the five percent fee imposed on revenues generated by ancillary or supplementary services.</w:t>
      </w:r>
      <w:r>
        <w:rPr>
          <w:szCs w:val="22"/>
          <w:vertAlign w:val="superscript"/>
        </w:rPr>
        <w:footnoteReference w:id="11"/>
      </w:r>
      <w:r w:rsidRPr="00BF46C5">
        <w:rPr>
          <w:szCs w:val="22"/>
        </w:rPr>
        <w:t xml:space="preserve">  In a 2015 </w:t>
      </w:r>
      <w:r w:rsidRPr="00BF46C5">
        <w:rPr>
          <w:i/>
          <w:szCs w:val="22"/>
        </w:rPr>
        <w:t>Report and Order</w:t>
      </w:r>
      <w:r w:rsidRPr="00BF46C5">
        <w:rPr>
          <w:szCs w:val="22"/>
        </w:rPr>
        <w:t>, the Commission declined to decide this issue, and instead noted that it would make a determination at a later date.</w:t>
      </w:r>
      <w:r>
        <w:rPr>
          <w:szCs w:val="22"/>
          <w:vertAlign w:val="superscript"/>
        </w:rPr>
        <w:footnoteReference w:id="12"/>
      </w:r>
    </w:p>
    <w:p w:rsidR="00583FE8" w:rsidP="00BF46C5">
      <w:pPr>
        <w:widowControl w:val="0"/>
        <w:numPr>
          <w:ilvl w:val="0"/>
          <w:numId w:val="12"/>
        </w:numPr>
        <w:spacing w:after="220"/>
        <w:rPr>
          <w:szCs w:val="22"/>
        </w:rPr>
      </w:pPr>
      <w:r w:rsidRPr="00497EBE">
        <w:t xml:space="preserve">Given </w:t>
      </w:r>
      <w:r w:rsidR="000460EE">
        <w:t xml:space="preserve">the </w:t>
      </w:r>
      <w:r w:rsidR="00E91D53">
        <w:t xml:space="preserve">upcoming </w:t>
      </w:r>
      <w:r w:rsidRPr="00497EBE">
        <w:t>deadline</w:t>
      </w:r>
      <w:r w:rsidR="000872E1">
        <w:t xml:space="preserve"> for LPTV to transition to digital</w:t>
      </w:r>
      <w:r w:rsidRPr="00497EBE">
        <w:t>,</w:t>
      </w:r>
      <w:r w:rsidR="000872E1">
        <w:t xml:space="preserve"> we find it appropriate to refresh the record in this docket.  Several parties have also recently raised some additional issues on which we seek comment. </w:t>
      </w:r>
      <w:r w:rsidRPr="00497EBE">
        <w:t xml:space="preserve"> For example, the Channel 6 Commenters </w:t>
      </w:r>
      <w:r w:rsidRPr="00BF46C5">
        <w:rPr>
          <w:szCs w:val="22"/>
        </w:rPr>
        <w:t>maintains that LPTV licensees should be allowed to make “the most efficient use of spectrum” by providing analog FM radio-type service on an ancillary or supplementary basis.</w:t>
      </w:r>
      <w:r>
        <w:rPr>
          <w:szCs w:val="22"/>
          <w:vertAlign w:val="superscript"/>
        </w:rPr>
        <w:footnoteReference w:id="13"/>
      </w:r>
      <w:r w:rsidRPr="00BF46C5">
        <w:rPr>
          <w:szCs w:val="22"/>
        </w:rPr>
        <w:t xml:space="preserve">  PCPC agrees and recommends that the Commission modify its rules to allow those LPTV stations currently licensed and operating in analog on channel 6 to continue transmitting an analog audio carrier when they transition to digital operations on channel 6.</w:t>
      </w:r>
      <w:r>
        <w:rPr>
          <w:szCs w:val="22"/>
          <w:vertAlign w:val="superscript"/>
        </w:rPr>
        <w:footnoteReference w:id="14"/>
      </w:r>
      <w:r w:rsidRPr="00BF46C5">
        <w:rPr>
          <w:szCs w:val="22"/>
        </w:rPr>
        <w:t xml:space="preserve">  Both commenters claim that the provision of independent aural and visual carriers are allowed under the rules</w:t>
      </w:r>
      <w:r>
        <w:rPr>
          <w:szCs w:val="22"/>
        </w:rPr>
        <w:t xml:space="preserve"> and we seek comment on whether that is an accurate reading of the Commission’s technical rules</w:t>
      </w:r>
      <w:r w:rsidRPr="00BF46C5">
        <w:rPr>
          <w:szCs w:val="22"/>
        </w:rPr>
        <w:t>.</w:t>
      </w:r>
      <w:r>
        <w:rPr>
          <w:szCs w:val="22"/>
          <w:vertAlign w:val="superscript"/>
        </w:rPr>
        <w:footnoteReference w:id="15"/>
      </w:r>
      <w:r w:rsidRPr="00BF46C5">
        <w:rPr>
          <w:szCs w:val="22"/>
        </w:rPr>
        <w:t xml:space="preserve">  </w:t>
      </w:r>
    </w:p>
    <w:p w:rsidR="00497EBE" w:rsidRPr="00BF46C5" w:rsidP="00BF46C5">
      <w:pPr>
        <w:widowControl w:val="0"/>
        <w:numPr>
          <w:ilvl w:val="0"/>
          <w:numId w:val="12"/>
        </w:numPr>
        <w:spacing w:after="220"/>
        <w:rPr>
          <w:szCs w:val="22"/>
        </w:rPr>
      </w:pPr>
      <w:r w:rsidRPr="00BF46C5">
        <w:rPr>
          <w:szCs w:val="22"/>
        </w:rPr>
        <w:t xml:space="preserve">In addition, Channel 6 Commenters and PCPC maintain that digital LPTV </w:t>
      </w:r>
      <w:r w:rsidR="00A971E1">
        <w:rPr>
          <w:szCs w:val="22"/>
        </w:rPr>
        <w:t>s</w:t>
      </w:r>
      <w:r w:rsidRPr="00BF46C5">
        <w:rPr>
          <w:szCs w:val="22"/>
        </w:rPr>
        <w:t xml:space="preserve">tations can operate with supplementary audio signals pursuant </w:t>
      </w:r>
      <w:r w:rsidR="00E137F0">
        <w:rPr>
          <w:szCs w:val="22"/>
        </w:rPr>
        <w:t xml:space="preserve">to </w:t>
      </w:r>
      <w:r w:rsidRPr="00BF46C5">
        <w:rPr>
          <w:szCs w:val="22"/>
        </w:rPr>
        <w:t xml:space="preserve">the existing </w:t>
      </w:r>
      <w:r w:rsidR="003B5BE0">
        <w:rPr>
          <w:szCs w:val="22"/>
        </w:rPr>
        <w:t>ancillary</w:t>
      </w:r>
      <w:r w:rsidRPr="00BF46C5">
        <w:rPr>
          <w:szCs w:val="22"/>
        </w:rPr>
        <w:t xml:space="preserve"> or supplementary services </w:t>
      </w:r>
      <w:r w:rsidRPr="00BF46C5">
        <w:rPr>
          <w:szCs w:val="22"/>
        </w:rPr>
        <w:t>rules.</w:t>
      </w:r>
      <w:r>
        <w:rPr>
          <w:szCs w:val="22"/>
          <w:vertAlign w:val="superscript"/>
        </w:rPr>
        <w:footnoteReference w:id="16"/>
      </w:r>
      <w:r w:rsidRPr="00BF46C5">
        <w:rPr>
          <w:szCs w:val="22"/>
        </w:rPr>
        <w:t xml:space="preserve">  We seek comment on these matters. </w:t>
      </w:r>
      <w:r w:rsidR="00E137F0">
        <w:rPr>
          <w:szCs w:val="22"/>
        </w:rPr>
        <w:t xml:space="preserve"> </w:t>
      </w:r>
      <w:r w:rsidRPr="00BF46C5">
        <w:rPr>
          <w:szCs w:val="22"/>
        </w:rPr>
        <w:t xml:space="preserve">Specifically, we seek comment on whether </w:t>
      </w:r>
      <w:r w:rsidRPr="003C7BB3" w:rsidR="003C7BB3">
        <w:rPr>
          <w:szCs w:val="22"/>
        </w:rPr>
        <w:t>analog channel 6 LPTV stations</w:t>
      </w:r>
      <w:r w:rsidR="003C7BB3">
        <w:rPr>
          <w:szCs w:val="22"/>
        </w:rPr>
        <w:t xml:space="preserve"> currently operating an analog FM-radio type service should be permitted to continue to provide such service on an ancillary or supplementary basis after they transition to digital.</w:t>
      </w:r>
      <w:r w:rsidR="00583FE8">
        <w:rPr>
          <w:szCs w:val="22"/>
        </w:rPr>
        <w:t xml:space="preserve">  </w:t>
      </w:r>
      <w:bookmarkStart w:id="4" w:name="_Hlk25060398"/>
      <w:r w:rsidR="003C7BB3">
        <w:rPr>
          <w:szCs w:val="22"/>
        </w:rPr>
        <w:t>Further, we seek comment on whether</w:t>
      </w:r>
      <w:r w:rsidR="00220B8C">
        <w:rPr>
          <w:szCs w:val="22"/>
        </w:rPr>
        <w:t>, and how, we could legally</w:t>
      </w:r>
      <w:r w:rsidR="003C7BB3">
        <w:rPr>
          <w:szCs w:val="22"/>
        </w:rPr>
        <w:t xml:space="preserve"> limit </w:t>
      </w:r>
      <w:r w:rsidR="003D611A">
        <w:rPr>
          <w:szCs w:val="22"/>
        </w:rPr>
        <w:t xml:space="preserve">the number of stations eligible to offer such a service.  </w:t>
      </w:r>
      <w:r w:rsidR="00583FE8">
        <w:rPr>
          <w:szCs w:val="22"/>
        </w:rPr>
        <w:t xml:space="preserve">Should we determine to limit eligibility, </w:t>
      </w:r>
      <w:r w:rsidR="003D611A">
        <w:rPr>
          <w:szCs w:val="22"/>
        </w:rPr>
        <w:t xml:space="preserve">we seek comment on the basis for such </w:t>
      </w:r>
      <w:r w:rsidR="00803587">
        <w:rPr>
          <w:szCs w:val="22"/>
        </w:rPr>
        <w:t xml:space="preserve">a </w:t>
      </w:r>
      <w:r w:rsidR="003D611A">
        <w:rPr>
          <w:szCs w:val="22"/>
        </w:rPr>
        <w:t xml:space="preserve">limitation.  Should </w:t>
      </w:r>
      <w:r w:rsidRPr="003D611A" w:rsidR="003D611A">
        <w:rPr>
          <w:szCs w:val="22"/>
        </w:rPr>
        <w:t>eligibility</w:t>
      </w:r>
      <w:r w:rsidR="003D611A">
        <w:rPr>
          <w:szCs w:val="22"/>
        </w:rPr>
        <w:t xml:space="preserve"> be limited</w:t>
      </w:r>
      <w:r w:rsidRPr="003D611A" w:rsidR="003D611A">
        <w:rPr>
          <w:szCs w:val="22"/>
        </w:rPr>
        <w:t xml:space="preserve"> to only </w:t>
      </w:r>
      <w:r w:rsidRPr="003D611A" w:rsidR="003D611A">
        <w:rPr>
          <w:szCs w:val="22"/>
        </w:rPr>
        <w:t>those analog channel</w:t>
      </w:r>
      <w:r w:rsidRPr="003D611A" w:rsidR="003D611A">
        <w:rPr>
          <w:szCs w:val="22"/>
        </w:rPr>
        <w:t xml:space="preserve"> 6 LPTV stations “currently operating” an analog FM radio-type service</w:t>
      </w:r>
      <w:r w:rsidR="003D611A">
        <w:rPr>
          <w:szCs w:val="22"/>
        </w:rPr>
        <w:t xml:space="preserve">?  </w:t>
      </w:r>
      <w:r w:rsidR="00803587">
        <w:rPr>
          <w:szCs w:val="22"/>
        </w:rPr>
        <w:t xml:space="preserve">How should we define the term “currently operating?”  Should </w:t>
      </w:r>
      <w:r w:rsidR="00583FE8">
        <w:rPr>
          <w:szCs w:val="22"/>
        </w:rPr>
        <w:t xml:space="preserve">“currently operating” </w:t>
      </w:r>
      <w:r w:rsidR="00803587">
        <w:rPr>
          <w:szCs w:val="22"/>
        </w:rPr>
        <w:t xml:space="preserve">be defined as an </w:t>
      </w:r>
      <w:r w:rsidR="00583FE8">
        <w:rPr>
          <w:szCs w:val="22"/>
        </w:rPr>
        <w:t>analog channel 6 LPTV station providing an analog FM radio-type service as of the release date of this Public Notice</w:t>
      </w:r>
      <w:r w:rsidR="00803587">
        <w:rPr>
          <w:szCs w:val="22"/>
        </w:rPr>
        <w:t>?</w:t>
      </w:r>
      <w:r w:rsidR="00583FE8">
        <w:rPr>
          <w:szCs w:val="22"/>
        </w:rPr>
        <w:t xml:space="preserve">  We seek comment on this proposal, other cut-off dates</w:t>
      </w:r>
      <w:r w:rsidR="00A20068">
        <w:rPr>
          <w:szCs w:val="22"/>
        </w:rPr>
        <w:t>,</w:t>
      </w:r>
      <w:r w:rsidR="00583FE8">
        <w:rPr>
          <w:szCs w:val="22"/>
        </w:rPr>
        <w:t xml:space="preserve"> or</w:t>
      </w:r>
      <w:r w:rsidR="00803587">
        <w:rPr>
          <w:szCs w:val="22"/>
        </w:rPr>
        <w:t xml:space="preserve"> </w:t>
      </w:r>
      <w:r w:rsidR="00A20068">
        <w:rPr>
          <w:szCs w:val="22"/>
        </w:rPr>
        <w:t xml:space="preserve">alternate </w:t>
      </w:r>
      <w:r w:rsidR="00220B8C">
        <w:rPr>
          <w:szCs w:val="22"/>
        </w:rPr>
        <w:t>ways</w:t>
      </w:r>
      <w:r w:rsidR="00583FE8">
        <w:rPr>
          <w:szCs w:val="22"/>
        </w:rPr>
        <w:t xml:space="preserve"> </w:t>
      </w:r>
      <w:r w:rsidR="00220B8C">
        <w:rPr>
          <w:szCs w:val="22"/>
        </w:rPr>
        <w:t xml:space="preserve">to </w:t>
      </w:r>
      <w:r w:rsidR="00583FE8">
        <w:rPr>
          <w:szCs w:val="22"/>
        </w:rPr>
        <w:t>limit eligibility.</w:t>
      </w:r>
    </w:p>
    <w:bookmarkEnd w:id="4"/>
    <w:p w:rsidR="00497EBE" w:rsidRPr="00497EBE" w:rsidP="00497EBE">
      <w:pPr>
        <w:widowControl w:val="0"/>
        <w:numPr>
          <w:ilvl w:val="0"/>
          <w:numId w:val="12"/>
        </w:numPr>
        <w:spacing w:after="220"/>
      </w:pPr>
      <w:r w:rsidRPr="00497EBE">
        <w:t>Channel 6 Commenters and PCPC also maintain that analog radio signal</w:t>
      </w:r>
      <w:r w:rsidR="00164117">
        <w:t>s</w:t>
      </w:r>
      <w:r w:rsidRPr="00497EBE">
        <w:t xml:space="preserve"> “can co-exist on the same 6 MHz channel as a digital [c]</w:t>
      </w:r>
      <w:r w:rsidRPr="00497EBE">
        <w:t>hannel</w:t>
      </w:r>
      <w:r w:rsidRPr="00497EBE">
        <w:t xml:space="preserve"> 6 LPTV station without harming TV or FM reception.”</w:t>
      </w:r>
      <w:r>
        <w:rPr>
          <w:vertAlign w:val="superscript"/>
        </w:rPr>
        <w:footnoteReference w:id="17"/>
      </w:r>
      <w:r w:rsidRPr="00497EBE">
        <w:t xml:space="preserve">  Channel 6 </w:t>
      </w:r>
      <w:r w:rsidRPr="00497EBE">
        <w:rPr>
          <w:szCs w:val="22"/>
        </w:rPr>
        <w:t>Commenters</w:t>
      </w:r>
      <w:r w:rsidRPr="00497EBE">
        <w:t xml:space="preserve"> argues that “</w:t>
      </w:r>
      <w:r w:rsidRPr="00497EBE">
        <w:rPr>
          <w:szCs w:val="22"/>
        </w:rPr>
        <w:t>no verifiable evidence has ever been produced showing that a channel 6 television station, operating within the lawful parameters of its license, causes harmful interference to an FM radio station.”</w:t>
      </w:r>
      <w:r>
        <w:rPr>
          <w:szCs w:val="22"/>
          <w:vertAlign w:val="superscript"/>
        </w:rPr>
        <w:footnoteReference w:id="18"/>
      </w:r>
      <w:r w:rsidRPr="00497EBE">
        <w:t xml:space="preserve">  PCPC recommends revising the rules so that, “if </w:t>
      </w:r>
      <w:r w:rsidRPr="00497EBE">
        <w:rPr>
          <w:szCs w:val="22"/>
        </w:rPr>
        <w:t>the operation of the LPTV station causes any actual interference to the transmission of any authorized FM broadcast station, the LPTV station should be required to eliminate the interference or immediately suspend operations.”</w:t>
      </w:r>
      <w:r>
        <w:rPr>
          <w:szCs w:val="22"/>
          <w:vertAlign w:val="superscript"/>
        </w:rPr>
        <w:footnoteReference w:id="19"/>
      </w:r>
      <w:r w:rsidRPr="00497EBE">
        <w:rPr>
          <w:szCs w:val="22"/>
        </w:rPr>
        <w:t xml:space="preserve">  Cal State disagrees and maintains that the Commission</w:t>
      </w:r>
      <w:r w:rsidR="00CC200A">
        <w:rPr>
          <w:szCs w:val="22"/>
        </w:rPr>
        <w:t>’</w:t>
      </w:r>
      <w:r w:rsidRPr="00497EBE">
        <w:rPr>
          <w:szCs w:val="22"/>
        </w:rPr>
        <w:t>s current rules ignore the potential for interference between LPTV channel 6 analog audio operations and FM radio stations which Cal State describes as “particularly objectionable since LPTV are left free to propose facilities that are predicted to cause interference to primary service FM radio stations, even though LPTV is a secondary service.”</w:t>
      </w:r>
      <w:r>
        <w:rPr>
          <w:szCs w:val="22"/>
          <w:vertAlign w:val="superscript"/>
        </w:rPr>
        <w:footnoteReference w:id="20"/>
      </w:r>
      <w:r w:rsidRPr="00497EBE">
        <w:rPr>
          <w:szCs w:val="22"/>
        </w:rPr>
        <w:t xml:space="preserve">  </w:t>
      </w:r>
      <w:r w:rsidRPr="00497EBE">
        <w:t>Cal State asks that the Commission obtain “much more detailed information” on this issue and adopt rules to protect other stations from interference.</w:t>
      </w:r>
      <w:r>
        <w:rPr>
          <w:vertAlign w:val="superscript"/>
        </w:rPr>
        <w:footnoteReference w:id="21"/>
      </w:r>
      <w:r w:rsidRPr="00497EBE">
        <w:t xml:space="preserve">  We seek comment on the question of whether analog FM-radio type services operated by digital LPTV channel 6 stations will cause impermissible interference to other services.  We request the submission of any more recent technical studies demonstrating the feasibility of transmitting analog audio signals within a digital television station’s spectrum.</w:t>
      </w:r>
    </w:p>
    <w:p w:rsidR="00497EBE" w:rsidRPr="00497EBE" w:rsidP="00497EBE">
      <w:pPr>
        <w:widowControl w:val="0"/>
        <w:numPr>
          <w:ilvl w:val="0"/>
          <w:numId w:val="12"/>
        </w:numPr>
        <w:spacing w:after="220"/>
      </w:pPr>
      <w:r>
        <w:t xml:space="preserve">The </w:t>
      </w:r>
      <w:r w:rsidRPr="001B6ED6">
        <w:t>Commission</w:t>
      </w:r>
      <w:r>
        <w:t xml:space="preserve"> rules </w:t>
      </w:r>
      <w:r w:rsidRPr="001B6ED6">
        <w:t>require</w:t>
      </w:r>
      <w:r>
        <w:t xml:space="preserve"> FM </w:t>
      </w:r>
      <w:r w:rsidRPr="001B6ED6">
        <w:t xml:space="preserve">stations proposing operations on FM reserved band channels 201 through 220 to protect television stations operating on </w:t>
      </w:r>
      <w:r>
        <w:t xml:space="preserve">TV channel </w:t>
      </w:r>
      <w:r w:rsidRPr="001B6ED6">
        <w:t>6.</w:t>
      </w:r>
      <w:r>
        <w:rPr>
          <w:vertAlign w:val="superscript"/>
        </w:rPr>
        <w:footnoteReference w:id="22"/>
      </w:r>
      <w:r>
        <w:t xml:space="preserve">  </w:t>
      </w:r>
      <w:r w:rsidR="00F53C79">
        <w:t>Commenters should n</w:t>
      </w:r>
      <w:r w:rsidRPr="00497EBE">
        <w:t xml:space="preserve">ote that the Commission </w:t>
      </w:r>
      <w:r>
        <w:t xml:space="preserve">in July 2019 adopted an </w:t>
      </w:r>
      <w:r w:rsidR="00F53C79">
        <w:t>Notice of Proposed Rulemaking</w:t>
      </w:r>
      <w:r>
        <w:t xml:space="preserve"> proposing </w:t>
      </w:r>
      <w:r w:rsidRPr="00497EBE">
        <w:t>elimination of the</w:t>
      </w:r>
      <w:r w:rsidR="0080453B">
        <w:t>se</w:t>
      </w:r>
      <w:r w:rsidRPr="00497EBE">
        <w:t xml:space="preserve"> protections entirely as of July 13, 2021 (the deadline for the digital LPTV transition) and adoption of a waiver process in the interim.</w:t>
      </w:r>
      <w:r>
        <w:rPr>
          <w:vertAlign w:val="superscript"/>
        </w:rPr>
        <w:footnoteReference w:id="23"/>
      </w:r>
      <w:r w:rsidRPr="00497EBE">
        <w:t xml:space="preserve">  The Commission acknowledged those analog LPTV </w:t>
      </w:r>
      <w:r w:rsidRPr="00497EBE">
        <w:t xml:space="preserve">channel 6 television stations providing FM radio type services and specifically sought comment on whether the proposed elimination of channel 6 television protection by </w:t>
      </w:r>
      <w:r w:rsidR="00227109">
        <w:t xml:space="preserve">FM </w:t>
      </w:r>
      <w:r w:rsidRPr="00497EBE">
        <w:t>radio stations would be compatible with LPTV audio operations on 87.7 MHz if such operations were allowed to continue.</w:t>
      </w:r>
      <w:r>
        <w:rPr>
          <w:vertAlign w:val="superscript"/>
        </w:rPr>
        <w:footnoteReference w:id="24"/>
      </w:r>
      <w:r w:rsidRPr="00497EBE">
        <w:t xml:space="preserve">  </w:t>
      </w:r>
    </w:p>
    <w:p w:rsidR="00BF46C5" w:rsidP="00865A73">
      <w:pPr>
        <w:widowControl w:val="0"/>
        <w:numPr>
          <w:ilvl w:val="0"/>
          <w:numId w:val="12"/>
        </w:numPr>
        <w:spacing w:after="220"/>
      </w:pPr>
      <w:r>
        <w:t>Finally</w:t>
      </w:r>
      <w:r w:rsidRPr="00497EBE" w:rsidR="00497EBE">
        <w:t xml:space="preserve">, given the passage of time since the </w:t>
      </w:r>
      <w:r w:rsidRPr="00497EBE" w:rsidR="00497EBE">
        <w:rPr>
          <w:i/>
        </w:rPr>
        <w:t xml:space="preserve">NPRM </w:t>
      </w:r>
      <w:r w:rsidRPr="00497EBE" w:rsidR="00497EBE">
        <w:t>was adopted</w:t>
      </w:r>
      <w:r w:rsidRPr="00497EBE" w:rsidR="00497EBE">
        <w:rPr>
          <w:i/>
        </w:rPr>
        <w:t xml:space="preserve">, </w:t>
      </w:r>
      <w:r w:rsidRPr="00497EBE" w:rsidR="00497EBE">
        <w:t xml:space="preserve">we seek comment on the remaining issues raised in the </w:t>
      </w:r>
      <w:r w:rsidRPr="00497EBE" w:rsidR="00497EBE">
        <w:rPr>
          <w:i/>
        </w:rPr>
        <w:t>NPRM</w:t>
      </w:r>
      <w:r w:rsidRPr="00497EBE" w:rsidR="00497EBE">
        <w:t>.  For example,</w:t>
      </w:r>
      <w:r w:rsidRPr="00A205E9" w:rsidR="00A205E9">
        <w:rPr>
          <w:color w:val="000000"/>
        </w:rPr>
        <w:t xml:space="preserve"> </w:t>
      </w:r>
      <w:r w:rsidR="00A205E9">
        <w:rPr>
          <w:color w:val="000000"/>
        </w:rPr>
        <w:t xml:space="preserve">as </w:t>
      </w:r>
      <w:r w:rsidR="00A205E9">
        <w:rPr>
          <w:color w:val="000000"/>
          <w:szCs w:val="22"/>
        </w:rPr>
        <w:t xml:space="preserve">required </w:t>
      </w:r>
      <w:r w:rsidR="00A205E9">
        <w:rPr>
          <w:color w:val="000000"/>
        </w:rPr>
        <w:t xml:space="preserve">by Section 336(b)(1) of the Act, is </w:t>
      </w:r>
      <w:r w:rsidR="00430C81">
        <w:rPr>
          <w:color w:val="000000"/>
        </w:rPr>
        <w:t xml:space="preserve">use of digital </w:t>
      </w:r>
      <w:r w:rsidRPr="00497EBE" w:rsidR="00430C81">
        <w:t xml:space="preserve">LPTV channel 6 </w:t>
      </w:r>
      <w:r w:rsidR="00430C81">
        <w:t xml:space="preserve">for </w:t>
      </w:r>
      <w:r w:rsidR="00A205E9">
        <w:rPr>
          <w:color w:val="000000"/>
        </w:rPr>
        <w:t xml:space="preserve">an </w:t>
      </w:r>
      <w:r w:rsidR="00A205E9">
        <w:t>analog service “</w:t>
      </w:r>
      <w:r w:rsidRPr="00723F78" w:rsidR="00A205E9">
        <w:rPr>
          <w:color w:val="000000"/>
          <w:szCs w:val="22"/>
        </w:rPr>
        <w:t>consistent with the technology or method designated by the Commission</w:t>
      </w:r>
      <w:r w:rsidR="00A205E9">
        <w:rPr>
          <w:color w:val="000000"/>
        </w:rPr>
        <w:t xml:space="preserve"> </w:t>
      </w:r>
      <w:r w:rsidRPr="00723F78" w:rsidR="00A205E9">
        <w:rPr>
          <w:color w:val="000000"/>
          <w:szCs w:val="22"/>
        </w:rPr>
        <w:t>for the provision of advanced television services</w:t>
      </w:r>
      <w:r w:rsidR="00A205E9">
        <w:rPr>
          <w:color w:val="000000"/>
          <w:szCs w:val="22"/>
        </w:rPr>
        <w:t>”</w:t>
      </w:r>
      <w:r w:rsidR="00430C81">
        <w:rPr>
          <w:color w:val="000000"/>
          <w:szCs w:val="22"/>
        </w:rPr>
        <w:t>?</w:t>
      </w:r>
      <w:r>
        <w:rPr>
          <w:rStyle w:val="FootnoteReference"/>
          <w:szCs w:val="22"/>
        </w:rPr>
        <w:footnoteReference w:id="25"/>
      </w:r>
      <w:r w:rsidR="00F23268">
        <w:rPr>
          <w:color w:val="000000"/>
        </w:rPr>
        <w:t xml:space="preserve">  We seek comment on how </w:t>
      </w:r>
      <w:r w:rsidR="00A205E9">
        <w:t xml:space="preserve">an ancillary </w:t>
      </w:r>
      <w:r w:rsidR="00015822">
        <w:t xml:space="preserve">or supplementary </w:t>
      </w:r>
      <w:r w:rsidR="00A205E9">
        <w:t xml:space="preserve">analog service </w:t>
      </w:r>
      <w:r w:rsidR="00F23268">
        <w:t xml:space="preserve">is </w:t>
      </w:r>
      <w:r w:rsidR="00A205E9">
        <w:t>“consistent with”</w:t>
      </w:r>
      <w:r w:rsidR="00430C81">
        <w:t xml:space="preserve"> digital technology</w:t>
      </w:r>
      <w:r w:rsidR="00F23268">
        <w:t>.</w:t>
      </w:r>
      <w:r w:rsidRPr="00497EBE" w:rsidR="00497EBE">
        <w:t xml:space="preserve"> </w:t>
      </w:r>
      <w:r w:rsidR="00A205E9">
        <w:t xml:space="preserve"> </w:t>
      </w:r>
      <w:r w:rsidR="00962E48">
        <w:t>I</w:t>
      </w:r>
      <w:r w:rsidRPr="00497EBE" w:rsidR="00497EBE">
        <w:t xml:space="preserve">f </w:t>
      </w:r>
      <w:r w:rsidR="007C2413">
        <w:t>the Commission</w:t>
      </w:r>
      <w:r w:rsidRPr="00497EBE" w:rsidR="00497EBE">
        <w:t xml:space="preserve"> decide</w:t>
      </w:r>
      <w:r w:rsidR="007C2413">
        <w:t>s</w:t>
      </w:r>
      <w:r w:rsidRPr="00497EBE" w:rsidR="00497EBE">
        <w:t xml:space="preserve"> to permit analog FM radio-type operations by </w:t>
      </w:r>
      <w:r w:rsidR="00962E48">
        <w:t xml:space="preserve">digital </w:t>
      </w:r>
      <w:r w:rsidRPr="00497EBE" w:rsidR="00497EBE">
        <w:t>LPTV stations on an ancillary or supplementary basis, we seek comment on whether such operations should be subject to the Part 73 rules applicable to FM radio stations.</w:t>
      </w:r>
      <w:r>
        <w:rPr>
          <w:vertAlign w:val="superscript"/>
        </w:rPr>
        <w:footnoteReference w:id="26"/>
      </w:r>
      <w:r w:rsidRPr="00497EBE" w:rsidR="00497EBE">
        <w:t xml:space="preserve">  Should channel 6 </w:t>
      </w:r>
      <w:r w:rsidR="00962E48">
        <w:t xml:space="preserve">digital </w:t>
      </w:r>
      <w:r w:rsidRPr="00497EBE" w:rsidR="00497EBE">
        <w:t xml:space="preserve">LPTV stations authorized to provide </w:t>
      </w:r>
      <w:r w:rsidR="00FF7A45">
        <w:t xml:space="preserve">analog </w:t>
      </w:r>
      <w:r w:rsidRPr="00497EBE" w:rsidR="00497EBE">
        <w:t xml:space="preserve">FM radio-type operations be </w:t>
      </w:r>
      <w:r w:rsidR="003E1438">
        <w:t xml:space="preserve">prohibited from </w:t>
      </w:r>
      <w:r w:rsidRPr="00497EBE" w:rsidR="00497EBE">
        <w:t>transfer</w:t>
      </w:r>
      <w:r w:rsidR="003E1438">
        <w:t>ring</w:t>
      </w:r>
      <w:r w:rsidRPr="00497EBE" w:rsidR="00497EBE">
        <w:t xml:space="preserve"> </w:t>
      </w:r>
      <w:r w:rsidR="00962E48">
        <w:t>such</w:t>
      </w:r>
      <w:r w:rsidRPr="00497EBE" w:rsidR="00497EBE">
        <w:t xml:space="preserve"> authorization </w:t>
      </w:r>
      <w:r w:rsidR="003E1438">
        <w:t xml:space="preserve">and </w:t>
      </w:r>
      <w:r w:rsidRPr="00497EBE" w:rsidR="00497EBE">
        <w:t>should the right to continue the analog operation terminate with an assignment or transfer?</w:t>
      </w:r>
    </w:p>
    <w:p w:rsidR="00497EBE" w:rsidRPr="00497EBE" w:rsidP="00BF46C5">
      <w:pPr>
        <w:widowControl w:val="0"/>
        <w:numPr>
          <w:ilvl w:val="0"/>
          <w:numId w:val="12"/>
        </w:numPr>
        <w:spacing w:after="220"/>
      </w:pPr>
      <w:r>
        <w:t xml:space="preserve">In addition, we seek further </w:t>
      </w:r>
      <w:r w:rsidRPr="00497EBE">
        <w:t>comment on whether the provision of an analog FM radio-type service on an ancillary or supplementary basis should be subject to a five percent fee on revenues generated by such service.</w:t>
      </w:r>
      <w:r>
        <w:rPr>
          <w:vertAlign w:val="superscript"/>
        </w:rPr>
        <w:footnoteReference w:id="27"/>
      </w:r>
      <w:r w:rsidRPr="00497EBE">
        <w:t xml:space="preserve">  Channel 6 Commenters maintains that “a supplementary 87.7 MHz audio signal qualifies as an ancillary service, which entitles the government to 5% of its revenue.”</w:t>
      </w:r>
      <w:r>
        <w:rPr>
          <w:vertAlign w:val="superscript"/>
        </w:rPr>
        <w:footnoteReference w:id="28"/>
      </w:r>
    </w:p>
    <w:p w:rsidR="00750964" w:rsidRPr="00750964" w:rsidP="00497EBE">
      <w:pPr>
        <w:widowControl w:val="0"/>
        <w:numPr>
          <w:ilvl w:val="0"/>
          <w:numId w:val="12"/>
        </w:numPr>
        <w:spacing w:after="220"/>
        <w:rPr>
          <w:b/>
          <w:szCs w:val="22"/>
        </w:rPr>
      </w:pPr>
      <w:r w:rsidRPr="00497EBE">
        <w:rPr>
          <w:szCs w:val="22"/>
        </w:rPr>
        <w:t xml:space="preserve">  </w:t>
      </w:r>
      <w:r w:rsidRPr="00EA4071">
        <w:rPr>
          <w:i/>
        </w:rPr>
        <w:t>Initial Regulatory Flexibility Act Analysis</w:t>
      </w:r>
      <w:r>
        <w:rPr>
          <w:i/>
        </w:rPr>
        <w:t xml:space="preserve">.  </w:t>
      </w:r>
      <w:r w:rsidRPr="0059067A">
        <w:t xml:space="preserve">The NPRM included </w:t>
      </w:r>
      <w:r>
        <w:t xml:space="preserve">an </w:t>
      </w:r>
      <w:r w:rsidRPr="0059067A">
        <w:t>Initial Regulatory Flexibility Analys</w:t>
      </w:r>
      <w:r>
        <w:t>i</w:t>
      </w:r>
      <w:r w:rsidRPr="0059067A">
        <w:t>s (IRFA) pursuant to </w:t>
      </w:r>
      <w:r w:rsidRPr="00EA4071">
        <w:t>5 U.S.C. § 603</w:t>
      </w:r>
      <w:r w:rsidRPr="0059067A">
        <w:t>, exploring the potential impact on small entities of the Commission</w:t>
      </w:r>
      <w:r>
        <w:t>’</w:t>
      </w:r>
      <w:r w:rsidRPr="0059067A">
        <w:t>s proposal</w:t>
      </w:r>
      <w:r>
        <w:t>s</w:t>
      </w:r>
      <w:r w:rsidRPr="0059067A">
        <w:t>.</w:t>
      </w:r>
      <w:r>
        <w:rPr>
          <w:rStyle w:val="FootnoteReference"/>
        </w:rPr>
        <w:footnoteReference w:id="29"/>
      </w:r>
      <w:r>
        <w:t xml:space="preserve">  </w:t>
      </w:r>
      <w:r w:rsidRPr="0059067A">
        <w:t xml:space="preserve">We invite parties to file comments on the IRFA </w:t>
      </w:r>
      <w:r w:rsidRPr="0059067A">
        <w:t>in light of</w:t>
      </w:r>
      <w:r w:rsidRPr="0059067A">
        <w:t xml:space="preserve"> this request to refresh the record</w:t>
      </w:r>
      <w:r>
        <w:t>.</w:t>
      </w:r>
    </w:p>
    <w:p w:rsidR="00497EBE" w:rsidRPr="00497EBE" w:rsidP="00497EBE">
      <w:pPr>
        <w:widowControl w:val="0"/>
        <w:numPr>
          <w:ilvl w:val="0"/>
          <w:numId w:val="12"/>
        </w:numPr>
        <w:spacing w:after="220"/>
        <w:rPr>
          <w:b/>
          <w:szCs w:val="22"/>
        </w:rPr>
      </w:pPr>
      <w:r w:rsidRPr="00497EBE">
        <w:rPr>
          <w:i/>
          <w:szCs w:val="22"/>
        </w:rPr>
        <w:t xml:space="preserve">Ex </w:t>
      </w:r>
      <w:r w:rsidRPr="00497EBE">
        <w:rPr>
          <w:i/>
          <w:szCs w:val="22"/>
        </w:rPr>
        <w:t>Parte</w:t>
      </w:r>
      <w:r w:rsidRPr="00497EBE">
        <w:rPr>
          <w:i/>
          <w:szCs w:val="22"/>
        </w:rPr>
        <w:t xml:space="preserve"> Rules</w:t>
      </w:r>
      <w:r w:rsidRPr="00497EBE">
        <w:rPr>
          <w:szCs w:val="22"/>
        </w:rPr>
        <w:t xml:space="preserve"> - </w:t>
      </w:r>
      <w:r w:rsidRPr="00497EBE">
        <w:rPr>
          <w:i/>
          <w:snapToGrid w:val="0"/>
          <w:kern w:val="28"/>
        </w:rPr>
        <w:t>Permit-But-Disclose</w:t>
      </w:r>
      <w:r w:rsidRPr="00497EBE">
        <w:rPr>
          <w:snapToGrid w:val="0"/>
          <w:kern w:val="28"/>
        </w:rPr>
        <w:t xml:space="preserve">.  This proceeding shall be treated as a “permit-but-disclose” proceeding in accordance with the Commission’s </w:t>
      </w:r>
      <w:r w:rsidRPr="00497EBE">
        <w:rPr>
          <w:i/>
          <w:iCs/>
          <w:snapToGrid w:val="0"/>
          <w:kern w:val="28"/>
        </w:rPr>
        <w:t xml:space="preserve">ex </w:t>
      </w:r>
      <w:r w:rsidRPr="00497EBE">
        <w:rPr>
          <w:i/>
          <w:iCs/>
          <w:snapToGrid w:val="0"/>
          <w:kern w:val="28"/>
        </w:rPr>
        <w:t>parte</w:t>
      </w:r>
      <w:r w:rsidRPr="00497EBE">
        <w:rPr>
          <w:i/>
          <w:iCs/>
          <w:snapToGrid w:val="0"/>
          <w:kern w:val="28"/>
        </w:rPr>
        <w:t xml:space="preserve"> </w:t>
      </w:r>
      <w:r w:rsidRPr="00497EBE">
        <w:rPr>
          <w:snapToGrid w:val="0"/>
          <w:kern w:val="28"/>
        </w:rPr>
        <w:t>rules.</w:t>
      </w:r>
      <w:r>
        <w:rPr>
          <w:snapToGrid w:val="0"/>
          <w:vertAlign w:val="superscript"/>
        </w:rPr>
        <w:footnoteReference w:id="30"/>
      </w:r>
      <w:r w:rsidRPr="00497EBE">
        <w:rPr>
          <w:snapToGrid w:val="0"/>
          <w:kern w:val="28"/>
        </w:rPr>
        <w:t xml:space="preserve">  Persons making </w:t>
      </w:r>
      <w:r w:rsidRPr="00497EBE">
        <w:rPr>
          <w:i/>
          <w:snapToGrid w:val="0"/>
          <w:kern w:val="28"/>
        </w:rPr>
        <w:t xml:space="preserve">ex </w:t>
      </w:r>
      <w:r w:rsidRPr="00497EBE">
        <w:rPr>
          <w:i/>
          <w:snapToGrid w:val="0"/>
          <w:kern w:val="28"/>
        </w:rPr>
        <w:t>parte</w:t>
      </w:r>
      <w:r w:rsidRPr="00497EBE">
        <w:rPr>
          <w:i/>
          <w:snapToGrid w:val="0"/>
          <w:kern w:val="28"/>
        </w:rPr>
        <w:t xml:space="preserve"> </w:t>
      </w:r>
      <w:r w:rsidRPr="00497EBE">
        <w:rPr>
          <w:snapToGrid w:val="0"/>
          <w:kern w:val="28"/>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97EBE">
        <w:rPr>
          <w:i/>
          <w:iCs/>
          <w:snapToGrid w:val="0"/>
          <w:kern w:val="28"/>
        </w:rPr>
        <w:t xml:space="preserve">ex </w:t>
      </w:r>
      <w:r w:rsidRPr="00497EBE">
        <w:rPr>
          <w:i/>
          <w:iCs/>
          <w:snapToGrid w:val="0"/>
          <w:kern w:val="28"/>
        </w:rPr>
        <w:t>parte</w:t>
      </w:r>
      <w:r w:rsidRPr="00497EBE">
        <w:rPr>
          <w:i/>
          <w:iCs/>
          <w:snapToGrid w:val="0"/>
          <w:kern w:val="28"/>
        </w:rPr>
        <w:t xml:space="preserve"> </w:t>
      </w:r>
      <w:r w:rsidRPr="00497EBE">
        <w:rPr>
          <w:snapToGrid w:val="0"/>
          <w:kern w:val="28"/>
        </w:rPr>
        <w:t xml:space="preserve">presentations are reminded that memoranda </w:t>
      </w:r>
      <w:r w:rsidRPr="00497EBE">
        <w:rPr>
          <w:snapToGrid w:val="0"/>
          <w:kern w:val="28"/>
        </w:rPr>
        <w:t xml:space="preserve">summarizing the presentation must (1) list all persons attending or otherwise participating in the meeting at which the </w:t>
      </w:r>
      <w:r w:rsidRPr="00497EBE">
        <w:rPr>
          <w:i/>
          <w:iCs/>
          <w:snapToGrid w:val="0"/>
          <w:kern w:val="28"/>
        </w:rPr>
        <w:t xml:space="preserve">ex </w:t>
      </w:r>
      <w:r w:rsidRPr="00497EBE">
        <w:rPr>
          <w:i/>
          <w:iCs/>
          <w:snapToGrid w:val="0"/>
          <w:kern w:val="28"/>
        </w:rPr>
        <w:t>parte</w:t>
      </w:r>
      <w:r w:rsidRPr="00497EBE">
        <w:rPr>
          <w:i/>
          <w:iCs/>
          <w:snapToGrid w:val="0"/>
          <w:kern w:val="28"/>
        </w:rPr>
        <w:t xml:space="preserve"> </w:t>
      </w:r>
      <w:r w:rsidRPr="00497EBE">
        <w:rPr>
          <w:snapToGrid w:val="0"/>
          <w:kern w:val="28"/>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97EBE">
        <w:rPr>
          <w:i/>
          <w:iCs/>
          <w:snapToGrid w:val="0"/>
          <w:kern w:val="28"/>
        </w:rPr>
        <w:t xml:space="preserve">ex </w:t>
      </w:r>
      <w:r w:rsidRPr="00497EBE">
        <w:rPr>
          <w:i/>
          <w:iCs/>
          <w:snapToGrid w:val="0"/>
          <w:kern w:val="28"/>
        </w:rPr>
        <w:t>parte</w:t>
      </w:r>
      <w:r w:rsidRPr="00497EBE">
        <w:rPr>
          <w:i/>
          <w:iCs/>
          <w:snapToGrid w:val="0"/>
          <w:kern w:val="28"/>
        </w:rPr>
        <w:t xml:space="preserve"> </w:t>
      </w:r>
      <w:r w:rsidRPr="00497EBE">
        <w:rPr>
          <w:snapToGrid w:val="0"/>
          <w:kern w:val="28"/>
        </w:rPr>
        <w:t xml:space="preserve">meetings are deemed to be written </w:t>
      </w:r>
      <w:r w:rsidRPr="00497EBE">
        <w:rPr>
          <w:i/>
          <w:iCs/>
          <w:snapToGrid w:val="0"/>
          <w:kern w:val="28"/>
        </w:rPr>
        <w:t xml:space="preserve">ex </w:t>
      </w:r>
      <w:r w:rsidRPr="00497EBE">
        <w:rPr>
          <w:i/>
          <w:iCs/>
          <w:snapToGrid w:val="0"/>
          <w:kern w:val="28"/>
        </w:rPr>
        <w:t>parte</w:t>
      </w:r>
      <w:r w:rsidRPr="00497EBE">
        <w:rPr>
          <w:snapToGrid w:val="0"/>
          <w:kern w:val="28"/>
        </w:rPr>
        <w:t xml:space="preserve"> presentations and must be filed consistent with rule 1.1206(b).  In proceedings governed by rule 1.49(f) or for which the Commission has made available a method of electronic filing, written </w:t>
      </w:r>
      <w:r w:rsidRPr="00497EBE">
        <w:rPr>
          <w:i/>
          <w:iCs/>
          <w:snapToGrid w:val="0"/>
          <w:kern w:val="28"/>
        </w:rPr>
        <w:t xml:space="preserve">ex </w:t>
      </w:r>
      <w:r w:rsidRPr="00497EBE">
        <w:rPr>
          <w:i/>
          <w:iCs/>
          <w:snapToGrid w:val="0"/>
          <w:kern w:val="28"/>
        </w:rPr>
        <w:t>parte</w:t>
      </w:r>
      <w:r w:rsidRPr="00497EBE">
        <w:rPr>
          <w:i/>
          <w:iCs/>
          <w:snapToGrid w:val="0"/>
          <w:kern w:val="28"/>
        </w:rPr>
        <w:t xml:space="preserve"> </w:t>
      </w:r>
      <w:r w:rsidRPr="00497EBE">
        <w:rPr>
          <w:snapToGrid w:val="0"/>
          <w:kern w:val="28"/>
        </w:rPr>
        <w:t xml:space="preserve">presentations and memoranda summarizing oral </w:t>
      </w:r>
      <w:r w:rsidRPr="00497EBE">
        <w:rPr>
          <w:i/>
          <w:iCs/>
          <w:snapToGrid w:val="0"/>
          <w:kern w:val="28"/>
        </w:rPr>
        <w:t xml:space="preserve">ex </w:t>
      </w:r>
      <w:r w:rsidRPr="00497EBE">
        <w:rPr>
          <w:i/>
          <w:iCs/>
          <w:snapToGrid w:val="0"/>
          <w:kern w:val="28"/>
        </w:rPr>
        <w:t>parte</w:t>
      </w:r>
      <w:r w:rsidRPr="00497EBE">
        <w:rPr>
          <w:i/>
          <w:iCs/>
          <w:snapToGrid w:val="0"/>
          <w:kern w:val="28"/>
        </w:rPr>
        <w:t xml:space="preserve"> </w:t>
      </w:r>
      <w:r w:rsidRPr="00497EBE">
        <w:rPr>
          <w:snapToGrid w:val="0"/>
          <w:kern w:val="28"/>
        </w:rPr>
        <w:t>presentations, and all attachments thereto, must be filed through the electronic comment filing system available for that proceeding, and must be filed in their native format (</w:t>
      </w:r>
      <w:r w:rsidRPr="00497EBE">
        <w:rPr>
          <w:i/>
          <w:iCs/>
          <w:snapToGrid w:val="0"/>
          <w:kern w:val="28"/>
        </w:rPr>
        <w:t>e.g.</w:t>
      </w:r>
      <w:r w:rsidRPr="00497EBE">
        <w:rPr>
          <w:snapToGrid w:val="0"/>
          <w:kern w:val="28"/>
        </w:rPr>
        <w:t xml:space="preserve">, .doc, .xml, .ppt, searchable.pdf).  Participants in this proceeding should familiarize themselves with the Commission’s </w:t>
      </w:r>
      <w:r w:rsidRPr="00497EBE">
        <w:rPr>
          <w:i/>
          <w:iCs/>
          <w:snapToGrid w:val="0"/>
          <w:kern w:val="28"/>
        </w:rPr>
        <w:t xml:space="preserve">ex </w:t>
      </w:r>
      <w:r w:rsidRPr="00497EBE">
        <w:rPr>
          <w:i/>
          <w:iCs/>
          <w:snapToGrid w:val="0"/>
          <w:kern w:val="28"/>
        </w:rPr>
        <w:t>parte</w:t>
      </w:r>
      <w:r w:rsidRPr="00497EBE">
        <w:rPr>
          <w:i/>
          <w:iCs/>
          <w:snapToGrid w:val="0"/>
          <w:kern w:val="28"/>
        </w:rPr>
        <w:t xml:space="preserve"> </w:t>
      </w:r>
      <w:r w:rsidRPr="00497EBE">
        <w:rPr>
          <w:snapToGrid w:val="0"/>
          <w:kern w:val="28"/>
        </w:rPr>
        <w:t>rules.</w:t>
      </w:r>
    </w:p>
    <w:p w:rsidR="00497EBE" w:rsidRPr="00497EBE" w:rsidP="00497EBE">
      <w:pPr>
        <w:widowControl w:val="0"/>
        <w:numPr>
          <w:ilvl w:val="0"/>
          <w:numId w:val="12"/>
        </w:numPr>
        <w:spacing w:after="220"/>
        <w:rPr>
          <w:b/>
          <w:szCs w:val="22"/>
        </w:rPr>
      </w:pPr>
      <w:r w:rsidRPr="00497EBE">
        <w:rPr>
          <w:snapToGrid w:val="0"/>
          <w:kern w:val="28"/>
        </w:rPr>
        <w:t xml:space="preserve"> </w:t>
      </w:r>
      <w:r w:rsidRPr="00497EBE">
        <w:rPr>
          <w:i/>
          <w:snapToGrid w:val="0"/>
          <w:kern w:val="28"/>
        </w:rPr>
        <w:t>Filing Comments and Replies</w:t>
      </w:r>
      <w:r w:rsidRPr="00497EBE">
        <w:rPr>
          <w:snapToGrid w:val="0"/>
          <w:kern w:val="28"/>
        </w:rPr>
        <w:t xml:space="preserve">.  </w:t>
      </w:r>
      <w:r w:rsidRPr="00497EBE">
        <w:rPr>
          <w:b/>
          <w:szCs w:val="22"/>
        </w:rPr>
        <w:t>All filings must be submitted in MB Docket No. 03-185</w:t>
      </w:r>
      <w:r w:rsidRPr="00497EBE">
        <w:rPr>
          <w:szCs w:val="22"/>
        </w:rPr>
        <w:t xml:space="preserve">.  </w:t>
      </w:r>
      <w:r w:rsidRPr="00497EBE">
        <w:rPr>
          <w:snapToGrid w:val="0"/>
          <w:kern w:val="28"/>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497EBE">
        <w:rPr>
          <w:i/>
          <w:snapToGrid w:val="0"/>
          <w:kern w:val="28"/>
        </w:rPr>
        <w:t>See Electronic Filing of Documents in Rulemaking Proceedings</w:t>
      </w:r>
      <w:r w:rsidRPr="00497EBE">
        <w:rPr>
          <w:snapToGrid w:val="0"/>
          <w:kern w:val="28"/>
        </w:rPr>
        <w:t>, 63 FR 24121 (1998).</w:t>
      </w:r>
    </w:p>
    <w:p w:rsidR="00497EBE" w:rsidRPr="00497EBE" w:rsidP="00497EBE">
      <w:pPr>
        <w:widowControl w:val="0"/>
        <w:numPr>
          <w:ilvl w:val="0"/>
          <w:numId w:val="18"/>
        </w:numPr>
        <w:spacing w:after="120"/>
        <w:rPr>
          <w:snapToGrid w:val="0"/>
          <w:kern w:val="28"/>
        </w:rPr>
      </w:pPr>
      <w:r w:rsidRPr="00497EBE">
        <w:rPr>
          <w:snapToGrid w:val="0"/>
          <w:kern w:val="28"/>
        </w:rPr>
        <w:t xml:space="preserve">Electronic Filers:  Comments may be filed electronically using the Internet by accessing the ECFS:  http://fjallfoss.fcc.gov/ecfs2/.  </w:t>
      </w:r>
    </w:p>
    <w:p w:rsidR="00497EBE" w:rsidRPr="00497EBE" w:rsidP="00497EBE">
      <w:pPr>
        <w:widowControl w:val="0"/>
        <w:numPr>
          <w:ilvl w:val="0"/>
          <w:numId w:val="16"/>
        </w:numPr>
        <w:spacing w:after="120"/>
        <w:rPr>
          <w:snapToGrid w:val="0"/>
          <w:kern w:val="28"/>
        </w:rPr>
      </w:pPr>
      <w:r w:rsidRPr="00497EBE">
        <w:rPr>
          <w:snapToGrid w:val="0"/>
          <w:kern w:val="28"/>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497EBE" w:rsidRPr="00497EBE" w:rsidP="00497EBE">
      <w:pPr>
        <w:widowControl w:val="0"/>
        <w:numPr>
          <w:ilvl w:val="0"/>
          <w:numId w:val="16"/>
        </w:numPr>
        <w:spacing w:after="120"/>
        <w:rPr>
          <w:snapToGrid w:val="0"/>
          <w:kern w:val="28"/>
        </w:rPr>
      </w:pPr>
      <w:r w:rsidRPr="00497EBE">
        <w:rPr>
          <w:snapToGrid w:val="0"/>
          <w:kern w:val="28"/>
        </w:rPr>
        <w:t>Filings can be sent by hand or messenger delivery, by commercial overnight courier, or by first-class or overnight U.S. Postal Service mail.  All filings must be addressed to the Commission’s Secretary, Office of the Secretary, Federal Communications Commission.</w:t>
      </w:r>
    </w:p>
    <w:p w:rsidR="00497EBE" w:rsidRPr="00497EBE" w:rsidP="00497EBE">
      <w:pPr>
        <w:widowControl w:val="0"/>
        <w:numPr>
          <w:ilvl w:val="0"/>
          <w:numId w:val="17"/>
        </w:numPr>
        <w:spacing w:after="120"/>
        <w:rPr>
          <w:snapToGrid w:val="0"/>
          <w:kern w:val="28"/>
        </w:rPr>
      </w:pPr>
      <w:r w:rsidRPr="00497EBE">
        <w:rPr>
          <w:snapToGrid w:val="0"/>
          <w:kern w:val="28"/>
        </w:rPr>
        <w:t>All hand-delivered or messenger-delivered paper filings for the Commission’s Secretary must be delivered to FCC Headquarters at 445 12</w:t>
      </w:r>
      <w:r w:rsidRPr="00497EBE">
        <w:rPr>
          <w:snapToGrid w:val="0"/>
          <w:kern w:val="28"/>
          <w:vertAlign w:val="superscript"/>
        </w:rPr>
        <w:t>th</w:t>
      </w:r>
      <w:r w:rsidRPr="00497EBE">
        <w:rPr>
          <w:snapToGrid w:val="0"/>
          <w:kern w:val="28"/>
        </w:rPr>
        <w:t xml:space="preserve"> St., SW, Room TW-A325, Washington, DC 20554.  The filing hours are 8:00 a.m. to 7:00 p.m.  All hand deliveries must be held together with rubber bands or fasteners.  Any envelopes and boxes must be disposed of </w:t>
      </w:r>
      <w:r w:rsidRPr="00497EBE">
        <w:rPr>
          <w:snapToGrid w:val="0"/>
          <w:kern w:val="28"/>
          <w:u w:val="single"/>
        </w:rPr>
        <w:t>before</w:t>
      </w:r>
      <w:r w:rsidRPr="00497EBE">
        <w:rPr>
          <w:snapToGrid w:val="0"/>
          <w:kern w:val="28"/>
        </w:rPr>
        <w:t xml:space="preserve"> entering the building.  </w:t>
      </w:r>
    </w:p>
    <w:p w:rsidR="00497EBE" w:rsidRPr="00497EBE" w:rsidP="00497EBE">
      <w:pPr>
        <w:widowControl w:val="0"/>
        <w:numPr>
          <w:ilvl w:val="0"/>
          <w:numId w:val="17"/>
        </w:numPr>
        <w:spacing w:after="120"/>
        <w:rPr>
          <w:snapToGrid w:val="0"/>
          <w:kern w:val="28"/>
        </w:rPr>
      </w:pPr>
      <w:r w:rsidRPr="00497EBE">
        <w:rPr>
          <w:snapToGrid w:val="0"/>
          <w:kern w:val="28"/>
        </w:rPr>
        <w:t>Commercial overnight mail (other than U.S. Postal Service Express Mail and Priority Mail) must be sent to 9050 Junction Drive, Annapolis Junction, MD 20701.</w:t>
      </w:r>
    </w:p>
    <w:p w:rsidR="00497EBE" w:rsidRPr="00497EBE" w:rsidP="00497EBE">
      <w:pPr>
        <w:widowControl w:val="0"/>
        <w:numPr>
          <w:ilvl w:val="0"/>
          <w:numId w:val="17"/>
        </w:numPr>
        <w:spacing w:after="120"/>
        <w:rPr>
          <w:snapToGrid w:val="0"/>
          <w:kern w:val="28"/>
        </w:rPr>
      </w:pPr>
      <w:r w:rsidRPr="00497EBE">
        <w:rPr>
          <w:snapToGrid w:val="0"/>
          <w:kern w:val="28"/>
        </w:rPr>
        <w:t>U.S. Postal Service first-class, Express, and Priority mail must be addressed to 445 12</w:t>
      </w:r>
      <w:r w:rsidRPr="00497EBE">
        <w:rPr>
          <w:snapToGrid w:val="0"/>
          <w:kern w:val="28"/>
          <w:vertAlign w:val="superscript"/>
        </w:rPr>
        <w:t>th</w:t>
      </w:r>
      <w:r w:rsidRPr="00497EBE">
        <w:rPr>
          <w:snapToGrid w:val="0"/>
          <w:kern w:val="28"/>
        </w:rPr>
        <w:t xml:space="preserve"> Street, SW, Washington DC  20554.</w:t>
      </w:r>
    </w:p>
    <w:p w:rsidR="00497EBE" w:rsidRPr="00497EBE" w:rsidP="00497EBE">
      <w:pPr>
        <w:widowControl w:val="0"/>
        <w:numPr>
          <w:ilvl w:val="0"/>
          <w:numId w:val="12"/>
        </w:numPr>
        <w:spacing w:after="220"/>
        <w:rPr>
          <w:b/>
          <w:szCs w:val="22"/>
        </w:rPr>
      </w:pPr>
      <w:r w:rsidRPr="00497EBE">
        <w:rPr>
          <w:i/>
          <w:snapToGrid w:val="0"/>
          <w:kern w:val="28"/>
        </w:rPr>
        <w:t>Availability of Documents</w:t>
      </w:r>
      <w:r w:rsidRPr="00497EBE">
        <w:rPr>
          <w:snapToGrid w:val="0"/>
          <w:kern w:val="28"/>
        </w:rPr>
        <w:t xml:space="preserve">.  Comments, reply comments, and </w:t>
      </w:r>
      <w:r w:rsidRPr="00497EBE">
        <w:rPr>
          <w:i/>
          <w:snapToGrid w:val="0"/>
          <w:kern w:val="28"/>
        </w:rPr>
        <w:t xml:space="preserve">ex </w:t>
      </w:r>
      <w:r w:rsidRPr="00497EBE">
        <w:rPr>
          <w:i/>
          <w:snapToGrid w:val="0"/>
          <w:kern w:val="28"/>
        </w:rPr>
        <w:t>parte</w:t>
      </w:r>
      <w:r w:rsidRPr="00497EBE">
        <w:rPr>
          <w:snapToGrid w:val="0"/>
          <w:kern w:val="28"/>
        </w:rPr>
        <w:t xml:space="preserve"> submissions will be available for public inspection during regular business hours in the FCC Reference Center, Federal Communications Commission, 445 12</w:t>
      </w:r>
      <w:r w:rsidRPr="00497EBE">
        <w:rPr>
          <w:snapToGrid w:val="0"/>
          <w:kern w:val="28"/>
          <w:vertAlign w:val="superscript"/>
        </w:rPr>
        <w:t>th</w:t>
      </w:r>
      <w:r w:rsidRPr="00497EBE">
        <w:rPr>
          <w:snapToGrid w:val="0"/>
          <w:kern w:val="28"/>
        </w:rPr>
        <w:t xml:space="preserve"> Street, S.W., CY-A257, Washington, D.C. 20554.  These documents will also be available via ECFS.  Documents will be available electronically in ASCII, Microsoft Word, and/or Adobe Acrobat.</w:t>
      </w:r>
    </w:p>
    <w:p w:rsidR="00497EBE" w:rsidRPr="00497EBE" w:rsidP="00497EBE">
      <w:pPr>
        <w:widowControl w:val="0"/>
        <w:numPr>
          <w:ilvl w:val="0"/>
          <w:numId w:val="12"/>
        </w:numPr>
        <w:spacing w:after="220"/>
        <w:rPr>
          <w:b/>
          <w:szCs w:val="22"/>
        </w:rPr>
      </w:pPr>
      <w:r w:rsidRPr="00497EBE">
        <w:rPr>
          <w:i/>
          <w:snapToGrid w:val="0"/>
          <w:kern w:val="28"/>
        </w:rPr>
        <w:t>People with Disabilities</w:t>
      </w:r>
      <w:r w:rsidRPr="00497EBE">
        <w:rPr>
          <w:snapToGrid w:val="0"/>
          <w:kern w:val="28"/>
        </w:rPr>
        <w:t xml:space="preserve">.  To request materials in accessible formats for people with disabilities (Braille, large print, electronic files, audio format), send an e-mail to </w:t>
      </w:r>
      <w:hyperlink r:id="rId5" w:history="1">
        <w:r w:rsidRPr="00497EBE">
          <w:rPr>
            <w:snapToGrid w:val="0"/>
            <w:color w:val="0000FF"/>
            <w:kern w:val="28"/>
            <w:u w:val="single"/>
          </w:rPr>
          <w:t>fcc504@fcc.gov</w:t>
        </w:r>
      </w:hyperlink>
      <w:r w:rsidRPr="00497EBE">
        <w:rPr>
          <w:snapToGrid w:val="0"/>
          <w:kern w:val="28"/>
        </w:rPr>
        <w:t xml:space="preserve"> or call the FCC’s Consumer &amp; Governmental Affairs Bureau at (202) 418-0530 (voice), (202) 418-0432 (TTY).</w:t>
      </w:r>
    </w:p>
    <w:p w:rsidR="00024761" w:rsidRPr="00497EBE" w:rsidP="00497EBE">
      <w:pPr>
        <w:widowControl w:val="0"/>
        <w:numPr>
          <w:ilvl w:val="0"/>
          <w:numId w:val="12"/>
        </w:numPr>
        <w:spacing w:after="220"/>
        <w:jc w:val="both"/>
        <w:rPr>
          <w:b/>
          <w:szCs w:val="22"/>
        </w:rPr>
      </w:pPr>
      <w:r w:rsidRPr="00497EBE">
        <w:rPr>
          <w:i/>
        </w:rPr>
        <w:t>Additional Information</w:t>
      </w:r>
      <w:r w:rsidRPr="00497EBE">
        <w:t xml:space="preserve">.  For additional information on this proceeding, please contact Shaun Maher of the Media Bureau, Video Division, </w:t>
      </w:r>
      <w:hyperlink r:id="rId6" w:history="1">
        <w:r w:rsidRPr="00497EBE">
          <w:rPr>
            <w:color w:val="0000FF"/>
            <w:u w:val="single"/>
          </w:rPr>
          <w:t>Shaun.Maher@fcc.gov</w:t>
        </w:r>
      </w:hyperlink>
      <w:r w:rsidRPr="00497EBE">
        <w:t>, (202) 418-2324.</w:t>
      </w:r>
    </w:p>
    <w:sectPr w:rsidSect="00A4073C">
      <w:footerReference w:type="even" r:id="rId7"/>
      <w:footerReference w:type="default" r:id="rId8"/>
      <w:headerReference w:type="first" r:id="rId9"/>
      <w:type w:val="continuous"/>
      <w:pgSz w:w="12240" w:h="15840" w:code="1"/>
      <w:pgMar w:top="144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5194" w:rsidP="00855A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95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5194" w:rsidP="00855A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95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E15AF">
      <w:r>
        <w:separator/>
      </w:r>
    </w:p>
  </w:footnote>
  <w:footnote w:type="continuationSeparator" w:id="1">
    <w:p w:rsidR="008E15AF">
      <w:r>
        <w:continuationSeparator/>
      </w:r>
    </w:p>
  </w:footnote>
  <w:footnote w:type="continuationNotice" w:id="2">
    <w:p w:rsidR="008E15AF"/>
  </w:footnote>
  <w:footnote w:id="3">
    <w:p w:rsidR="00497EBE" w:rsidRPr="000C76DC" w:rsidP="00497EBE">
      <w:pPr>
        <w:pStyle w:val="FootnoteText"/>
        <w:rPr>
          <w:sz w:val="20"/>
        </w:rPr>
      </w:pPr>
      <w:bookmarkStart w:id="1" w:name="_Hlk23159857"/>
      <w:r w:rsidRPr="000C76DC">
        <w:rPr>
          <w:rStyle w:val="FootnoteReference"/>
          <w:i/>
          <w:sz w:val="20"/>
        </w:rPr>
        <w:footnoteRef/>
      </w:r>
      <w:r w:rsidRPr="000C76DC">
        <w:rPr>
          <w:i/>
          <w:sz w:val="20"/>
        </w:rPr>
        <w:t xml:space="preserve"> </w:t>
      </w:r>
      <w:r w:rsidRPr="000C76DC">
        <w:rPr>
          <w:i/>
          <w:snapToGrid w:val="0"/>
          <w:sz w:val="20"/>
        </w:rPr>
        <w:t xml:space="preserve">See </w:t>
      </w:r>
      <w:r w:rsidRPr="00A971E1" w:rsidR="00A971E1">
        <w:rPr>
          <w:sz w:val="20"/>
        </w:rPr>
        <w:t>47 CFR §§ 74.790(i), 73.624(c) and (g);</w:t>
      </w:r>
      <w:r w:rsidR="00A971E1">
        <w:t xml:space="preserve"> </w:t>
      </w:r>
      <w:r w:rsidRPr="000C76DC">
        <w:rPr>
          <w:i/>
          <w:snapToGrid w:val="0"/>
          <w:sz w:val="20"/>
        </w:rPr>
        <w:t xml:space="preserve">Amendment of Parts 73 and 74 of the Commission’s Rules to Establish Rules for Digital Low Power Television, Television Translator, and Television Booster Stations, </w:t>
      </w:r>
      <w:r w:rsidRPr="000C76DC">
        <w:rPr>
          <w:snapToGrid w:val="0"/>
          <w:sz w:val="20"/>
        </w:rPr>
        <w:t>MB Docket No. 03-185</w:t>
      </w:r>
      <w:r w:rsidRPr="000C76DC">
        <w:rPr>
          <w:i/>
          <w:snapToGrid w:val="0"/>
          <w:sz w:val="20"/>
        </w:rPr>
        <w:t xml:space="preserve">, </w:t>
      </w:r>
      <w:r w:rsidRPr="000C76DC">
        <w:rPr>
          <w:snapToGrid w:val="0"/>
          <w:sz w:val="20"/>
        </w:rPr>
        <w:t xml:space="preserve">Third Notice of Proposed Rulemaking, 29 FCC </w:t>
      </w:r>
      <w:r w:rsidRPr="000C76DC">
        <w:rPr>
          <w:snapToGrid w:val="0"/>
          <w:sz w:val="20"/>
        </w:rPr>
        <w:t>Rcd</w:t>
      </w:r>
      <w:r w:rsidRPr="000C76DC">
        <w:rPr>
          <w:snapToGrid w:val="0"/>
          <w:sz w:val="20"/>
        </w:rPr>
        <w:t xml:space="preserve"> 12536 (2014) (</w:t>
      </w:r>
      <w:r w:rsidRPr="000C76DC">
        <w:rPr>
          <w:i/>
          <w:snapToGrid w:val="0"/>
          <w:sz w:val="20"/>
        </w:rPr>
        <w:t>NPRM</w:t>
      </w:r>
      <w:r w:rsidRPr="000C76DC">
        <w:rPr>
          <w:snapToGrid w:val="0"/>
          <w:sz w:val="20"/>
        </w:rPr>
        <w:t>).</w:t>
      </w:r>
      <w:bookmarkEnd w:id="1"/>
    </w:p>
  </w:footnote>
  <w:footnote w:id="4">
    <w:p w:rsidR="00497EBE" w:rsidRPr="000C76DC" w:rsidP="00497EBE">
      <w:pPr>
        <w:pStyle w:val="FootnoteText"/>
        <w:rPr>
          <w:sz w:val="20"/>
        </w:rPr>
      </w:pPr>
      <w:r w:rsidRPr="000C76DC">
        <w:rPr>
          <w:rStyle w:val="FootnoteReference"/>
          <w:sz w:val="20"/>
        </w:rPr>
        <w:footnoteRef/>
      </w:r>
      <w:r w:rsidRPr="000C76DC">
        <w:rPr>
          <w:sz w:val="20"/>
        </w:rPr>
        <w:t xml:space="preserve"> </w:t>
      </w:r>
      <w:r w:rsidRPr="000C76DC">
        <w:rPr>
          <w:i/>
          <w:sz w:val="20"/>
        </w:rPr>
        <w:t>See</w:t>
      </w:r>
      <w:r w:rsidRPr="006E4152">
        <w:rPr>
          <w:i/>
          <w:sz w:val="20"/>
        </w:rPr>
        <w:t>, e.g.,</w:t>
      </w:r>
      <w:r w:rsidRPr="000C76DC">
        <w:rPr>
          <w:sz w:val="20"/>
        </w:rPr>
        <w:t xml:space="preserve"> Venture Technologies Group, Inc., </w:t>
      </w:r>
      <w:r>
        <w:rPr>
          <w:sz w:val="20"/>
        </w:rPr>
        <w:t xml:space="preserve">et al. (Channel 6 Commenters), </w:t>
      </w:r>
      <w:r w:rsidRPr="000C76DC">
        <w:rPr>
          <w:sz w:val="20"/>
        </w:rPr>
        <w:t>“Notice of Communications,” MB Docket No. 03-185, filed June 10, 2019 (</w:t>
      </w:r>
      <w:r>
        <w:rPr>
          <w:sz w:val="20"/>
        </w:rPr>
        <w:t>Channel 6 Commenters</w:t>
      </w:r>
      <w:r w:rsidRPr="000C76DC">
        <w:rPr>
          <w:sz w:val="20"/>
        </w:rPr>
        <w:t xml:space="preserve"> Ex </w:t>
      </w:r>
      <w:r w:rsidRPr="000C76DC">
        <w:rPr>
          <w:sz w:val="20"/>
        </w:rPr>
        <w:t>Parte</w:t>
      </w:r>
      <w:r w:rsidRPr="000C76DC">
        <w:rPr>
          <w:sz w:val="20"/>
        </w:rPr>
        <w:t xml:space="preserve">); Preserve Community Programming Coalition, “Informal Comments,” MB Docket No. 03-185, filed July 3, 2019 (PCPC Informal Comments); and California State University Long Beach Research Foundation, “Ex </w:t>
      </w:r>
      <w:r w:rsidRPr="000C76DC">
        <w:rPr>
          <w:sz w:val="20"/>
        </w:rPr>
        <w:t>Parte</w:t>
      </w:r>
      <w:r w:rsidRPr="000C76DC">
        <w:rPr>
          <w:sz w:val="20"/>
        </w:rPr>
        <w:t xml:space="preserve"> Communication,” MB Docket No. 03-185, filed July 30, 2019 (Cal State Ex </w:t>
      </w:r>
      <w:r w:rsidRPr="000C76DC">
        <w:rPr>
          <w:sz w:val="20"/>
        </w:rPr>
        <w:t>Parte</w:t>
      </w:r>
      <w:r w:rsidRPr="000C76DC">
        <w:rPr>
          <w:sz w:val="20"/>
        </w:rPr>
        <w:t>).</w:t>
      </w:r>
    </w:p>
  </w:footnote>
  <w:footnote w:id="5">
    <w:p w:rsidR="00497EBE" w:rsidRPr="001D5EA5" w:rsidP="00497EBE">
      <w:pPr>
        <w:pStyle w:val="FootnoteText"/>
        <w:rPr>
          <w:sz w:val="20"/>
        </w:rPr>
      </w:pPr>
      <w:r w:rsidRPr="001D5EA5">
        <w:rPr>
          <w:rStyle w:val="FootnoteReference"/>
          <w:sz w:val="20"/>
        </w:rPr>
        <w:footnoteRef/>
      </w:r>
      <w:r w:rsidRPr="001D5EA5">
        <w:rPr>
          <w:sz w:val="20"/>
        </w:rPr>
        <w:t xml:space="preserve"> </w:t>
      </w:r>
      <w:r w:rsidRPr="001D5EA5">
        <w:rPr>
          <w:i/>
          <w:sz w:val="20"/>
        </w:rPr>
        <w:t>See NPRM</w:t>
      </w:r>
      <w:r w:rsidRPr="001D5EA5">
        <w:rPr>
          <w:sz w:val="20"/>
        </w:rPr>
        <w:t xml:space="preserve">, 29 FCC </w:t>
      </w:r>
      <w:r w:rsidRPr="001D5EA5">
        <w:rPr>
          <w:sz w:val="20"/>
        </w:rPr>
        <w:t>Rcd</w:t>
      </w:r>
      <w:r w:rsidRPr="001D5EA5">
        <w:rPr>
          <w:sz w:val="20"/>
        </w:rPr>
        <w:t xml:space="preserve"> at 12554, para. 47.</w:t>
      </w:r>
    </w:p>
  </w:footnote>
  <w:footnote w:id="6">
    <w:p w:rsidR="00BF46C5" w:rsidRPr="00BF46C5">
      <w:pPr>
        <w:pStyle w:val="FootnoteText"/>
        <w:rPr>
          <w:sz w:val="20"/>
        </w:rPr>
      </w:pPr>
      <w:r w:rsidRPr="00BF46C5">
        <w:rPr>
          <w:rStyle w:val="FootnoteReference"/>
          <w:sz w:val="20"/>
        </w:rPr>
        <w:footnoteRef/>
      </w:r>
      <w:r w:rsidRPr="00BF46C5">
        <w:rPr>
          <w:sz w:val="20"/>
        </w:rPr>
        <w:t xml:space="preserve"> All LPTV and TV translator stations must terminate all analog operations by 11:59 p.m. local time on July 13, 2021.</w:t>
      </w:r>
      <w:r w:rsidRPr="00BF46C5">
        <w:rPr>
          <w:i/>
          <w:sz w:val="20"/>
        </w:rPr>
        <w:t xml:space="preserve"> </w:t>
      </w:r>
      <w:r w:rsidR="00E137F0">
        <w:rPr>
          <w:i/>
          <w:sz w:val="20"/>
        </w:rPr>
        <w:t xml:space="preserve"> </w:t>
      </w:r>
      <w:r>
        <w:rPr>
          <w:i/>
          <w:sz w:val="20"/>
        </w:rPr>
        <w:t xml:space="preserve">See </w:t>
      </w:r>
      <w:r w:rsidRPr="00BF46C5">
        <w:rPr>
          <w:i/>
          <w:sz w:val="20"/>
        </w:rPr>
        <w:t>Amendment of Parts 73 and 74 of the Commission’s Rules to Establish Rules for Digital Low Power Television and Television Translator Stations</w:t>
      </w:r>
      <w:r w:rsidRPr="00BF46C5">
        <w:rPr>
          <w:sz w:val="20"/>
        </w:rPr>
        <w:t xml:space="preserve">, MB Docket No. 03-185, Third Report and Order and Fourth Notice of Proposed Rulemaking, 30 FCC </w:t>
      </w:r>
      <w:r w:rsidRPr="00BF46C5">
        <w:rPr>
          <w:sz w:val="20"/>
        </w:rPr>
        <w:t>Rcd</w:t>
      </w:r>
      <w:r w:rsidRPr="00BF46C5">
        <w:rPr>
          <w:sz w:val="20"/>
        </w:rPr>
        <w:t xml:space="preserve"> 14927, </w:t>
      </w:r>
      <w:r w:rsidRPr="00386B8F">
        <w:rPr>
          <w:sz w:val="20"/>
        </w:rPr>
        <w:t>14932-33, para. 9</w:t>
      </w:r>
      <w:r>
        <w:rPr>
          <w:sz w:val="20"/>
        </w:rPr>
        <w:t xml:space="preserve"> </w:t>
      </w:r>
      <w:r w:rsidRPr="00BF46C5">
        <w:rPr>
          <w:sz w:val="20"/>
        </w:rPr>
        <w:t>(2015)</w:t>
      </w:r>
      <w:r>
        <w:rPr>
          <w:sz w:val="20"/>
        </w:rPr>
        <w:t xml:space="preserve"> (</w:t>
      </w:r>
      <w:r>
        <w:rPr>
          <w:i/>
          <w:sz w:val="20"/>
        </w:rPr>
        <w:t>LPTV DTV R&amp;O</w:t>
      </w:r>
      <w:r>
        <w:rPr>
          <w:sz w:val="20"/>
        </w:rPr>
        <w:t>)</w:t>
      </w:r>
      <w:r w:rsidRPr="00BF46C5">
        <w:rPr>
          <w:sz w:val="20"/>
        </w:rPr>
        <w:t>.</w:t>
      </w:r>
      <w:r>
        <w:rPr>
          <w:sz w:val="20"/>
        </w:rPr>
        <w:t xml:space="preserve">  </w:t>
      </w:r>
      <w:r w:rsidRPr="00386B8F">
        <w:rPr>
          <w:sz w:val="20"/>
        </w:rPr>
        <w:t xml:space="preserve">In that decision, the Commission extended the LPTV digital transition date until 12 months following the completion of the 39-month post-incentive auction transition period (or 51 months from the completion of the incentive auction and the release of the </w:t>
      </w:r>
      <w:r w:rsidRPr="00386B8F">
        <w:rPr>
          <w:i/>
          <w:sz w:val="20"/>
        </w:rPr>
        <w:t>Closing and Channel Reassignment Public Notice</w:t>
      </w:r>
      <w:r w:rsidRPr="00386B8F">
        <w:rPr>
          <w:sz w:val="20"/>
        </w:rPr>
        <w:t xml:space="preserve">). </w:t>
      </w:r>
      <w:r w:rsidR="00E137F0">
        <w:rPr>
          <w:sz w:val="20"/>
        </w:rPr>
        <w:t xml:space="preserve"> </w:t>
      </w:r>
      <w:r w:rsidRPr="00386B8F">
        <w:rPr>
          <w:sz w:val="20"/>
        </w:rPr>
        <w:t xml:space="preserve">Given the April 13, 2017 release date of the </w:t>
      </w:r>
      <w:r w:rsidRPr="00386B8F">
        <w:rPr>
          <w:i/>
          <w:sz w:val="20"/>
        </w:rPr>
        <w:t>Closing and Channel Reassignment Public Notice</w:t>
      </w:r>
      <w:r w:rsidRPr="00386B8F">
        <w:rPr>
          <w:sz w:val="20"/>
        </w:rPr>
        <w:t>, the new LPTV digital transition date is now July 13, 2021</w:t>
      </w:r>
      <w:r>
        <w:rPr>
          <w:sz w:val="20"/>
        </w:rPr>
        <w:t>.</w:t>
      </w:r>
    </w:p>
  </w:footnote>
  <w:footnote w:id="7">
    <w:p w:rsidR="00497EBE" w:rsidRPr="000C76DC" w:rsidP="00497EBE">
      <w:pPr>
        <w:pStyle w:val="FootnoteText"/>
        <w:rPr>
          <w:sz w:val="20"/>
        </w:rPr>
      </w:pPr>
      <w:r w:rsidRPr="000C76DC">
        <w:rPr>
          <w:rStyle w:val="FootnoteReference"/>
          <w:sz w:val="20"/>
        </w:rPr>
        <w:footnoteRef/>
      </w:r>
      <w:r w:rsidRPr="000C76DC">
        <w:rPr>
          <w:sz w:val="20"/>
        </w:rPr>
        <w:t xml:space="preserve"> </w:t>
      </w:r>
      <w:bookmarkStart w:id="2" w:name="_Hlk25152140"/>
      <w:r w:rsidR="00BF46C5">
        <w:rPr>
          <w:i/>
          <w:sz w:val="20"/>
        </w:rPr>
        <w:t>NPRM</w:t>
      </w:r>
      <w:r w:rsidR="00BF46C5">
        <w:rPr>
          <w:sz w:val="20"/>
        </w:rPr>
        <w:t xml:space="preserve">, 29 FCC </w:t>
      </w:r>
      <w:r w:rsidR="00BF46C5">
        <w:rPr>
          <w:sz w:val="20"/>
        </w:rPr>
        <w:t>Rcd</w:t>
      </w:r>
      <w:r w:rsidRPr="000C76DC">
        <w:rPr>
          <w:sz w:val="20"/>
        </w:rPr>
        <w:t xml:space="preserve"> at 12554-</w:t>
      </w:r>
      <w:r>
        <w:rPr>
          <w:sz w:val="20"/>
        </w:rPr>
        <w:t>5</w:t>
      </w:r>
      <w:r w:rsidRPr="000C76DC">
        <w:rPr>
          <w:sz w:val="20"/>
        </w:rPr>
        <w:t>6, paras. 47-53</w:t>
      </w:r>
      <w:bookmarkEnd w:id="2"/>
      <w:r w:rsidRPr="000C76DC">
        <w:rPr>
          <w:sz w:val="20"/>
        </w:rPr>
        <w:t>.</w:t>
      </w:r>
    </w:p>
  </w:footnote>
  <w:footnote w:id="8">
    <w:p w:rsidR="00497EBE" w:rsidRPr="00E067FE" w:rsidP="00497EBE">
      <w:pPr>
        <w:pStyle w:val="FootnoteText"/>
      </w:pPr>
      <w:r w:rsidRPr="000C76DC">
        <w:rPr>
          <w:rStyle w:val="FootnoteReference"/>
          <w:sz w:val="20"/>
        </w:rPr>
        <w:footnoteRef/>
      </w:r>
      <w:r w:rsidRPr="000C76DC">
        <w:rPr>
          <w:sz w:val="20"/>
        </w:rPr>
        <w:t xml:space="preserve"> </w:t>
      </w:r>
      <w:r w:rsidRPr="000C76DC">
        <w:rPr>
          <w:i/>
          <w:sz w:val="20"/>
        </w:rPr>
        <w:t>Id.</w:t>
      </w:r>
      <w:r w:rsidRPr="000C76DC">
        <w:rPr>
          <w:sz w:val="20"/>
        </w:rPr>
        <w:t xml:space="preserve"> at 12554, para. 49.</w:t>
      </w:r>
    </w:p>
  </w:footnote>
  <w:footnote w:id="9">
    <w:p w:rsidR="00497EBE" w:rsidRPr="00434E76" w:rsidP="00497EBE">
      <w:pPr>
        <w:pStyle w:val="FootnoteText"/>
        <w:rPr>
          <w:sz w:val="20"/>
        </w:rPr>
      </w:pPr>
      <w:r w:rsidRPr="00434E76">
        <w:rPr>
          <w:rStyle w:val="FootnoteReference"/>
          <w:sz w:val="20"/>
        </w:rPr>
        <w:footnoteRef/>
      </w:r>
      <w:r w:rsidRPr="00434E76">
        <w:rPr>
          <w:sz w:val="20"/>
        </w:rPr>
        <w:t xml:space="preserve"> </w:t>
      </w:r>
      <w:bookmarkStart w:id="3" w:name="_Hlk25152159"/>
      <w:r w:rsidRPr="00434E76">
        <w:rPr>
          <w:i/>
          <w:sz w:val="20"/>
        </w:rPr>
        <w:t xml:space="preserve">Id. </w:t>
      </w:r>
      <w:r w:rsidRPr="00434E76">
        <w:rPr>
          <w:sz w:val="20"/>
        </w:rPr>
        <w:t>at 12554-5, para. 49</w:t>
      </w:r>
      <w:bookmarkEnd w:id="3"/>
      <w:r w:rsidRPr="00434E76">
        <w:rPr>
          <w:sz w:val="20"/>
        </w:rPr>
        <w:t>.</w:t>
      </w:r>
    </w:p>
  </w:footnote>
  <w:footnote w:id="10">
    <w:p w:rsidR="00497EBE" w:rsidRPr="00434E76" w:rsidP="00497EBE">
      <w:pPr>
        <w:pStyle w:val="FootnoteText"/>
        <w:rPr>
          <w:sz w:val="20"/>
        </w:rPr>
      </w:pPr>
      <w:r w:rsidRPr="00434E76">
        <w:rPr>
          <w:rStyle w:val="FootnoteReference"/>
          <w:sz w:val="20"/>
        </w:rPr>
        <w:footnoteRef/>
      </w:r>
      <w:r w:rsidRPr="00434E76">
        <w:rPr>
          <w:sz w:val="20"/>
        </w:rPr>
        <w:t xml:space="preserve"> </w:t>
      </w:r>
      <w:r w:rsidRPr="00434E76">
        <w:rPr>
          <w:i/>
          <w:sz w:val="20"/>
        </w:rPr>
        <w:t>Id.</w:t>
      </w:r>
      <w:r w:rsidRPr="00434E76">
        <w:rPr>
          <w:sz w:val="20"/>
        </w:rPr>
        <w:t xml:space="preserve"> at 12555, paras. 50-51.</w:t>
      </w:r>
    </w:p>
  </w:footnote>
  <w:footnote w:id="11">
    <w:p w:rsidR="00497EBE" w:rsidRPr="00434E76" w:rsidP="00497EBE">
      <w:pPr>
        <w:pStyle w:val="FootnoteText"/>
        <w:rPr>
          <w:sz w:val="20"/>
        </w:rPr>
      </w:pPr>
      <w:r w:rsidRPr="00434E76">
        <w:rPr>
          <w:rStyle w:val="FootnoteReference"/>
          <w:sz w:val="20"/>
        </w:rPr>
        <w:footnoteRef/>
      </w:r>
      <w:r w:rsidRPr="00434E76">
        <w:rPr>
          <w:sz w:val="20"/>
        </w:rPr>
        <w:t xml:space="preserve"> </w:t>
      </w:r>
      <w:r w:rsidRPr="00434E76">
        <w:rPr>
          <w:i/>
          <w:sz w:val="20"/>
        </w:rPr>
        <w:t>Id.</w:t>
      </w:r>
      <w:r w:rsidRPr="00434E76">
        <w:rPr>
          <w:sz w:val="20"/>
        </w:rPr>
        <w:t xml:space="preserve"> at 12555-6, paras. 52-53.</w:t>
      </w:r>
    </w:p>
  </w:footnote>
  <w:footnote w:id="12">
    <w:p w:rsidR="00497EBE" w:rsidP="00497EBE">
      <w:pPr>
        <w:pStyle w:val="FootnoteText"/>
      </w:pPr>
      <w:r>
        <w:rPr>
          <w:rStyle w:val="FootnoteReference"/>
        </w:rPr>
        <w:footnoteRef/>
      </w:r>
      <w:r>
        <w:t xml:space="preserve"> </w:t>
      </w:r>
      <w:r w:rsidRPr="000C76DC">
        <w:rPr>
          <w:i/>
          <w:snapToGrid w:val="0"/>
          <w:sz w:val="20"/>
        </w:rPr>
        <w:t xml:space="preserve">See </w:t>
      </w:r>
      <w:r w:rsidR="00BF46C5">
        <w:rPr>
          <w:i/>
          <w:snapToGrid w:val="0"/>
          <w:sz w:val="20"/>
        </w:rPr>
        <w:t>LPTV DTV R&amp;O</w:t>
      </w:r>
      <w:r w:rsidR="00BF46C5">
        <w:rPr>
          <w:snapToGrid w:val="0"/>
          <w:sz w:val="20"/>
        </w:rPr>
        <w:t>,</w:t>
      </w:r>
      <w:r w:rsidRPr="000C76DC">
        <w:rPr>
          <w:snapToGrid w:val="0"/>
          <w:sz w:val="20"/>
        </w:rPr>
        <w:t xml:space="preserve"> 30 FCC </w:t>
      </w:r>
      <w:r w:rsidR="00BF46C5">
        <w:rPr>
          <w:snapToGrid w:val="0"/>
          <w:sz w:val="20"/>
        </w:rPr>
        <w:t>Rcd</w:t>
      </w:r>
      <w:r w:rsidR="00BF46C5">
        <w:rPr>
          <w:snapToGrid w:val="0"/>
          <w:sz w:val="20"/>
        </w:rPr>
        <w:t xml:space="preserve"> at </w:t>
      </w:r>
      <w:r w:rsidRPr="000C76DC">
        <w:rPr>
          <w:snapToGrid w:val="0"/>
          <w:sz w:val="20"/>
        </w:rPr>
        <w:t xml:space="preserve">14930, n.12 </w:t>
      </w:r>
      <w:r w:rsidRPr="000C76DC">
        <w:rPr>
          <w:sz w:val="20"/>
        </w:rPr>
        <w:t>(“We intend to issue a decision on whether to permit digital LPTV stations to operate analog FM radio type services on an ancillary or supplementary basis at a later date.</w:t>
      </w:r>
      <w:r w:rsidR="00782A78">
        <w:rPr>
          <w:sz w:val="20"/>
        </w:rPr>
        <w:t>”</w:t>
      </w:r>
      <w:r w:rsidRPr="000C76DC">
        <w:rPr>
          <w:sz w:val="20"/>
        </w:rPr>
        <w:t xml:space="preserve">).  </w:t>
      </w:r>
    </w:p>
  </w:footnote>
  <w:footnote w:id="13">
    <w:p w:rsidR="00497EBE" w:rsidRPr="00434E76" w:rsidP="00497EBE">
      <w:pPr>
        <w:pStyle w:val="FootnoteText"/>
        <w:rPr>
          <w:sz w:val="20"/>
        </w:rPr>
      </w:pPr>
      <w:r w:rsidRPr="00434E76">
        <w:rPr>
          <w:rStyle w:val="FootnoteReference"/>
          <w:sz w:val="20"/>
        </w:rPr>
        <w:footnoteRef/>
      </w:r>
      <w:r w:rsidRPr="00434E76">
        <w:rPr>
          <w:sz w:val="20"/>
        </w:rPr>
        <w:t xml:space="preserve"> Channel 6 Commenters Ex </w:t>
      </w:r>
      <w:r w:rsidRPr="00434E76">
        <w:rPr>
          <w:sz w:val="20"/>
        </w:rPr>
        <w:t>Parte</w:t>
      </w:r>
      <w:r w:rsidRPr="00434E76">
        <w:rPr>
          <w:sz w:val="20"/>
        </w:rPr>
        <w:t xml:space="preserve"> at 8.</w:t>
      </w:r>
    </w:p>
  </w:footnote>
  <w:footnote w:id="14">
    <w:p w:rsidR="00497EBE" w:rsidRPr="00434E76" w:rsidP="00497EBE">
      <w:pPr>
        <w:pStyle w:val="FootnoteText"/>
        <w:rPr>
          <w:sz w:val="20"/>
        </w:rPr>
      </w:pPr>
      <w:r w:rsidRPr="00434E76">
        <w:rPr>
          <w:rStyle w:val="FootnoteReference"/>
          <w:sz w:val="20"/>
        </w:rPr>
        <w:footnoteRef/>
      </w:r>
      <w:r w:rsidRPr="00434E76">
        <w:rPr>
          <w:sz w:val="20"/>
        </w:rPr>
        <w:t xml:space="preserve"> PCPC Informal Comments at 4.</w:t>
      </w:r>
    </w:p>
  </w:footnote>
  <w:footnote w:id="15">
    <w:p w:rsidR="00497EBE" w:rsidRPr="00434E76" w:rsidP="00497EBE">
      <w:pPr>
        <w:pStyle w:val="FootnoteText"/>
        <w:rPr>
          <w:sz w:val="20"/>
        </w:rPr>
      </w:pPr>
      <w:r w:rsidRPr="00434E76">
        <w:rPr>
          <w:rStyle w:val="FootnoteReference"/>
          <w:sz w:val="20"/>
        </w:rPr>
        <w:footnoteRef/>
      </w:r>
      <w:r w:rsidRPr="00434E76">
        <w:rPr>
          <w:sz w:val="20"/>
        </w:rPr>
        <w:t xml:space="preserve"> </w:t>
      </w:r>
      <w:r w:rsidR="00684E06">
        <w:rPr>
          <w:i/>
          <w:sz w:val="20"/>
        </w:rPr>
        <w:t xml:space="preserve">See </w:t>
      </w:r>
      <w:r w:rsidRPr="00434E76">
        <w:rPr>
          <w:sz w:val="20"/>
        </w:rPr>
        <w:t xml:space="preserve">Channel 6 Commenters Ex </w:t>
      </w:r>
      <w:r w:rsidRPr="00434E76">
        <w:rPr>
          <w:sz w:val="20"/>
        </w:rPr>
        <w:t>Parte</w:t>
      </w:r>
      <w:r w:rsidRPr="00434E76">
        <w:rPr>
          <w:sz w:val="20"/>
        </w:rPr>
        <w:t xml:space="preserve"> at 13</w:t>
      </w:r>
      <w:r w:rsidR="00684E06">
        <w:rPr>
          <w:sz w:val="20"/>
        </w:rPr>
        <w:t xml:space="preserve"> and </w:t>
      </w:r>
      <w:r w:rsidRPr="00684E06" w:rsidR="00684E06">
        <w:rPr>
          <w:sz w:val="20"/>
        </w:rPr>
        <w:t>PCPC Informal Comments at 4 and 6</w:t>
      </w:r>
      <w:r w:rsidR="005A35B0">
        <w:rPr>
          <w:sz w:val="20"/>
        </w:rPr>
        <w:t xml:space="preserve"> </w:t>
      </w:r>
      <w:r w:rsidRPr="007D337F" w:rsidR="005A35B0">
        <w:rPr>
          <w:i/>
          <w:sz w:val="20"/>
        </w:rPr>
        <w:t>citing</w:t>
      </w:r>
      <w:r w:rsidR="005A35B0">
        <w:rPr>
          <w:sz w:val="20"/>
        </w:rPr>
        <w:t xml:space="preserve"> 47 CFR § </w:t>
      </w:r>
      <w:r w:rsidR="00684E06">
        <w:rPr>
          <w:sz w:val="20"/>
        </w:rPr>
        <w:t xml:space="preserve">73.653 (Operation of TV aural and visual transmitters), </w:t>
      </w:r>
      <w:r w:rsidR="003D611A">
        <w:rPr>
          <w:sz w:val="20"/>
        </w:rPr>
        <w:t xml:space="preserve">47 CFR § </w:t>
      </w:r>
      <w:r w:rsidRPr="005A35B0" w:rsidR="005A35B0">
        <w:rPr>
          <w:sz w:val="20"/>
        </w:rPr>
        <w:t>73.682(d)</w:t>
      </w:r>
      <w:r w:rsidR="00684E06">
        <w:rPr>
          <w:sz w:val="20"/>
        </w:rPr>
        <w:t xml:space="preserve"> (TV transmission standards)</w:t>
      </w:r>
      <w:r w:rsidR="005A35B0">
        <w:rPr>
          <w:sz w:val="20"/>
        </w:rPr>
        <w:t xml:space="preserve"> and </w:t>
      </w:r>
      <w:r w:rsidR="003D611A">
        <w:rPr>
          <w:sz w:val="20"/>
        </w:rPr>
        <w:t xml:space="preserve">47 CFR § </w:t>
      </w:r>
      <w:r w:rsidRPr="005A35B0" w:rsidR="005A35B0">
        <w:rPr>
          <w:sz w:val="20"/>
        </w:rPr>
        <w:t>74.795(b)</w:t>
      </w:r>
      <w:r w:rsidR="005A35B0">
        <w:rPr>
          <w:sz w:val="20"/>
        </w:rPr>
        <w:t xml:space="preserve"> (Digital low power TV and TV translator transmission system facilities</w:t>
      </w:r>
      <w:r w:rsidR="005A35B0">
        <w:rPr>
          <w:sz w:val="20"/>
        </w:rPr>
        <w:t>)</w:t>
      </w:r>
      <w:r w:rsidRPr="00434E76">
        <w:rPr>
          <w:sz w:val="20"/>
        </w:rPr>
        <w:t>;.</w:t>
      </w:r>
      <w:r w:rsidR="005A35B0">
        <w:rPr>
          <w:sz w:val="20"/>
        </w:rPr>
        <w:t xml:space="preserve"> </w:t>
      </w:r>
    </w:p>
  </w:footnote>
  <w:footnote w:id="16">
    <w:p w:rsidR="00497EBE" w:rsidRPr="00434E76" w:rsidP="00497EBE">
      <w:pPr>
        <w:pStyle w:val="FootnoteText"/>
        <w:rPr>
          <w:sz w:val="20"/>
        </w:rPr>
      </w:pPr>
      <w:r w:rsidRPr="00434E76">
        <w:rPr>
          <w:rStyle w:val="FootnoteReference"/>
          <w:sz w:val="20"/>
        </w:rPr>
        <w:footnoteRef/>
      </w:r>
      <w:r w:rsidRPr="00434E76">
        <w:rPr>
          <w:sz w:val="20"/>
        </w:rPr>
        <w:t xml:space="preserve"> Channel 6 Commenters Ex </w:t>
      </w:r>
      <w:r w:rsidRPr="00434E76">
        <w:rPr>
          <w:sz w:val="20"/>
        </w:rPr>
        <w:t>Parte</w:t>
      </w:r>
      <w:r w:rsidRPr="00434E76">
        <w:rPr>
          <w:sz w:val="20"/>
        </w:rPr>
        <w:t xml:space="preserve"> at 17 </w:t>
      </w:r>
      <w:r w:rsidRPr="00434E76">
        <w:rPr>
          <w:i/>
          <w:sz w:val="20"/>
        </w:rPr>
        <w:t xml:space="preserve">citing </w:t>
      </w:r>
      <w:r w:rsidRPr="00434E76">
        <w:rPr>
          <w:sz w:val="20"/>
        </w:rPr>
        <w:t>47 CFR 74.790(i); PCPC Informal Comments at 6-7.</w:t>
      </w:r>
    </w:p>
  </w:footnote>
  <w:footnote w:id="17">
    <w:p w:rsidR="00497EBE" w:rsidRPr="00434E76" w:rsidP="00497EBE">
      <w:pPr>
        <w:pStyle w:val="FootnoteText"/>
        <w:rPr>
          <w:sz w:val="20"/>
        </w:rPr>
      </w:pPr>
      <w:r w:rsidRPr="00434E76">
        <w:rPr>
          <w:rStyle w:val="FootnoteReference"/>
          <w:sz w:val="20"/>
        </w:rPr>
        <w:footnoteRef/>
      </w:r>
      <w:r w:rsidRPr="00434E76">
        <w:rPr>
          <w:sz w:val="20"/>
        </w:rPr>
        <w:t xml:space="preserve"> Channel 6 Commenters Ex </w:t>
      </w:r>
      <w:r w:rsidRPr="00434E76">
        <w:rPr>
          <w:sz w:val="20"/>
        </w:rPr>
        <w:t>Parte</w:t>
      </w:r>
      <w:r w:rsidRPr="00434E76">
        <w:rPr>
          <w:sz w:val="20"/>
        </w:rPr>
        <w:t xml:space="preserve"> at 15; </w:t>
      </w:r>
      <w:r w:rsidRPr="00434E76">
        <w:rPr>
          <w:i/>
          <w:sz w:val="20"/>
        </w:rPr>
        <w:t>see also</w:t>
      </w:r>
      <w:r w:rsidRPr="00434E76">
        <w:rPr>
          <w:sz w:val="20"/>
        </w:rPr>
        <w:t xml:space="preserve"> PCPC Informal Comments at 8-9.</w:t>
      </w:r>
    </w:p>
  </w:footnote>
  <w:footnote w:id="18">
    <w:p w:rsidR="00497EBE" w:rsidRPr="00434E76" w:rsidP="00497EBE">
      <w:pPr>
        <w:pStyle w:val="FootnoteText"/>
        <w:rPr>
          <w:sz w:val="20"/>
        </w:rPr>
      </w:pPr>
      <w:r w:rsidRPr="00434E76">
        <w:rPr>
          <w:rStyle w:val="FootnoteReference"/>
          <w:sz w:val="20"/>
        </w:rPr>
        <w:footnoteRef/>
      </w:r>
      <w:r w:rsidRPr="00434E76">
        <w:rPr>
          <w:sz w:val="20"/>
        </w:rPr>
        <w:t xml:space="preserve"> Channel 6 Commenters Ex </w:t>
      </w:r>
      <w:r w:rsidRPr="00434E76">
        <w:rPr>
          <w:sz w:val="20"/>
        </w:rPr>
        <w:t>Parte</w:t>
      </w:r>
      <w:r w:rsidRPr="00434E76">
        <w:rPr>
          <w:sz w:val="20"/>
        </w:rPr>
        <w:t xml:space="preserve"> at 15.</w:t>
      </w:r>
    </w:p>
  </w:footnote>
  <w:footnote w:id="19">
    <w:p w:rsidR="00497EBE" w:rsidRPr="00434E76" w:rsidP="00497EBE">
      <w:pPr>
        <w:pStyle w:val="FootnoteText"/>
        <w:rPr>
          <w:sz w:val="20"/>
        </w:rPr>
      </w:pPr>
      <w:r w:rsidRPr="00434E76">
        <w:rPr>
          <w:rStyle w:val="FootnoteReference"/>
          <w:sz w:val="20"/>
        </w:rPr>
        <w:footnoteRef/>
      </w:r>
      <w:r w:rsidRPr="00434E76">
        <w:rPr>
          <w:sz w:val="20"/>
        </w:rPr>
        <w:t xml:space="preserve"> PCPC Informal Comments at 9</w:t>
      </w:r>
      <w:r>
        <w:rPr>
          <w:sz w:val="20"/>
        </w:rPr>
        <w:t>.</w:t>
      </w:r>
      <w:r w:rsidRPr="00434E76">
        <w:rPr>
          <w:sz w:val="20"/>
        </w:rPr>
        <w:t xml:space="preserve">  </w:t>
      </w:r>
    </w:p>
  </w:footnote>
  <w:footnote w:id="20">
    <w:p w:rsidR="00497EBE" w:rsidRPr="00434E76" w:rsidP="00497EBE">
      <w:pPr>
        <w:pStyle w:val="FootnoteText"/>
        <w:rPr>
          <w:sz w:val="20"/>
        </w:rPr>
      </w:pPr>
      <w:r w:rsidRPr="00434E76">
        <w:rPr>
          <w:rStyle w:val="FootnoteReference"/>
          <w:sz w:val="20"/>
        </w:rPr>
        <w:footnoteRef/>
      </w:r>
      <w:r w:rsidRPr="00434E76">
        <w:rPr>
          <w:sz w:val="20"/>
        </w:rPr>
        <w:t xml:space="preserve"> Cal State Ex </w:t>
      </w:r>
      <w:r w:rsidRPr="00434E76">
        <w:rPr>
          <w:sz w:val="20"/>
        </w:rPr>
        <w:t>Parte</w:t>
      </w:r>
      <w:r w:rsidRPr="00434E76">
        <w:rPr>
          <w:sz w:val="20"/>
        </w:rPr>
        <w:t xml:space="preserve"> at 2.</w:t>
      </w:r>
    </w:p>
  </w:footnote>
  <w:footnote w:id="21">
    <w:p w:rsidR="00497EBE" w:rsidRPr="003427CB" w:rsidP="00497EBE">
      <w:pPr>
        <w:pStyle w:val="FootnoteText"/>
        <w:rPr>
          <w:sz w:val="20"/>
        </w:rPr>
      </w:pPr>
      <w:r w:rsidRPr="003427CB">
        <w:rPr>
          <w:rStyle w:val="FootnoteReference"/>
          <w:sz w:val="20"/>
        </w:rPr>
        <w:footnoteRef/>
      </w:r>
      <w:r w:rsidRPr="003427CB">
        <w:rPr>
          <w:sz w:val="20"/>
        </w:rPr>
        <w:t xml:space="preserve"> </w:t>
      </w:r>
      <w:r>
        <w:rPr>
          <w:i/>
          <w:sz w:val="20"/>
        </w:rPr>
        <w:t>Id.</w:t>
      </w:r>
      <w:r w:rsidRPr="003427CB">
        <w:rPr>
          <w:sz w:val="20"/>
        </w:rPr>
        <w:t xml:space="preserve"> at 1-2.</w:t>
      </w:r>
    </w:p>
  </w:footnote>
  <w:footnote w:id="22">
    <w:p w:rsidR="00FF7A45" w:rsidRPr="004D7D37" w:rsidP="00FF7A45">
      <w:pPr>
        <w:pStyle w:val="FootnoteText"/>
        <w:widowControl w:val="0"/>
      </w:pPr>
      <w:r>
        <w:rPr>
          <w:rStyle w:val="FootnoteReference"/>
        </w:rPr>
        <w:footnoteRef/>
      </w:r>
      <w:r>
        <w:t xml:space="preserve"> </w:t>
      </w:r>
      <w:r>
        <w:rPr>
          <w:i/>
        </w:rPr>
        <w:t xml:space="preserve">See </w:t>
      </w:r>
      <w:r>
        <w:t xml:space="preserve">47 CFR </w:t>
      </w:r>
      <w:r w:rsidRPr="00570C44">
        <w:t>§</w:t>
      </w:r>
      <w:r w:rsidR="00087945">
        <w:t>§</w:t>
      </w:r>
      <w:r>
        <w:t xml:space="preserve"> 73.525</w:t>
      </w:r>
      <w:r w:rsidR="00087945">
        <w:t xml:space="preserve">; </w:t>
      </w:r>
      <w:r w:rsidR="0080453B">
        <w:t xml:space="preserve">73.825; </w:t>
      </w:r>
      <w:r w:rsidR="00087945">
        <w:t>74.1205.</w:t>
      </w:r>
    </w:p>
  </w:footnote>
  <w:footnote w:id="23">
    <w:p w:rsidR="00497EBE" w:rsidRPr="003427CB" w:rsidP="00497EBE">
      <w:pPr>
        <w:pStyle w:val="FootnoteText"/>
        <w:rPr>
          <w:sz w:val="20"/>
        </w:rPr>
      </w:pPr>
      <w:r w:rsidRPr="003427CB">
        <w:rPr>
          <w:rStyle w:val="FootnoteReference"/>
          <w:sz w:val="20"/>
        </w:rPr>
        <w:footnoteRef/>
      </w:r>
      <w:r w:rsidRPr="003427CB">
        <w:rPr>
          <w:sz w:val="20"/>
        </w:rPr>
        <w:t xml:space="preserve"> </w:t>
      </w:r>
      <w:r w:rsidRPr="003427CB">
        <w:rPr>
          <w:i/>
          <w:sz w:val="20"/>
        </w:rPr>
        <w:t>See Amendments of Parts 73 and 74 to Improve the Low Power FM Radio Service Technical Rules</w:t>
      </w:r>
      <w:r w:rsidRPr="003427CB">
        <w:rPr>
          <w:sz w:val="20"/>
        </w:rPr>
        <w:t xml:space="preserve">, Notice of Proposed Rulemaking, MB Docket No. </w:t>
      </w:r>
      <w:r>
        <w:rPr>
          <w:sz w:val="20"/>
        </w:rPr>
        <w:t xml:space="preserve">34 FCC </w:t>
      </w:r>
      <w:r>
        <w:rPr>
          <w:sz w:val="20"/>
        </w:rPr>
        <w:t>Rcd</w:t>
      </w:r>
      <w:r>
        <w:rPr>
          <w:sz w:val="20"/>
        </w:rPr>
        <w:t xml:space="preserve"> 6537 (2019)</w:t>
      </w:r>
      <w:r w:rsidRPr="003427CB">
        <w:rPr>
          <w:sz w:val="20"/>
        </w:rPr>
        <w:t xml:space="preserve"> (</w:t>
      </w:r>
      <w:r w:rsidRPr="003427CB">
        <w:rPr>
          <w:i/>
          <w:sz w:val="20"/>
        </w:rPr>
        <w:t>LPFM NPRM</w:t>
      </w:r>
      <w:r w:rsidRPr="003427CB">
        <w:rPr>
          <w:sz w:val="20"/>
        </w:rPr>
        <w:t>)</w:t>
      </w:r>
      <w:r>
        <w:rPr>
          <w:sz w:val="20"/>
        </w:rPr>
        <w:t>.</w:t>
      </w:r>
    </w:p>
  </w:footnote>
  <w:footnote w:id="24">
    <w:p w:rsidR="00497EBE" w:rsidRPr="003427CB" w:rsidP="00497EBE">
      <w:pPr>
        <w:pStyle w:val="FootnoteText"/>
        <w:rPr>
          <w:sz w:val="20"/>
        </w:rPr>
      </w:pPr>
      <w:r w:rsidRPr="003427CB">
        <w:rPr>
          <w:rStyle w:val="FootnoteReference"/>
          <w:sz w:val="20"/>
        </w:rPr>
        <w:footnoteRef/>
      </w:r>
      <w:r w:rsidRPr="003427CB">
        <w:rPr>
          <w:sz w:val="20"/>
        </w:rPr>
        <w:t xml:space="preserve"> </w:t>
      </w:r>
      <w:r w:rsidRPr="003427CB">
        <w:rPr>
          <w:i/>
          <w:sz w:val="20"/>
        </w:rPr>
        <w:t>Id.</w:t>
      </w:r>
      <w:r w:rsidRPr="003427CB">
        <w:rPr>
          <w:sz w:val="20"/>
        </w:rPr>
        <w:t xml:space="preserve"> at para. 13.</w:t>
      </w:r>
    </w:p>
  </w:footnote>
  <w:footnote w:id="25">
    <w:p w:rsidR="00A205E9" w:rsidRPr="00430C81" w:rsidP="00A205E9">
      <w:pPr>
        <w:pStyle w:val="FootnoteText"/>
        <w:rPr>
          <w:sz w:val="20"/>
        </w:rPr>
      </w:pPr>
      <w:r w:rsidRPr="00430C81">
        <w:rPr>
          <w:rStyle w:val="FootnoteReference"/>
          <w:sz w:val="20"/>
        </w:rPr>
        <w:footnoteRef/>
      </w:r>
      <w:r w:rsidR="001A2177">
        <w:rPr>
          <w:color w:val="000000"/>
          <w:sz w:val="20"/>
        </w:rPr>
        <w:t xml:space="preserve"> </w:t>
      </w:r>
      <w:r w:rsidR="00C27762">
        <w:rPr>
          <w:i/>
          <w:sz w:val="20"/>
        </w:rPr>
        <w:t>NPRM</w:t>
      </w:r>
      <w:r w:rsidR="00C27762">
        <w:rPr>
          <w:sz w:val="20"/>
        </w:rPr>
        <w:t xml:space="preserve">, 29 FCC </w:t>
      </w:r>
      <w:r w:rsidR="00C27762">
        <w:rPr>
          <w:sz w:val="20"/>
        </w:rPr>
        <w:t>Rcd</w:t>
      </w:r>
      <w:r w:rsidRPr="000C76DC" w:rsidR="00C27762">
        <w:rPr>
          <w:sz w:val="20"/>
        </w:rPr>
        <w:t xml:space="preserve"> at </w:t>
      </w:r>
      <w:r w:rsidRPr="00434E76" w:rsidR="00C27762">
        <w:rPr>
          <w:sz w:val="20"/>
        </w:rPr>
        <w:t>12554-5, para. 49</w:t>
      </w:r>
      <w:r w:rsidR="00C27762">
        <w:rPr>
          <w:sz w:val="20"/>
        </w:rPr>
        <w:t xml:space="preserve">.  </w:t>
      </w:r>
      <w:r w:rsidRPr="00C27762" w:rsidR="00C27762">
        <w:rPr>
          <w:i/>
          <w:sz w:val="20"/>
        </w:rPr>
        <w:t>See</w:t>
      </w:r>
      <w:r w:rsidR="00C27762">
        <w:rPr>
          <w:sz w:val="20"/>
        </w:rPr>
        <w:t xml:space="preserve"> </w:t>
      </w:r>
      <w:r w:rsidRPr="001A2177" w:rsidR="001A2177">
        <w:rPr>
          <w:color w:val="000000"/>
          <w:sz w:val="20"/>
        </w:rPr>
        <w:t>47 U.S.C. § 336(b)(1) (requiring the Commission to adopt regulations that allow the holders of digital television licenses to offer ancillary or supplementary services, but providing that such regulations shall “only permit such licensee or permittee to offer ancillary or supplementary services if the use of a designated frequency for such services is consistent with the technology or method designated by the Commission for the provision of advanced television services”); 47 U.S.C. § 336(i)(1) (defining “advanced television services” as “</w:t>
      </w:r>
      <w:r w:rsidRPr="001A2177" w:rsidR="001A2177">
        <w:rPr>
          <w:color w:val="000000"/>
          <w:sz w:val="20"/>
          <w:shd w:val="clear" w:color="auto" w:fill="FFFFFF"/>
        </w:rPr>
        <w:t>television services provided using digital or other advanced technology as further defined in the opinion, report, and order of the Commission entitled ‘Advanced Television Systems and Their Impact Upon the Existing Television Broadcast Service’, MM Docket 87-268, adopted September 17, 1992, and successor proceedings.”)</w:t>
      </w:r>
      <w:r w:rsidRPr="00430C81">
        <w:rPr>
          <w:sz w:val="20"/>
        </w:rPr>
        <w:t>.</w:t>
      </w:r>
    </w:p>
  </w:footnote>
  <w:footnote w:id="26">
    <w:p w:rsidR="00497EBE" w:rsidRPr="003427CB" w:rsidP="00497EBE">
      <w:pPr>
        <w:pStyle w:val="FootnoteText"/>
        <w:rPr>
          <w:sz w:val="20"/>
        </w:rPr>
      </w:pPr>
      <w:r w:rsidRPr="003427CB">
        <w:rPr>
          <w:rStyle w:val="FootnoteReference"/>
          <w:sz w:val="20"/>
        </w:rPr>
        <w:footnoteRef/>
      </w:r>
      <w:r w:rsidRPr="003427CB">
        <w:rPr>
          <w:sz w:val="20"/>
        </w:rPr>
        <w:t xml:space="preserve"> </w:t>
      </w:r>
      <w:r w:rsidRPr="003427CB">
        <w:rPr>
          <w:i/>
          <w:sz w:val="20"/>
        </w:rPr>
        <w:t>See NPRM</w:t>
      </w:r>
      <w:r w:rsidRPr="003427CB">
        <w:rPr>
          <w:sz w:val="20"/>
        </w:rPr>
        <w:t xml:space="preserve">, 29 FCC </w:t>
      </w:r>
      <w:r w:rsidRPr="003427CB">
        <w:rPr>
          <w:sz w:val="20"/>
        </w:rPr>
        <w:t>Rcd</w:t>
      </w:r>
      <w:r w:rsidRPr="003427CB">
        <w:rPr>
          <w:sz w:val="20"/>
        </w:rPr>
        <w:t xml:space="preserve"> at 12555-6, para. 52.</w:t>
      </w:r>
    </w:p>
  </w:footnote>
  <w:footnote w:id="27">
    <w:p w:rsidR="00497EBE" w:rsidRPr="003427CB" w:rsidP="00497EBE">
      <w:pPr>
        <w:pStyle w:val="FootnoteText"/>
        <w:rPr>
          <w:sz w:val="20"/>
        </w:rPr>
      </w:pPr>
      <w:r w:rsidRPr="003427CB">
        <w:rPr>
          <w:rStyle w:val="FootnoteReference"/>
          <w:sz w:val="20"/>
        </w:rPr>
        <w:footnoteRef/>
      </w:r>
      <w:r w:rsidRPr="003427CB">
        <w:rPr>
          <w:sz w:val="20"/>
        </w:rPr>
        <w:t xml:space="preserve"> </w:t>
      </w:r>
      <w:r w:rsidRPr="003427CB">
        <w:rPr>
          <w:i/>
          <w:sz w:val="20"/>
        </w:rPr>
        <w:t xml:space="preserve">Id. </w:t>
      </w:r>
      <w:r w:rsidRPr="003427CB">
        <w:rPr>
          <w:sz w:val="20"/>
        </w:rPr>
        <w:t>at 12556, para. 53.</w:t>
      </w:r>
    </w:p>
  </w:footnote>
  <w:footnote w:id="28">
    <w:p w:rsidR="00497EBE" w:rsidRPr="003427CB" w:rsidP="00497EBE">
      <w:pPr>
        <w:pStyle w:val="FootnoteText"/>
        <w:rPr>
          <w:sz w:val="20"/>
        </w:rPr>
      </w:pPr>
      <w:r w:rsidRPr="003427CB">
        <w:rPr>
          <w:rStyle w:val="FootnoteReference"/>
          <w:sz w:val="20"/>
        </w:rPr>
        <w:footnoteRef/>
      </w:r>
      <w:r w:rsidRPr="003427CB">
        <w:rPr>
          <w:sz w:val="20"/>
        </w:rPr>
        <w:t xml:space="preserve"> Channel 6 Commenters Ex </w:t>
      </w:r>
      <w:r w:rsidRPr="003427CB">
        <w:rPr>
          <w:sz w:val="20"/>
        </w:rPr>
        <w:t>Parte</w:t>
      </w:r>
      <w:r w:rsidRPr="003427CB">
        <w:rPr>
          <w:sz w:val="20"/>
        </w:rPr>
        <w:t xml:space="preserve"> at 6 and 19.</w:t>
      </w:r>
    </w:p>
  </w:footnote>
  <w:footnote w:id="29">
    <w:p w:rsidR="00750964" w:rsidP="00750964">
      <w:pPr>
        <w:pStyle w:val="FootnoteText"/>
      </w:pPr>
      <w:r>
        <w:rPr>
          <w:rStyle w:val="FootnoteReference"/>
        </w:rPr>
        <w:footnoteRef/>
      </w:r>
      <w:r>
        <w:t xml:space="preserve"> </w:t>
      </w:r>
      <w:r>
        <w:rPr>
          <w:i/>
          <w:sz w:val="20"/>
        </w:rPr>
        <w:t>NPRM</w:t>
      </w:r>
      <w:r>
        <w:rPr>
          <w:sz w:val="20"/>
        </w:rPr>
        <w:t xml:space="preserve">, 29 FCC </w:t>
      </w:r>
      <w:r>
        <w:rPr>
          <w:sz w:val="20"/>
        </w:rPr>
        <w:t>Rcd</w:t>
      </w:r>
      <w:r w:rsidRPr="000C76DC">
        <w:rPr>
          <w:sz w:val="20"/>
        </w:rPr>
        <w:t xml:space="preserve"> at </w:t>
      </w:r>
      <w:r w:rsidRPr="00434E76">
        <w:rPr>
          <w:sz w:val="20"/>
        </w:rPr>
        <w:t>125</w:t>
      </w:r>
      <w:r>
        <w:rPr>
          <w:sz w:val="20"/>
        </w:rPr>
        <w:t>65-71.</w:t>
      </w:r>
    </w:p>
  </w:footnote>
  <w:footnote w:id="30">
    <w:p w:rsidR="00497EBE" w:rsidRPr="003427CB" w:rsidP="00497EBE">
      <w:pPr>
        <w:pStyle w:val="FootnoteText"/>
        <w:widowControl w:val="0"/>
        <w:rPr>
          <w:sz w:val="20"/>
        </w:rPr>
      </w:pPr>
      <w:r w:rsidRPr="003427CB">
        <w:rPr>
          <w:rStyle w:val="FootnoteReference"/>
          <w:sz w:val="20"/>
        </w:rPr>
        <w:footnoteRef/>
      </w:r>
      <w:r w:rsidRPr="003427CB">
        <w:rPr>
          <w:sz w:val="20"/>
        </w:rPr>
        <w:t xml:space="preserve"> 47 CFR §§ 1.1200 </w:t>
      </w:r>
      <w:r w:rsidRPr="003427CB">
        <w:rPr>
          <w:i/>
          <w:sz w:val="20"/>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5194">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4384" behindDoc="1" locked="0" layoutInCell="0" allowOverlap="1">
          <wp:simplePos x="0" y="0"/>
          <wp:positionH relativeFrom="column">
            <wp:posOffset>28575</wp:posOffset>
          </wp:positionH>
          <wp:positionV relativeFrom="paragraph">
            <wp:posOffset>0</wp:posOffset>
          </wp:positionV>
          <wp:extent cx="530225" cy="530225"/>
          <wp:effectExtent l="0" t="0" r="3175" b="3175"/>
          <wp:wrapNone/>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635132"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95194">
                          <w:pPr>
                            <w:rPr>
                              <w:rFonts w:ascii="Arial" w:hAnsi="Arial"/>
                              <w:b/>
                            </w:rPr>
                          </w:pPr>
                          <w:r>
                            <w:rPr>
                              <w:rFonts w:ascii="Arial" w:hAnsi="Arial"/>
                              <w:b/>
                            </w:rPr>
                            <w:t>Federal Communications Commission</w:t>
                          </w:r>
                        </w:p>
                        <w:p w:rsidR="00095194">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095194">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4pt;margin-top:57.6pt;margin-left:47.6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095194">
                    <w:pPr>
                      <w:rPr>
                        <w:rFonts w:ascii="Arial" w:hAnsi="Arial"/>
                        <w:b/>
                      </w:rPr>
                    </w:pPr>
                    <w:r>
                      <w:rPr>
                        <w:rFonts w:ascii="Arial" w:hAnsi="Arial"/>
                        <w:b/>
                      </w:rPr>
                      <w:t>Federal Communications Commission</w:t>
                    </w:r>
                  </w:p>
                  <w:p w:rsidR="00095194">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095194">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kern w:val="28"/>
        <w:sz w:val="96"/>
      </w:rPr>
      <w:t>PUBLIC NOTICE</w:t>
    </w:r>
  </w:p>
  <w:p w:rsidR="00095194">
    <w:pPr>
      <w:pStyle w:val="Header"/>
      <w:tabs>
        <w:tab w:val="left" w:pos="1080"/>
        <w:tab w:val="clear" w:pos="4320"/>
        <w:tab w:val="clear" w:pos="864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3823335</wp:posOffset>
              </wp:positionH>
              <wp:positionV relativeFrom="paragraph">
                <wp:posOffset>76200</wp:posOffset>
              </wp:positionV>
              <wp:extent cx="2640965" cy="548640"/>
              <wp:effectExtent l="0" t="0" r="0" b="0"/>
              <wp:wrapNone/>
              <wp:docPr id="2"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95194">
                          <w:pPr>
                            <w:spacing w:before="40"/>
                            <w:jc w:val="right"/>
                            <w:rPr>
                              <w:rFonts w:ascii="Arial" w:hAnsi="Arial"/>
                              <w:b/>
                              <w:sz w:val="16"/>
                            </w:rPr>
                          </w:pPr>
                          <w:r>
                            <w:rPr>
                              <w:rFonts w:ascii="Arial" w:hAnsi="Arial"/>
                              <w:b/>
                              <w:sz w:val="16"/>
                            </w:rPr>
                            <w:t>News Media Information 202 / 418-0500</w:t>
                          </w:r>
                        </w:p>
                        <w:p w:rsidR="00095194">
                          <w:pPr>
                            <w:jc w:val="right"/>
                            <w:rPr>
                              <w:rFonts w:ascii="Arial" w:hAnsi="Arial"/>
                              <w:b/>
                              <w:sz w:val="16"/>
                            </w:rPr>
                          </w:pPr>
                          <w:r>
                            <w:rPr>
                              <w:rFonts w:ascii="Arial" w:hAnsi="Arial"/>
                              <w:b/>
                              <w:sz w:val="16"/>
                            </w:rPr>
                            <w:tab/>
                            <w:t xml:space="preserve">Internet: </w:t>
                          </w:r>
                          <w:bookmarkStart w:id="5" w:name="_Hlt233824"/>
                          <w:r>
                            <w:rPr>
                              <w:rFonts w:ascii="Arial" w:hAnsi="Arial"/>
                              <w:b/>
                              <w:sz w:val="16"/>
                            </w:rPr>
                            <w:t>h</w:t>
                          </w:r>
                          <w:bookmarkEnd w:id="5"/>
                          <w:r>
                            <w:rPr>
                              <w:rFonts w:ascii="Arial" w:hAnsi="Arial"/>
                              <w:b/>
                              <w:sz w:val="16"/>
                            </w:rPr>
                            <w:t>ttp://www.fcc.gov</w:t>
                          </w:r>
                        </w:p>
                        <w:p w:rsidR="00095194">
                          <w:pPr>
                            <w:jc w:val="right"/>
                            <w:rPr>
                              <w:rFonts w:ascii="Arial" w:hAnsi="Arial"/>
                              <w:b/>
                              <w:sz w:val="16"/>
                            </w:rPr>
                          </w:pPr>
                          <w:r>
                            <w:rPr>
                              <w:rFonts w:ascii="Arial" w:hAnsi="Arial"/>
                              <w:b/>
                              <w:sz w:val="16"/>
                            </w:rPr>
                            <w:t>TTY: 1-888-835-5322</w:t>
                          </w:r>
                        </w:p>
                        <w:p w:rsidR="00095194">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0" type="#_x0000_t202" style="width:207.95pt;height:43.2pt;margin-top:6pt;margin-left:301.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095194">
                    <w:pPr>
                      <w:spacing w:before="40"/>
                      <w:jc w:val="right"/>
                      <w:rPr>
                        <w:rFonts w:ascii="Arial" w:hAnsi="Arial"/>
                        <w:b/>
                        <w:sz w:val="16"/>
                      </w:rPr>
                    </w:pPr>
                    <w:r>
                      <w:rPr>
                        <w:rFonts w:ascii="Arial" w:hAnsi="Arial"/>
                        <w:b/>
                        <w:sz w:val="16"/>
                      </w:rPr>
                      <w:t>News Media Information 202 / 418-0500</w:t>
                    </w:r>
                  </w:p>
                  <w:p w:rsidR="00095194">
                    <w:pPr>
                      <w:jc w:val="right"/>
                      <w:rPr>
                        <w:rFonts w:ascii="Arial" w:hAnsi="Arial"/>
                        <w:b/>
                        <w:sz w:val="16"/>
                      </w:rPr>
                    </w:pPr>
                    <w:r>
                      <w:rPr>
                        <w:rFonts w:ascii="Arial" w:hAnsi="Arial"/>
                        <w:b/>
                        <w:sz w:val="16"/>
                      </w:rPr>
                      <w:tab/>
                      <w:t xml:space="preserve">Internet: </w:t>
                    </w:r>
                    <w:bookmarkStart w:id="5" w:name="_Hlt233824"/>
                    <w:r>
                      <w:rPr>
                        <w:rFonts w:ascii="Arial" w:hAnsi="Arial"/>
                        <w:b/>
                        <w:sz w:val="16"/>
                      </w:rPr>
                      <w:t>h</w:t>
                    </w:r>
                    <w:bookmarkEnd w:id="5"/>
                    <w:r>
                      <w:rPr>
                        <w:rFonts w:ascii="Arial" w:hAnsi="Arial"/>
                        <w:b/>
                        <w:sz w:val="16"/>
                      </w:rPr>
                      <w:t>ttp://www.fcc.gov</w:t>
                    </w:r>
                  </w:p>
                  <w:p w:rsidR="00095194">
                    <w:pPr>
                      <w:jc w:val="right"/>
                      <w:rPr>
                        <w:rFonts w:ascii="Arial" w:hAnsi="Arial"/>
                        <w:b/>
                        <w:sz w:val="16"/>
                      </w:rPr>
                    </w:pPr>
                    <w:r>
                      <w:rPr>
                        <w:rFonts w:ascii="Arial" w:hAnsi="Arial"/>
                        <w:b/>
                        <w:sz w:val="16"/>
                      </w:rPr>
                      <w:t>TTY: 1-888-835-5322</w:t>
                    </w:r>
                  </w:p>
                  <w:p w:rsidR="00095194">
                    <w:pPr>
                      <w:jc w:val="right"/>
                    </w:pPr>
                  </w:p>
                </w:txbxContent>
              </v:textbox>
            </v:shape>
          </w:pict>
        </mc:Fallback>
      </mc:AlternateContent>
    </w: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095194">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5677509"/>
    <w:multiLevelType w:val="hybridMultilevel"/>
    <w:tmpl w:val="FED4B79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38333CB5"/>
    <w:multiLevelType w:val="hybridMultilevel"/>
    <w:tmpl w:val="5BCCF90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A177191"/>
    <w:multiLevelType w:val="hybridMultilevel"/>
    <w:tmpl w:val="4AA2843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0">
    <w:nsid w:val="61182925"/>
    <w:multiLevelType w:val="singleLevel"/>
    <w:tmpl w:val="F89C161A"/>
    <w:lvl w:ilvl="0">
      <w:start w:val="1"/>
      <w:numFmt w:val="decimal"/>
      <w:pStyle w:val="ParaNumCharCharChar1Char"/>
      <w:lvlText w:val="%1."/>
      <w:lvlJc w:val="left"/>
      <w:pPr>
        <w:tabs>
          <w:tab w:val="num" w:pos="4590"/>
        </w:tabs>
        <w:ind w:left="3510" w:firstLine="720"/>
      </w:pPr>
      <w:rPr>
        <w:b w:val="0"/>
        <w:i w:val="0"/>
      </w:rPr>
    </w:lvl>
  </w:abstractNum>
  <w:abstractNum w:abstractNumId="11">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4"/>
  </w:num>
  <w:num w:numId="13">
    <w:abstractNumId w:val="10"/>
  </w:num>
  <w:num w:numId="14">
    <w:abstractNumId w:val="2"/>
  </w:num>
  <w:num w:numId="15">
    <w:abstractNumId w:val="8"/>
  </w:num>
  <w:num w:numId="16">
    <w:abstractNumId w:val="0"/>
  </w:num>
  <w:num w:numId="17">
    <w:abstractNumId w:val="11"/>
  </w:num>
  <w:num w:numId="18">
    <w:abstractNumId w:val="3"/>
  </w:num>
  <w:num w:numId="19">
    <w:abstractNumId w:val="10"/>
    <w:lvlOverride w:ilvl="0">
      <w:startOverride w:val="1"/>
    </w:lvlOverride>
  </w:num>
  <w:num w:numId="20">
    <w:abstractNumId w:val="4"/>
  </w:num>
  <w:num w:numId="21">
    <w:abstractNumId w:val="4"/>
  </w:num>
  <w:num w:numId="22">
    <w:abstractNumId w:val="4"/>
  </w:num>
  <w:num w:numId="23">
    <w:abstractNumId w:val="4"/>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731"/>
    <w:rsid w:val="00015822"/>
    <w:rsid w:val="000207A9"/>
    <w:rsid w:val="00022C55"/>
    <w:rsid w:val="00024761"/>
    <w:rsid w:val="00027642"/>
    <w:rsid w:val="00030BD9"/>
    <w:rsid w:val="000460EE"/>
    <w:rsid w:val="00057DB4"/>
    <w:rsid w:val="0006211B"/>
    <w:rsid w:val="00080E32"/>
    <w:rsid w:val="000810A9"/>
    <w:rsid w:val="000872E1"/>
    <w:rsid w:val="00087945"/>
    <w:rsid w:val="00095194"/>
    <w:rsid w:val="000959A3"/>
    <w:rsid w:val="000A0F70"/>
    <w:rsid w:val="000B1D6E"/>
    <w:rsid w:val="000B2462"/>
    <w:rsid w:val="000B354B"/>
    <w:rsid w:val="000B6FB5"/>
    <w:rsid w:val="000B754B"/>
    <w:rsid w:val="000B7FE1"/>
    <w:rsid w:val="000C2ABD"/>
    <w:rsid w:val="000C5FFE"/>
    <w:rsid w:val="000C76DC"/>
    <w:rsid w:val="000E4E45"/>
    <w:rsid w:val="000E5087"/>
    <w:rsid w:val="000E78C5"/>
    <w:rsid w:val="000F317B"/>
    <w:rsid w:val="00100E43"/>
    <w:rsid w:val="00101D08"/>
    <w:rsid w:val="00110C05"/>
    <w:rsid w:val="00123185"/>
    <w:rsid w:val="00125249"/>
    <w:rsid w:val="001368C9"/>
    <w:rsid w:val="001429FC"/>
    <w:rsid w:val="0015431A"/>
    <w:rsid w:val="00156B31"/>
    <w:rsid w:val="0016076D"/>
    <w:rsid w:val="00162193"/>
    <w:rsid w:val="0016379D"/>
    <w:rsid w:val="00164117"/>
    <w:rsid w:val="0016673E"/>
    <w:rsid w:val="00183A40"/>
    <w:rsid w:val="00186E1E"/>
    <w:rsid w:val="001872EF"/>
    <w:rsid w:val="00193B10"/>
    <w:rsid w:val="001A2177"/>
    <w:rsid w:val="001B0DE1"/>
    <w:rsid w:val="001B6010"/>
    <w:rsid w:val="001B6ED6"/>
    <w:rsid w:val="001B792F"/>
    <w:rsid w:val="001C38F7"/>
    <w:rsid w:val="001D30B4"/>
    <w:rsid w:val="001D37C6"/>
    <w:rsid w:val="001D5EA5"/>
    <w:rsid w:val="001D6415"/>
    <w:rsid w:val="001D73E3"/>
    <w:rsid w:val="001E0E7C"/>
    <w:rsid w:val="001F3627"/>
    <w:rsid w:val="001F449F"/>
    <w:rsid w:val="00206CDA"/>
    <w:rsid w:val="002141E0"/>
    <w:rsid w:val="002176D8"/>
    <w:rsid w:val="00220B8C"/>
    <w:rsid w:val="0022116B"/>
    <w:rsid w:val="00227109"/>
    <w:rsid w:val="0023664A"/>
    <w:rsid w:val="00241A3B"/>
    <w:rsid w:val="002501E3"/>
    <w:rsid w:val="0025311E"/>
    <w:rsid w:val="00257075"/>
    <w:rsid w:val="00263708"/>
    <w:rsid w:val="0027098E"/>
    <w:rsid w:val="00270E72"/>
    <w:rsid w:val="002721DA"/>
    <w:rsid w:val="00297AF3"/>
    <w:rsid w:val="002A26FC"/>
    <w:rsid w:val="002A608C"/>
    <w:rsid w:val="002B23BF"/>
    <w:rsid w:val="002C6610"/>
    <w:rsid w:val="002C7D94"/>
    <w:rsid w:val="002E6A81"/>
    <w:rsid w:val="002F21FF"/>
    <w:rsid w:val="00304F9E"/>
    <w:rsid w:val="00320E6A"/>
    <w:rsid w:val="00325BCF"/>
    <w:rsid w:val="0033515D"/>
    <w:rsid w:val="00335FA0"/>
    <w:rsid w:val="00340716"/>
    <w:rsid w:val="00341121"/>
    <w:rsid w:val="0034178F"/>
    <w:rsid w:val="003427CB"/>
    <w:rsid w:val="003506E3"/>
    <w:rsid w:val="003562FC"/>
    <w:rsid w:val="00360FB1"/>
    <w:rsid w:val="00361025"/>
    <w:rsid w:val="0036422F"/>
    <w:rsid w:val="00384CEA"/>
    <w:rsid w:val="00386B8F"/>
    <w:rsid w:val="0039132D"/>
    <w:rsid w:val="003921A2"/>
    <w:rsid w:val="00396869"/>
    <w:rsid w:val="003B5BE0"/>
    <w:rsid w:val="003C7BB3"/>
    <w:rsid w:val="003D0D23"/>
    <w:rsid w:val="003D285F"/>
    <w:rsid w:val="003D611A"/>
    <w:rsid w:val="003E1438"/>
    <w:rsid w:val="003E435B"/>
    <w:rsid w:val="003E7E74"/>
    <w:rsid w:val="003F3C2E"/>
    <w:rsid w:val="00406F2E"/>
    <w:rsid w:val="0040703B"/>
    <w:rsid w:val="00411DEA"/>
    <w:rsid w:val="00423FCF"/>
    <w:rsid w:val="00430C81"/>
    <w:rsid w:val="00434E76"/>
    <w:rsid w:val="004402D6"/>
    <w:rsid w:val="004604A2"/>
    <w:rsid w:val="004662B2"/>
    <w:rsid w:val="004730C4"/>
    <w:rsid w:val="004758D7"/>
    <w:rsid w:val="00484948"/>
    <w:rsid w:val="00486DB0"/>
    <w:rsid w:val="004966AE"/>
    <w:rsid w:val="00496847"/>
    <w:rsid w:val="00497EBE"/>
    <w:rsid w:val="004B3E9E"/>
    <w:rsid w:val="004C46BE"/>
    <w:rsid w:val="004D3CD5"/>
    <w:rsid w:val="004D7D37"/>
    <w:rsid w:val="004E0861"/>
    <w:rsid w:val="004F44BE"/>
    <w:rsid w:val="00503026"/>
    <w:rsid w:val="00505AF5"/>
    <w:rsid w:val="00514DEA"/>
    <w:rsid w:val="00515385"/>
    <w:rsid w:val="0051741D"/>
    <w:rsid w:val="0052111E"/>
    <w:rsid w:val="005227F4"/>
    <w:rsid w:val="005254C3"/>
    <w:rsid w:val="00525642"/>
    <w:rsid w:val="005360BF"/>
    <w:rsid w:val="00537BA1"/>
    <w:rsid w:val="005403A6"/>
    <w:rsid w:val="0056114B"/>
    <w:rsid w:val="00564176"/>
    <w:rsid w:val="00566282"/>
    <w:rsid w:val="00570C44"/>
    <w:rsid w:val="00580804"/>
    <w:rsid w:val="00583FE8"/>
    <w:rsid w:val="00587BC5"/>
    <w:rsid w:val="0059067A"/>
    <w:rsid w:val="005932E5"/>
    <w:rsid w:val="005959A3"/>
    <w:rsid w:val="005A35B0"/>
    <w:rsid w:val="005A655F"/>
    <w:rsid w:val="005E1615"/>
    <w:rsid w:val="005E3896"/>
    <w:rsid w:val="005E5280"/>
    <w:rsid w:val="005E54FF"/>
    <w:rsid w:val="005F5715"/>
    <w:rsid w:val="0060437C"/>
    <w:rsid w:val="006049E8"/>
    <w:rsid w:val="00604CFE"/>
    <w:rsid w:val="00612B85"/>
    <w:rsid w:val="0063574A"/>
    <w:rsid w:val="00650094"/>
    <w:rsid w:val="00654F08"/>
    <w:rsid w:val="006744C0"/>
    <w:rsid w:val="006812B0"/>
    <w:rsid w:val="00682532"/>
    <w:rsid w:val="00684E06"/>
    <w:rsid w:val="00686C4F"/>
    <w:rsid w:val="006947F6"/>
    <w:rsid w:val="006A3AB5"/>
    <w:rsid w:val="006A76B3"/>
    <w:rsid w:val="006B51C8"/>
    <w:rsid w:val="006D67AB"/>
    <w:rsid w:val="006D6B5F"/>
    <w:rsid w:val="006E2F59"/>
    <w:rsid w:val="006E4152"/>
    <w:rsid w:val="006F0108"/>
    <w:rsid w:val="00723257"/>
    <w:rsid w:val="00723F78"/>
    <w:rsid w:val="00750964"/>
    <w:rsid w:val="007543A5"/>
    <w:rsid w:val="00756483"/>
    <w:rsid w:val="007577E7"/>
    <w:rsid w:val="00761235"/>
    <w:rsid w:val="007650F2"/>
    <w:rsid w:val="0076583D"/>
    <w:rsid w:val="00772667"/>
    <w:rsid w:val="0077685C"/>
    <w:rsid w:val="00782951"/>
    <w:rsid w:val="00782A78"/>
    <w:rsid w:val="007846BC"/>
    <w:rsid w:val="00797CA7"/>
    <w:rsid w:val="007A797E"/>
    <w:rsid w:val="007B0180"/>
    <w:rsid w:val="007B2668"/>
    <w:rsid w:val="007C2413"/>
    <w:rsid w:val="007D064B"/>
    <w:rsid w:val="007D337F"/>
    <w:rsid w:val="007E06E8"/>
    <w:rsid w:val="007E1FAD"/>
    <w:rsid w:val="007E2A9F"/>
    <w:rsid w:val="007F1C7E"/>
    <w:rsid w:val="00803587"/>
    <w:rsid w:val="0080453B"/>
    <w:rsid w:val="008068B2"/>
    <w:rsid w:val="00817163"/>
    <w:rsid w:val="00820754"/>
    <w:rsid w:val="00825337"/>
    <w:rsid w:val="00825A35"/>
    <w:rsid w:val="008264DC"/>
    <w:rsid w:val="0083221E"/>
    <w:rsid w:val="00836593"/>
    <w:rsid w:val="00841E34"/>
    <w:rsid w:val="00852E67"/>
    <w:rsid w:val="008532EC"/>
    <w:rsid w:val="00853677"/>
    <w:rsid w:val="00855A1D"/>
    <w:rsid w:val="00860F42"/>
    <w:rsid w:val="00865A73"/>
    <w:rsid w:val="008710BB"/>
    <w:rsid w:val="008854F7"/>
    <w:rsid w:val="008943B5"/>
    <w:rsid w:val="00894D41"/>
    <w:rsid w:val="008A45C0"/>
    <w:rsid w:val="008B5B75"/>
    <w:rsid w:val="008C7730"/>
    <w:rsid w:val="008D0DF1"/>
    <w:rsid w:val="008D21FF"/>
    <w:rsid w:val="008E12A4"/>
    <w:rsid w:val="008E15AF"/>
    <w:rsid w:val="008E59E7"/>
    <w:rsid w:val="00920F13"/>
    <w:rsid w:val="009226B9"/>
    <w:rsid w:val="00923DB9"/>
    <w:rsid w:val="0093082A"/>
    <w:rsid w:val="00935E20"/>
    <w:rsid w:val="00935E8A"/>
    <w:rsid w:val="009420A7"/>
    <w:rsid w:val="00943AB8"/>
    <w:rsid w:val="009473CA"/>
    <w:rsid w:val="00962E48"/>
    <w:rsid w:val="00965A81"/>
    <w:rsid w:val="00974033"/>
    <w:rsid w:val="00976D68"/>
    <w:rsid w:val="00981F70"/>
    <w:rsid w:val="00986AF0"/>
    <w:rsid w:val="009A33F7"/>
    <w:rsid w:val="009C346F"/>
    <w:rsid w:val="009C401B"/>
    <w:rsid w:val="009C4ABC"/>
    <w:rsid w:val="009C6281"/>
    <w:rsid w:val="009C67D2"/>
    <w:rsid w:val="009E04BC"/>
    <w:rsid w:val="009F4629"/>
    <w:rsid w:val="00A024AA"/>
    <w:rsid w:val="00A12E45"/>
    <w:rsid w:val="00A14A25"/>
    <w:rsid w:val="00A15748"/>
    <w:rsid w:val="00A20068"/>
    <w:rsid w:val="00A205E9"/>
    <w:rsid w:val="00A212FB"/>
    <w:rsid w:val="00A4073C"/>
    <w:rsid w:val="00A419CA"/>
    <w:rsid w:val="00A50BC0"/>
    <w:rsid w:val="00A5427A"/>
    <w:rsid w:val="00A573CE"/>
    <w:rsid w:val="00A672F8"/>
    <w:rsid w:val="00A707B0"/>
    <w:rsid w:val="00A74832"/>
    <w:rsid w:val="00A806A2"/>
    <w:rsid w:val="00A808C7"/>
    <w:rsid w:val="00A855EE"/>
    <w:rsid w:val="00A933A9"/>
    <w:rsid w:val="00A94467"/>
    <w:rsid w:val="00A971E1"/>
    <w:rsid w:val="00AB7369"/>
    <w:rsid w:val="00AC0F29"/>
    <w:rsid w:val="00AD1F81"/>
    <w:rsid w:val="00AD554A"/>
    <w:rsid w:val="00AD7227"/>
    <w:rsid w:val="00AE1811"/>
    <w:rsid w:val="00AE5037"/>
    <w:rsid w:val="00B06E57"/>
    <w:rsid w:val="00B1026D"/>
    <w:rsid w:val="00B17EB8"/>
    <w:rsid w:val="00B37218"/>
    <w:rsid w:val="00B42E6A"/>
    <w:rsid w:val="00B44060"/>
    <w:rsid w:val="00B50950"/>
    <w:rsid w:val="00B52891"/>
    <w:rsid w:val="00B535F6"/>
    <w:rsid w:val="00B56781"/>
    <w:rsid w:val="00B6654F"/>
    <w:rsid w:val="00B703A1"/>
    <w:rsid w:val="00B734EC"/>
    <w:rsid w:val="00B75945"/>
    <w:rsid w:val="00B762A2"/>
    <w:rsid w:val="00B87A6C"/>
    <w:rsid w:val="00BA4D3F"/>
    <w:rsid w:val="00BB14CB"/>
    <w:rsid w:val="00BB1DFC"/>
    <w:rsid w:val="00BB4D5C"/>
    <w:rsid w:val="00BC0E62"/>
    <w:rsid w:val="00BC1021"/>
    <w:rsid w:val="00BC2DF0"/>
    <w:rsid w:val="00BC4C1B"/>
    <w:rsid w:val="00BC4EA9"/>
    <w:rsid w:val="00BD1BD7"/>
    <w:rsid w:val="00BD6985"/>
    <w:rsid w:val="00BE224C"/>
    <w:rsid w:val="00BE2CD1"/>
    <w:rsid w:val="00BE7924"/>
    <w:rsid w:val="00BF2247"/>
    <w:rsid w:val="00BF2FC2"/>
    <w:rsid w:val="00BF44E9"/>
    <w:rsid w:val="00BF46C5"/>
    <w:rsid w:val="00BF4BFB"/>
    <w:rsid w:val="00C12E11"/>
    <w:rsid w:val="00C16CC6"/>
    <w:rsid w:val="00C27762"/>
    <w:rsid w:val="00C32FCF"/>
    <w:rsid w:val="00C33BBB"/>
    <w:rsid w:val="00C55FD9"/>
    <w:rsid w:val="00C56A31"/>
    <w:rsid w:val="00C87E63"/>
    <w:rsid w:val="00CC200A"/>
    <w:rsid w:val="00CC6E07"/>
    <w:rsid w:val="00CC7E36"/>
    <w:rsid w:val="00CD5895"/>
    <w:rsid w:val="00CD79FE"/>
    <w:rsid w:val="00CF227A"/>
    <w:rsid w:val="00CF53C2"/>
    <w:rsid w:val="00D02602"/>
    <w:rsid w:val="00D02D0E"/>
    <w:rsid w:val="00D037C7"/>
    <w:rsid w:val="00D04EED"/>
    <w:rsid w:val="00D10092"/>
    <w:rsid w:val="00D11D77"/>
    <w:rsid w:val="00D12957"/>
    <w:rsid w:val="00D2138B"/>
    <w:rsid w:val="00D2285F"/>
    <w:rsid w:val="00D25887"/>
    <w:rsid w:val="00D316AD"/>
    <w:rsid w:val="00D403AB"/>
    <w:rsid w:val="00D45C74"/>
    <w:rsid w:val="00D56C2F"/>
    <w:rsid w:val="00D60F96"/>
    <w:rsid w:val="00D61AA7"/>
    <w:rsid w:val="00D66200"/>
    <w:rsid w:val="00D727F9"/>
    <w:rsid w:val="00D76406"/>
    <w:rsid w:val="00D8611E"/>
    <w:rsid w:val="00D90731"/>
    <w:rsid w:val="00D923AF"/>
    <w:rsid w:val="00D96A78"/>
    <w:rsid w:val="00DA0A60"/>
    <w:rsid w:val="00DA2F12"/>
    <w:rsid w:val="00DB09DE"/>
    <w:rsid w:val="00DB3E17"/>
    <w:rsid w:val="00DB438D"/>
    <w:rsid w:val="00DC4389"/>
    <w:rsid w:val="00DC5E07"/>
    <w:rsid w:val="00DD3E91"/>
    <w:rsid w:val="00DD6710"/>
    <w:rsid w:val="00DD7778"/>
    <w:rsid w:val="00DF0711"/>
    <w:rsid w:val="00DF2CBA"/>
    <w:rsid w:val="00DF7548"/>
    <w:rsid w:val="00E067FE"/>
    <w:rsid w:val="00E10D2E"/>
    <w:rsid w:val="00E11A34"/>
    <w:rsid w:val="00E1307C"/>
    <w:rsid w:val="00E13084"/>
    <w:rsid w:val="00E137F0"/>
    <w:rsid w:val="00E1548D"/>
    <w:rsid w:val="00E15934"/>
    <w:rsid w:val="00E15A24"/>
    <w:rsid w:val="00E20A3A"/>
    <w:rsid w:val="00E27B0B"/>
    <w:rsid w:val="00E36D3E"/>
    <w:rsid w:val="00E3721A"/>
    <w:rsid w:val="00E508DB"/>
    <w:rsid w:val="00E539D3"/>
    <w:rsid w:val="00E61383"/>
    <w:rsid w:val="00E81BBD"/>
    <w:rsid w:val="00E83821"/>
    <w:rsid w:val="00E85C62"/>
    <w:rsid w:val="00E87ABB"/>
    <w:rsid w:val="00E87DF0"/>
    <w:rsid w:val="00E91D53"/>
    <w:rsid w:val="00E92110"/>
    <w:rsid w:val="00E94268"/>
    <w:rsid w:val="00E947C6"/>
    <w:rsid w:val="00EA0CAB"/>
    <w:rsid w:val="00EA4071"/>
    <w:rsid w:val="00EB577C"/>
    <w:rsid w:val="00EB6CB3"/>
    <w:rsid w:val="00EC3264"/>
    <w:rsid w:val="00EC3B04"/>
    <w:rsid w:val="00ED1B3C"/>
    <w:rsid w:val="00ED2EC4"/>
    <w:rsid w:val="00EF1898"/>
    <w:rsid w:val="00F03E23"/>
    <w:rsid w:val="00F07723"/>
    <w:rsid w:val="00F07D84"/>
    <w:rsid w:val="00F10D35"/>
    <w:rsid w:val="00F10E1D"/>
    <w:rsid w:val="00F15021"/>
    <w:rsid w:val="00F23268"/>
    <w:rsid w:val="00F53C79"/>
    <w:rsid w:val="00F55464"/>
    <w:rsid w:val="00F56AC4"/>
    <w:rsid w:val="00F65B56"/>
    <w:rsid w:val="00F847D6"/>
    <w:rsid w:val="00F958FF"/>
    <w:rsid w:val="00F972AA"/>
    <w:rsid w:val="00FA6721"/>
    <w:rsid w:val="00FA699B"/>
    <w:rsid w:val="00FB1CDD"/>
    <w:rsid w:val="00FB1E4E"/>
    <w:rsid w:val="00FB38A2"/>
    <w:rsid w:val="00FB53BF"/>
    <w:rsid w:val="00FC0532"/>
    <w:rsid w:val="00FD35AC"/>
    <w:rsid w:val="00FD5DB0"/>
    <w:rsid w:val="00FF4658"/>
    <w:rsid w:val="00FF4EB3"/>
    <w:rsid w:val="00FF6FBD"/>
    <w:rsid w:val="00FF7A4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Pr>
      <w:vertAlign w:val="superscript"/>
    </w:rPr>
  </w:style>
  <w:style w:type="paragraph" w:styleId="FootnoteText">
    <w:name w:val="footnote text"/>
    <w:aliases w:val="Footnote Text Char1,Footnote Text Char1 Char,Footnote Text Char1 Char Char Char Char,Footnote Text Char2 Char Char Char Char Char1,Footnote Text Char2 Char1 Char Char1,Footnote Text Char3,Footnote Text Char3 Char Char1,Footnote Text Char5"/>
    <w:basedOn w:val="Normal"/>
    <w:link w:val="FootnoteTextChar"/>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rsid w:val="00E508DB"/>
  </w:style>
  <w:style w:type="paragraph" w:styleId="BalloonText">
    <w:name w:val="Balloon Text"/>
    <w:basedOn w:val="Normal"/>
    <w:semiHidden/>
    <w:rsid w:val="00F958FF"/>
    <w:rPr>
      <w:rFonts w:ascii="Tahoma" w:hAnsi="Tahoma" w:cs="Tahoma"/>
      <w:sz w:val="16"/>
      <w:szCs w:val="16"/>
    </w:rPr>
  </w:style>
  <w:style w:type="paragraph" w:styleId="NormalWeb">
    <w:name w:val="Normal (Web)"/>
    <w:basedOn w:val="Normal"/>
    <w:rsid w:val="00F847D6"/>
    <w:pPr>
      <w:spacing w:before="100" w:beforeAutospacing="1" w:after="100" w:afterAutospacing="1"/>
    </w:pPr>
    <w:rPr>
      <w:sz w:val="24"/>
      <w:szCs w:val="24"/>
    </w:rPr>
  </w:style>
  <w:style w:type="paragraph" w:customStyle="1" w:styleId="ParaNum0">
    <w:name w:val="ParaNum"/>
    <w:basedOn w:val="Normal"/>
    <w:link w:val="ParaNumChar2"/>
    <w:rsid w:val="006049E8"/>
    <w:pPr>
      <w:widowControl w:val="0"/>
      <w:tabs>
        <w:tab w:val="num" w:pos="990"/>
        <w:tab w:val="left" w:pos="1440"/>
      </w:tabs>
      <w:spacing w:after="220"/>
      <w:ind w:left="-90" w:firstLine="720"/>
      <w:jc w:val="both"/>
    </w:pPr>
  </w:style>
  <w:style w:type="character" w:customStyle="1" w:styleId="FootnoteTextChar">
    <w:name w:val="Footnote Text Char"/>
    <w:aliases w:val="Footnote Text Char1 Char Char,Footnote Text Char1 Char Char Char Char Char,Footnote Text Char2 Char Char Char Char Char1 Char,Footnote Text Char2 Char1 Char Char1 Char,Footnote Text Char3 Char Char1 Char,Footnote Text Char5 Char"/>
    <w:link w:val="FootnoteText"/>
    <w:rsid w:val="006049E8"/>
    <w:rPr>
      <w:sz w:val="22"/>
      <w:lang w:val="en-US" w:eastAsia="en-US" w:bidi="ar-SA"/>
    </w:rPr>
  </w:style>
  <w:style w:type="paragraph" w:customStyle="1" w:styleId="ParaNumCharCharChar1Char">
    <w:name w:val="ParaNum Char Char Char1 Char"/>
    <w:basedOn w:val="Normal"/>
    <w:rsid w:val="006049E8"/>
    <w:pPr>
      <w:widowControl w:val="0"/>
      <w:numPr>
        <w:numId w:val="13"/>
      </w:numPr>
      <w:spacing w:after="120"/>
    </w:pPr>
    <w:rPr>
      <w:snapToGrid w:val="0"/>
      <w:kern w:val="28"/>
    </w:rPr>
  </w:style>
  <w:style w:type="character" w:styleId="CommentReference">
    <w:name w:val="annotation reference"/>
    <w:semiHidden/>
    <w:rsid w:val="004402D6"/>
    <w:rPr>
      <w:sz w:val="16"/>
      <w:szCs w:val="16"/>
    </w:rPr>
  </w:style>
  <w:style w:type="paragraph" w:styleId="CommentText">
    <w:name w:val="annotation text"/>
    <w:basedOn w:val="Normal"/>
    <w:link w:val="CommentTextChar"/>
    <w:semiHidden/>
    <w:rsid w:val="004402D6"/>
    <w:rPr>
      <w:sz w:val="20"/>
    </w:rPr>
  </w:style>
  <w:style w:type="paragraph" w:styleId="CommentSubject">
    <w:name w:val="annotation subject"/>
    <w:basedOn w:val="CommentText"/>
    <w:next w:val="CommentText"/>
    <w:semiHidden/>
    <w:rsid w:val="004402D6"/>
    <w:rPr>
      <w:b/>
      <w:bCs/>
    </w:rPr>
  </w:style>
  <w:style w:type="character" w:customStyle="1" w:styleId="ParaNumChar2">
    <w:name w:val="ParaNum Char2"/>
    <w:link w:val="ParaNum0"/>
    <w:locked/>
    <w:rsid w:val="00BF4BFB"/>
    <w:rPr>
      <w:sz w:val="22"/>
    </w:rPr>
  </w:style>
  <w:style w:type="character" w:customStyle="1" w:styleId="UnresolvedMention">
    <w:name w:val="Unresolved Mention"/>
    <w:uiPriority w:val="99"/>
    <w:semiHidden/>
    <w:unhideWhenUsed/>
    <w:rsid w:val="00986AF0"/>
    <w:rPr>
      <w:color w:val="605E5C"/>
      <w:shd w:val="clear" w:color="auto" w:fill="E1DFDD"/>
    </w:rPr>
  </w:style>
  <w:style w:type="character" w:customStyle="1" w:styleId="FootnoteTextChar2">
    <w:name w:val="Footnote Text Char2"/>
    <w:aliases w:val="Footnote Text Char Char1 Char Char Char1 Char,Footnote Text Char Char1 Char Char1,Footnote Text Char1 Char Char Char1 Char Char Char,Footnote Text Char1 Char Char1,Footnote Text Char1 Char2,Footnote Text Char2 Char1 Char Char Char"/>
    <w:locked/>
    <w:rsid w:val="000C76DC"/>
  </w:style>
  <w:style w:type="table" w:styleId="TableGrid">
    <w:name w:val="Table Grid"/>
    <w:basedOn w:val="TableNormal"/>
    <w:rsid w:val="00024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Char">
    <w:name w:val="Footnote Text Char Char"/>
    <w:aliases w:val="Footnote Text Char Char6 Char Char,Footnote Text Char Char6 Char Char1 Char1 Char,Footnote Text Char2 Char3 Char,Footnote Text Char4 Char2 Char Char Char Char Char,Footnote Text Char6 Char Char Char Char"/>
    <w:locked/>
    <w:rsid w:val="00386B8F"/>
  </w:style>
  <w:style w:type="character" w:customStyle="1" w:styleId="CommentTextChar">
    <w:name w:val="Comment Text Char"/>
    <w:link w:val="CommentText"/>
    <w:semiHidden/>
    <w:rsid w:val="00384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mailto:Shaun.Maher@fcc.gov"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