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0A8458E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253522A" w14:textId="77777777">
      <w:pPr>
        <w:pStyle w:val="StyleBoldCentered"/>
      </w:pPr>
      <w:r>
        <w:t>F</w:t>
      </w:r>
      <w:r>
        <w:rPr>
          <w:caps w:val="0"/>
        </w:rPr>
        <w:t>ederal Communications Commission</w:t>
      </w:r>
    </w:p>
    <w:p w:rsidR="004C2EE3" w:rsidP="00096D8C" w14:paraId="2183CA3C" w14:textId="77777777">
      <w:pPr>
        <w:pStyle w:val="StyleBoldCentered"/>
      </w:pPr>
      <w:r>
        <w:rPr>
          <w:caps w:val="0"/>
        </w:rPr>
        <w:t>Washington, D.C. 20554</w:t>
      </w:r>
    </w:p>
    <w:p w:rsidR="004C2EE3" w:rsidP="0070224F" w14:paraId="7F443A4B" w14:textId="77777777"/>
    <w:tbl>
      <w:tblPr>
        <w:tblW w:w="0" w:type="auto"/>
        <w:tblLayout w:type="fixed"/>
        <w:tblLook w:val="0000"/>
      </w:tblPr>
      <w:tblGrid>
        <w:gridCol w:w="4698"/>
        <w:gridCol w:w="630"/>
        <w:gridCol w:w="4248"/>
      </w:tblGrid>
      <w:tr w14:paraId="606DAEE6" w14:textId="77777777">
        <w:tblPrEx>
          <w:tblW w:w="0" w:type="auto"/>
          <w:tblLayout w:type="fixed"/>
          <w:tblLook w:val="0000"/>
        </w:tblPrEx>
        <w:tc>
          <w:tcPr>
            <w:tcW w:w="4698" w:type="dxa"/>
          </w:tcPr>
          <w:p w:rsidR="004C2EE3" w14:paraId="777D4B53" w14:textId="77777777">
            <w:pPr>
              <w:tabs>
                <w:tab w:val="center" w:pos="4680"/>
              </w:tabs>
              <w:suppressAutoHyphens/>
              <w:rPr>
                <w:spacing w:val="-2"/>
              </w:rPr>
            </w:pPr>
            <w:r>
              <w:rPr>
                <w:spacing w:val="-2"/>
              </w:rPr>
              <w:t>In the Matter of</w:t>
            </w:r>
          </w:p>
          <w:p w:rsidR="004C2EE3" w14:paraId="1CBFA791" w14:textId="77777777">
            <w:pPr>
              <w:tabs>
                <w:tab w:val="center" w:pos="4680"/>
              </w:tabs>
              <w:suppressAutoHyphens/>
              <w:rPr>
                <w:spacing w:val="-2"/>
              </w:rPr>
            </w:pPr>
          </w:p>
          <w:p w:rsidR="004C2EE3" w:rsidP="00347CF3" w14:paraId="2282751A" w14:textId="260CF3C8">
            <w:pPr>
              <w:tabs>
                <w:tab w:val="center" w:pos="4680"/>
              </w:tabs>
              <w:suppressAutoHyphens/>
              <w:rPr>
                <w:spacing w:val="-2"/>
              </w:rPr>
            </w:pPr>
            <w:r>
              <w:rPr>
                <w:spacing w:val="-2"/>
              </w:rPr>
              <w:t xml:space="preserve">Carolina Radio Group, </w:t>
            </w:r>
            <w:r w:rsidR="00FB2145">
              <w:rPr>
                <w:spacing w:val="-2"/>
              </w:rPr>
              <w:t>Inc.</w:t>
            </w:r>
          </w:p>
          <w:p w:rsidR="00347CF3" w:rsidP="00347CF3" w14:paraId="5607CABE" w14:textId="77777777">
            <w:pPr>
              <w:tabs>
                <w:tab w:val="center" w:pos="4680"/>
              </w:tabs>
              <w:suppressAutoHyphens/>
              <w:rPr>
                <w:spacing w:val="-2"/>
              </w:rPr>
            </w:pPr>
          </w:p>
          <w:p w:rsidR="00347CF3" w:rsidP="00347CF3" w14:paraId="576BB5C6" w14:textId="412B510F">
            <w:pPr>
              <w:tabs>
                <w:tab w:val="center" w:pos="4680"/>
              </w:tabs>
              <w:suppressAutoHyphens/>
              <w:rPr>
                <w:spacing w:val="-2"/>
              </w:rPr>
            </w:pPr>
            <w:r>
              <w:rPr>
                <w:spacing w:val="-2"/>
              </w:rPr>
              <w:t xml:space="preserve">Application for </w:t>
            </w:r>
            <w:r w:rsidR="00DB5AFB">
              <w:rPr>
                <w:spacing w:val="-2"/>
              </w:rPr>
              <w:t>License to Cover</w:t>
            </w:r>
          </w:p>
          <w:p w:rsidR="00347CF3" w:rsidRPr="007115F7" w:rsidP="00415523" w14:paraId="7F8C1540" w14:textId="2BE3DE5B">
            <w:pPr>
              <w:tabs>
                <w:tab w:val="center" w:pos="4680"/>
              </w:tabs>
              <w:suppressAutoHyphens/>
              <w:rPr>
                <w:spacing w:val="-2"/>
              </w:rPr>
            </w:pPr>
            <w:r>
              <w:rPr>
                <w:spacing w:val="-2"/>
              </w:rPr>
              <w:t>W225DF, Raleigh, North Carolina</w:t>
            </w:r>
          </w:p>
        </w:tc>
        <w:tc>
          <w:tcPr>
            <w:tcW w:w="630" w:type="dxa"/>
          </w:tcPr>
          <w:p w:rsidR="004C2EE3" w:rsidRPr="00F43F3C" w14:paraId="3C184591" w14:textId="77777777">
            <w:pPr>
              <w:tabs>
                <w:tab w:val="center" w:pos="4680"/>
              </w:tabs>
              <w:suppressAutoHyphens/>
              <w:rPr>
                <w:b/>
                <w:spacing w:val="-2"/>
                <w:szCs w:val="22"/>
              </w:rPr>
            </w:pPr>
            <w:r w:rsidRPr="00F43F3C">
              <w:rPr>
                <w:b/>
                <w:spacing w:val="-2"/>
                <w:szCs w:val="22"/>
              </w:rPr>
              <w:t>)</w:t>
            </w:r>
          </w:p>
          <w:p w:rsidR="004C2EE3" w:rsidRPr="00F43F3C" w14:paraId="0A319555" w14:textId="77777777">
            <w:pPr>
              <w:tabs>
                <w:tab w:val="center" w:pos="4680"/>
              </w:tabs>
              <w:suppressAutoHyphens/>
              <w:rPr>
                <w:b/>
                <w:spacing w:val="-2"/>
                <w:szCs w:val="22"/>
              </w:rPr>
            </w:pPr>
            <w:r w:rsidRPr="00F43F3C">
              <w:rPr>
                <w:b/>
                <w:spacing w:val="-2"/>
                <w:szCs w:val="22"/>
              </w:rPr>
              <w:t>)</w:t>
            </w:r>
          </w:p>
          <w:p w:rsidR="004C2EE3" w:rsidRPr="00F43F3C" w14:paraId="2B3AA690" w14:textId="77777777">
            <w:pPr>
              <w:tabs>
                <w:tab w:val="center" w:pos="4680"/>
              </w:tabs>
              <w:suppressAutoHyphens/>
              <w:rPr>
                <w:b/>
                <w:spacing w:val="-2"/>
                <w:szCs w:val="22"/>
              </w:rPr>
            </w:pPr>
            <w:r w:rsidRPr="00F43F3C">
              <w:rPr>
                <w:b/>
                <w:spacing w:val="-2"/>
                <w:szCs w:val="22"/>
              </w:rPr>
              <w:t>)</w:t>
            </w:r>
          </w:p>
          <w:p w:rsidR="004C2EE3" w:rsidRPr="00F43F3C" w14:paraId="04149D23" w14:textId="77777777">
            <w:pPr>
              <w:tabs>
                <w:tab w:val="center" w:pos="4680"/>
              </w:tabs>
              <w:suppressAutoHyphens/>
              <w:rPr>
                <w:b/>
                <w:spacing w:val="-2"/>
                <w:szCs w:val="22"/>
              </w:rPr>
            </w:pPr>
            <w:r w:rsidRPr="00F43F3C">
              <w:rPr>
                <w:b/>
                <w:spacing w:val="-2"/>
                <w:szCs w:val="22"/>
              </w:rPr>
              <w:t>)</w:t>
            </w:r>
          </w:p>
          <w:p w:rsidR="004C2EE3" w:rsidRPr="00F43F3C" w14:paraId="25DCEB62" w14:textId="77777777">
            <w:pPr>
              <w:tabs>
                <w:tab w:val="center" w:pos="4680"/>
              </w:tabs>
              <w:suppressAutoHyphens/>
              <w:rPr>
                <w:b/>
                <w:spacing w:val="-2"/>
                <w:szCs w:val="22"/>
              </w:rPr>
            </w:pPr>
            <w:r w:rsidRPr="00F43F3C">
              <w:rPr>
                <w:b/>
                <w:spacing w:val="-2"/>
                <w:szCs w:val="22"/>
              </w:rPr>
              <w:t>)</w:t>
            </w:r>
          </w:p>
          <w:p w:rsidR="004C2EE3" w:rsidRPr="00534284" w14:paraId="12DC95D9" w14:textId="25FBED66">
            <w:pPr>
              <w:tabs>
                <w:tab w:val="center" w:pos="4680"/>
              </w:tabs>
              <w:suppressAutoHyphens/>
              <w:rPr>
                <w:b/>
                <w:spacing w:val="-2"/>
                <w:szCs w:val="22"/>
              </w:rPr>
            </w:pPr>
            <w:r w:rsidRPr="00F43F3C">
              <w:rPr>
                <w:b/>
                <w:spacing w:val="-2"/>
                <w:szCs w:val="22"/>
              </w:rPr>
              <w:t>)</w:t>
            </w:r>
          </w:p>
        </w:tc>
        <w:tc>
          <w:tcPr>
            <w:tcW w:w="4248" w:type="dxa"/>
          </w:tcPr>
          <w:p w:rsidR="004C2EE3" w:rsidRPr="00F43F3C" w14:paraId="336D581C" w14:textId="77777777">
            <w:pPr>
              <w:tabs>
                <w:tab w:val="center" w:pos="4680"/>
              </w:tabs>
              <w:suppressAutoHyphens/>
              <w:rPr>
                <w:spacing w:val="-2"/>
                <w:szCs w:val="22"/>
              </w:rPr>
            </w:pPr>
          </w:p>
          <w:p w:rsidR="004C2EE3" w:rsidRPr="00F43F3C" w14:paraId="04D9FF72" w14:textId="77777777">
            <w:pPr>
              <w:pStyle w:val="TOAHeading"/>
              <w:tabs>
                <w:tab w:val="center" w:pos="4680"/>
                <w:tab w:val="clear" w:pos="9360"/>
              </w:tabs>
              <w:rPr>
                <w:spacing w:val="-2"/>
                <w:szCs w:val="22"/>
              </w:rPr>
            </w:pPr>
          </w:p>
          <w:p w:rsidR="0076484D" w:rsidRPr="00F43F3C" w:rsidP="0076484D" w14:paraId="29418530" w14:textId="14FEC566">
            <w:pPr>
              <w:widowControl/>
              <w:autoSpaceDE w:val="0"/>
              <w:autoSpaceDN w:val="0"/>
              <w:adjustRightInd w:val="0"/>
              <w:rPr>
                <w:snapToGrid/>
                <w:kern w:val="0"/>
                <w:szCs w:val="22"/>
              </w:rPr>
            </w:pPr>
            <w:bookmarkStart w:id="0" w:name="_Hlk26351073"/>
            <w:r w:rsidRPr="00F43F3C">
              <w:rPr>
                <w:snapToGrid/>
                <w:kern w:val="0"/>
                <w:szCs w:val="22"/>
              </w:rPr>
              <w:t xml:space="preserve">NAL/Acct. No. </w:t>
            </w:r>
            <w:bookmarkEnd w:id="0"/>
            <w:r w:rsidR="00EA1EC5">
              <w:rPr>
                <w:snapToGrid/>
                <w:kern w:val="0"/>
                <w:szCs w:val="22"/>
              </w:rPr>
              <w:t>MB-201941410009</w:t>
            </w:r>
            <w:bookmarkStart w:id="1" w:name="_GoBack"/>
            <w:bookmarkEnd w:id="1"/>
          </w:p>
          <w:p w:rsidR="0076484D" w:rsidRPr="00F43F3C" w:rsidP="0076484D" w14:paraId="519F4798" w14:textId="61C28812">
            <w:pPr>
              <w:widowControl/>
              <w:autoSpaceDE w:val="0"/>
              <w:autoSpaceDN w:val="0"/>
              <w:adjustRightInd w:val="0"/>
              <w:rPr>
                <w:snapToGrid/>
                <w:kern w:val="0"/>
                <w:szCs w:val="22"/>
              </w:rPr>
            </w:pPr>
            <w:r w:rsidRPr="00F43F3C">
              <w:rPr>
                <w:snapToGrid/>
                <w:kern w:val="0"/>
                <w:szCs w:val="22"/>
              </w:rPr>
              <w:t xml:space="preserve">FRN: </w:t>
            </w:r>
            <w:r w:rsidRPr="00F43F3C" w:rsidR="00F43F3C">
              <w:rPr>
                <w:szCs w:val="22"/>
              </w:rPr>
              <w:t>0001940766</w:t>
            </w:r>
          </w:p>
          <w:p w:rsidR="00347CF3" w:rsidP="00347CF3" w14:paraId="10952AC0" w14:textId="6C7A6814">
            <w:pPr>
              <w:widowControl/>
              <w:autoSpaceDE w:val="0"/>
              <w:autoSpaceDN w:val="0"/>
              <w:adjustRightInd w:val="0"/>
              <w:rPr>
                <w:snapToGrid/>
                <w:kern w:val="0"/>
                <w:szCs w:val="22"/>
              </w:rPr>
            </w:pPr>
            <w:r w:rsidRPr="00F43F3C">
              <w:rPr>
                <w:snapToGrid/>
                <w:kern w:val="0"/>
                <w:szCs w:val="22"/>
              </w:rPr>
              <w:t xml:space="preserve">Facility </w:t>
            </w:r>
            <w:r w:rsidR="00F43F3C">
              <w:rPr>
                <w:snapToGrid/>
                <w:kern w:val="0"/>
                <w:szCs w:val="22"/>
              </w:rPr>
              <w:t>ID</w:t>
            </w:r>
            <w:r w:rsidRPr="00F43F3C">
              <w:rPr>
                <w:snapToGrid/>
                <w:kern w:val="0"/>
                <w:szCs w:val="22"/>
              </w:rPr>
              <w:t xml:space="preserve"> No. </w:t>
            </w:r>
            <w:r w:rsidR="00FB2145">
              <w:rPr>
                <w:snapToGrid/>
                <w:kern w:val="0"/>
                <w:szCs w:val="22"/>
              </w:rPr>
              <w:t>143608</w:t>
            </w:r>
          </w:p>
          <w:p w:rsidR="004C2EE3" w:rsidRPr="00745283" w:rsidP="00745283" w14:paraId="3A2960A7" w14:textId="3800F7DC">
            <w:pPr>
              <w:widowControl/>
              <w:autoSpaceDE w:val="0"/>
              <w:autoSpaceDN w:val="0"/>
              <w:adjustRightInd w:val="0"/>
              <w:rPr>
                <w:snapToGrid/>
                <w:kern w:val="0"/>
                <w:szCs w:val="22"/>
              </w:rPr>
            </w:pPr>
            <w:r>
              <w:rPr>
                <w:snapToGrid/>
                <w:kern w:val="0"/>
                <w:szCs w:val="22"/>
              </w:rPr>
              <w:t>File No. BLFT-20190425AAW</w:t>
            </w:r>
          </w:p>
        </w:tc>
      </w:tr>
    </w:tbl>
    <w:p w:rsidR="004C2EE3" w:rsidP="0070224F" w14:paraId="6ADB8B4A" w14:textId="77777777"/>
    <w:p w:rsidR="00347CF3" w:rsidP="00F021FA" w14:paraId="36254194" w14:textId="77777777">
      <w:pPr>
        <w:pStyle w:val="StyleBoldCentered"/>
      </w:pPr>
      <w:r>
        <w:t xml:space="preserve">Memorandum opinion and order and </w:t>
      </w:r>
    </w:p>
    <w:p w:rsidR="00841AB1" w:rsidP="00F021FA" w14:paraId="037B78A4" w14:textId="4E51A979">
      <w:pPr>
        <w:pStyle w:val="StyleBoldCentered"/>
      </w:pPr>
      <w:r>
        <w:t>notice of apparent liability for forfeiture</w:t>
      </w:r>
    </w:p>
    <w:p w:rsidR="004C2EE3" w14:paraId="32CFEEA4" w14:textId="77777777">
      <w:pPr>
        <w:tabs>
          <w:tab w:val="left" w:pos="-720"/>
        </w:tabs>
        <w:suppressAutoHyphens/>
        <w:spacing w:line="227" w:lineRule="auto"/>
        <w:rPr>
          <w:spacing w:val="-2"/>
        </w:rPr>
      </w:pPr>
    </w:p>
    <w:p w:rsidR="004C2EE3" w:rsidP="00133F79" w14:paraId="6E02D2DB" w14:textId="065282D3">
      <w:pPr>
        <w:tabs>
          <w:tab w:val="left" w:pos="720"/>
          <w:tab w:val="right" w:pos="9360"/>
        </w:tabs>
        <w:suppressAutoHyphens/>
        <w:spacing w:line="227" w:lineRule="auto"/>
        <w:rPr>
          <w:spacing w:val="-2"/>
        </w:rPr>
      </w:pPr>
      <w:r>
        <w:rPr>
          <w:b/>
          <w:spacing w:val="-2"/>
        </w:rPr>
        <w:t xml:space="preserve">Adopted:  </w:t>
      </w:r>
      <w:r w:rsidR="002016E3">
        <w:rPr>
          <w:b/>
          <w:spacing w:val="-2"/>
        </w:rPr>
        <w:t>December</w:t>
      </w:r>
      <w:r w:rsidR="008965BF">
        <w:rPr>
          <w:b/>
          <w:spacing w:val="-2"/>
        </w:rPr>
        <w:t xml:space="preserve"> </w:t>
      </w:r>
      <w:r w:rsidR="00311AE4">
        <w:rPr>
          <w:b/>
          <w:spacing w:val="-2"/>
        </w:rPr>
        <w:t>4</w:t>
      </w:r>
      <w:r w:rsidR="00347CF3">
        <w:rPr>
          <w:b/>
          <w:spacing w:val="-2"/>
        </w:rPr>
        <w:t>, 201</w:t>
      </w:r>
      <w:r w:rsidR="00DB5AFB">
        <w:rPr>
          <w:b/>
          <w:spacing w:val="-2"/>
        </w:rPr>
        <w:t>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016E3">
        <w:rPr>
          <w:b/>
          <w:spacing w:val="-2"/>
        </w:rPr>
        <w:t>December</w:t>
      </w:r>
      <w:r w:rsidR="008965BF">
        <w:rPr>
          <w:b/>
          <w:spacing w:val="-2"/>
        </w:rPr>
        <w:t xml:space="preserve"> </w:t>
      </w:r>
      <w:r w:rsidR="009157F7">
        <w:rPr>
          <w:b/>
          <w:spacing w:val="-2"/>
        </w:rPr>
        <w:t>5</w:t>
      </w:r>
      <w:r w:rsidR="00347CF3">
        <w:rPr>
          <w:b/>
          <w:spacing w:val="-2"/>
        </w:rPr>
        <w:t>, 201</w:t>
      </w:r>
      <w:r w:rsidR="00DB5AFB">
        <w:rPr>
          <w:b/>
          <w:spacing w:val="-2"/>
        </w:rPr>
        <w:t>9</w:t>
      </w:r>
    </w:p>
    <w:p w:rsidR="00822CE0" w14:paraId="7D600E1F" w14:textId="77777777"/>
    <w:p w:rsidR="00822CE0" w14:paraId="5A39E7D3" w14:textId="2A0E5F61">
      <w:pPr>
        <w:rPr>
          <w:spacing w:val="-2"/>
        </w:rPr>
      </w:pPr>
      <w:r>
        <w:t xml:space="preserve">By </w:t>
      </w:r>
      <w:r w:rsidR="004E4A22">
        <w:t>the</w:t>
      </w:r>
      <w:r w:rsidR="002A2D2E">
        <w:t xml:space="preserve"> </w:t>
      </w:r>
      <w:r w:rsidR="00347CF3">
        <w:t>Chief, Audio Division, Media Bureau</w:t>
      </w:r>
      <w:r>
        <w:rPr>
          <w:spacing w:val="-2"/>
        </w:rPr>
        <w:t>:</w:t>
      </w:r>
    </w:p>
    <w:p w:rsidR="00412FC5" w:rsidP="00412FC5" w14:paraId="7A7F6343" w14:textId="77777777"/>
    <w:p w:rsidR="002C00E8" w:rsidP="002C00E8" w14:paraId="04100AD6" w14:textId="1EFE8247">
      <w:pPr>
        <w:pStyle w:val="Heading1"/>
      </w:pPr>
      <w:r>
        <w:t>introduction</w:t>
      </w:r>
    </w:p>
    <w:p w:rsidR="00074BD0" w:rsidRPr="00AF05A7" w:rsidP="00460012" w14:paraId="73564E5A" w14:textId="69AD1A45">
      <w:pPr>
        <w:pStyle w:val="ParaNum"/>
        <w:tabs>
          <w:tab w:val="clear" w:pos="1080"/>
        </w:tabs>
      </w:pPr>
      <w:r w:rsidRPr="00074BD0">
        <w:t>We have before us a Petition for Reconsideration (</w:t>
      </w:r>
      <w:r w:rsidRPr="000819D5">
        <w:t>Petition</w:t>
      </w:r>
      <w:r w:rsidRPr="00074BD0">
        <w:t xml:space="preserve">) filed by Triangle Access Broadcasting, Inc. (Triangle).  Triangle challenges our grant of an application </w:t>
      </w:r>
      <w:r w:rsidRPr="000421CD">
        <w:t>(</w:t>
      </w:r>
      <w:r w:rsidRPr="000421CD" w:rsidR="00A47FB4">
        <w:t xml:space="preserve">License </w:t>
      </w:r>
      <w:r w:rsidRPr="000421CD">
        <w:t>Application</w:t>
      </w:r>
      <w:r w:rsidRPr="00074BD0">
        <w:t>)</w:t>
      </w:r>
      <w:r w:rsidR="001D49D8">
        <w:t>—</w:t>
      </w:r>
      <w:r w:rsidR="00113F31">
        <w:t>filed by Carolina Radio Group, Inc. (</w:t>
      </w:r>
      <w:r w:rsidRPr="000819D5" w:rsidR="00113F31">
        <w:t>CRG</w:t>
      </w:r>
      <w:r w:rsidR="00113F31">
        <w:t>)</w:t>
      </w:r>
      <w:r w:rsidR="001D49D8">
        <w:t>—f</w:t>
      </w:r>
      <w:r w:rsidRPr="00074BD0">
        <w:t>or a license to cover facilities authorized in a construction permit (</w:t>
      </w:r>
      <w:r w:rsidRPr="000421CD">
        <w:t>Permit</w:t>
      </w:r>
      <w:r w:rsidRPr="00074BD0">
        <w:t>) for W225DF, Raleigh, North Carolina (</w:t>
      </w:r>
      <w:r w:rsidRPr="000819D5">
        <w:t>Translator</w:t>
      </w:r>
      <w:r w:rsidRPr="00074BD0">
        <w:t xml:space="preserve">).  </w:t>
      </w:r>
      <w:r w:rsidR="00EF17D4">
        <w:t>In this Memorandum Opinion and Order and Notice of Apparent Liability (</w:t>
      </w:r>
      <w:r w:rsidRPr="005F396E" w:rsidR="00EF17D4">
        <w:t>NAL</w:t>
      </w:r>
      <w:r w:rsidR="00EF17D4">
        <w:t>),</w:t>
      </w:r>
      <w:r>
        <w:rPr>
          <w:vertAlign w:val="superscript"/>
        </w:rPr>
        <w:footnoteReference w:id="3"/>
      </w:r>
      <w:r w:rsidRPr="00AF05A7" w:rsidR="00EF17D4">
        <w:t xml:space="preserve"> </w:t>
      </w:r>
      <w:r w:rsidR="00EF17D4">
        <w:t xml:space="preserve">we find </w:t>
      </w:r>
      <w:r w:rsidR="001A0A14">
        <w:t>CRG</w:t>
      </w:r>
      <w:r w:rsidR="00EF17D4">
        <w:t xml:space="preserve"> apparently willfully and repeatedly violated</w:t>
      </w:r>
      <w:r w:rsidR="00745283">
        <w:t xml:space="preserve"> section 74.1251(c) </w:t>
      </w:r>
      <w:r w:rsidR="00593D2C">
        <w:t>of the Commission’s rules (</w:t>
      </w:r>
      <w:r w:rsidRPr="000819D5" w:rsidR="00593D2C">
        <w:t>Rules</w:t>
      </w:r>
      <w:r w:rsidR="00593D2C">
        <w:t>)</w:t>
      </w:r>
      <w:r w:rsidR="00A8027A">
        <w:t xml:space="preserve"> </w:t>
      </w:r>
      <w:r w:rsidR="00656D61">
        <w:t xml:space="preserve">by </w:t>
      </w:r>
      <w:r w:rsidR="00380429">
        <w:t xml:space="preserve">failing to notify the Commission that the Translator </w:t>
      </w:r>
      <w:r w:rsidR="005D071C">
        <w:t xml:space="preserve">had </w:t>
      </w:r>
      <w:r w:rsidR="00790C4D">
        <w:t>changed its primary station</w:t>
      </w:r>
      <w:r w:rsidR="00380429">
        <w:t xml:space="preserve">, and </w:t>
      </w:r>
      <w:r w:rsidR="00D27A61">
        <w:t xml:space="preserve">apparently willfully and repeatedly </w:t>
      </w:r>
      <w:r w:rsidR="00B22472">
        <w:t>violated section 74.1232(b)</w:t>
      </w:r>
      <w:r w:rsidR="000819D5">
        <w:t xml:space="preserve"> of the Rules</w:t>
      </w:r>
      <w:r w:rsidR="00B22472">
        <w:t xml:space="preserve"> by </w:t>
      </w:r>
      <w:r w:rsidR="00380429">
        <w:t>failing t</w:t>
      </w:r>
      <w:r w:rsidR="00A42A3B">
        <w:t xml:space="preserve">o provide a “technical need” showing in support of </w:t>
      </w:r>
      <w:r w:rsidR="00790C4D">
        <w:t>that change</w:t>
      </w:r>
      <w:r w:rsidRPr="00AF05A7" w:rsidR="00EF17D4">
        <w:t>.</w:t>
      </w:r>
      <w:r>
        <w:rPr>
          <w:rStyle w:val="FootnoteReference"/>
          <w:szCs w:val="22"/>
        </w:rPr>
        <w:footnoteReference w:id="4"/>
      </w:r>
      <w:r w:rsidRPr="00AF05A7" w:rsidR="00EF17D4">
        <w:t xml:space="preserve">  Based upon our review of the record before us, we find </w:t>
      </w:r>
      <w:r w:rsidR="006E69AA">
        <w:t>CRG</w:t>
      </w:r>
      <w:r w:rsidRPr="00AF05A7" w:rsidR="00EF17D4">
        <w:t xml:space="preserve"> apparently liable for a </w:t>
      </w:r>
      <w:r w:rsidR="00EF17D4">
        <w:t xml:space="preserve">monetary forfeiture in the amount </w:t>
      </w:r>
      <w:r w:rsidRPr="00FB7AAA" w:rsidR="00EF17D4">
        <w:t xml:space="preserve">of </w:t>
      </w:r>
      <w:r w:rsidR="00220C5A">
        <w:t>two</w:t>
      </w:r>
      <w:r w:rsidR="00A42A3B">
        <w:t xml:space="preserve"> thousand </w:t>
      </w:r>
      <w:r w:rsidR="00EF17D4">
        <w:t xml:space="preserve">dollars </w:t>
      </w:r>
      <w:r w:rsidRPr="00A42A3B" w:rsidR="00EF17D4">
        <w:t>($</w:t>
      </w:r>
      <w:r w:rsidR="00220C5A">
        <w:t>2</w:t>
      </w:r>
      <w:r w:rsidRPr="00A42A3B" w:rsidR="00EF17D4">
        <w:t>,000)</w:t>
      </w:r>
      <w:r w:rsidRPr="00A42A3B" w:rsidR="006E69AA">
        <w:t>,</w:t>
      </w:r>
      <w:r w:rsidR="006E69AA">
        <w:t xml:space="preserve"> </w:t>
      </w:r>
      <w:r w:rsidR="00EF17D4">
        <w:t>and grant in part</w:t>
      </w:r>
      <w:r w:rsidR="006E69AA">
        <w:t>, dismiss in part,</w:t>
      </w:r>
      <w:r w:rsidR="00EF17D4">
        <w:t xml:space="preserve"> and </w:t>
      </w:r>
      <w:r w:rsidR="006E69AA">
        <w:t xml:space="preserve">otherwise </w:t>
      </w:r>
      <w:r w:rsidR="00EF17D4">
        <w:t>deny the Petition</w:t>
      </w:r>
      <w:r w:rsidRPr="00FB7AAA" w:rsidR="00EF17D4">
        <w:t>.</w:t>
      </w:r>
      <w:r w:rsidR="00EF17D4">
        <w:t xml:space="preserve">  </w:t>
      </w:r>
    </w:p>
    <w:p w:rsidR="00347CF3" w:rsidP="002F0692" w14:paraId="0028A5C0" w14:textId="7706716C">
      <w:pPr>
        <w:pStyle w:val="Heading1"/>
      </w:pPr>
      <w:r w:rsidRPr="00180C18">
        <w:t>Background</w:t>
      </w:r>
    </w:p>
    <w:p w:rsidR="007B4BD8" w:rsidP="00460012" w14:paraId="2AF27AB2" w14:textId="6B3F9D31">
      <w:pPr>
        <w:pStyle w:val="ParaNum"/>
        <w:tabs>
          <w:tab w:val="clear" w:pos="1080"/>
        </w:tabs>
      </w:pPr>
      <w:r>
        <w:t>CRG applied for the Permit on July 23, 2018.</w:t>
      </w:r>
      <w:r>
        <w:rPr>
          <w:rStyle w:val="FootnoteReference"/>
        </w:rPr>
        <w:footnoteReference w:id="5"/>
      </w:r>
      <w:r>
        <w:t xml:space="preserve">  </w:t>
      </w:r>
      <w:r w:rsidR="00E43ED8">
        <w:t>It later</w:t>
      </w:r>
      <w:r>
        <w:t xml:space="preserve"> amended </w:t>
      </w:r>
      <w:r w:rsidR="00F44010">
        <w:t>the Permit Application</w:t>
      </w:r>
      <w:r w:rsidR="00516C22">
        <w:t xml:space="preserve"> </w:t>
      </w:r>
      <w:r w:rsidR="00F44010">
        <w:t xml:space="preserve">to specify WQDR-FM </w:t>
      </w:r>
      <w:r w:rsidR="00AF7575">
        <w:t>(</w:t>
      </w:r>
      <w:r w:rsidR="00F44010">
        <w:t>HD3</w:t>
      </w:r>
      <w:r w:rsidR="00AF7575">
        <w:t>)</w:t>
      </w:r>
      <w:r w:rsidR="00F44010">
        <w:t xml:space="preserve">, Raleigh, North Carolina, as </w:t>
      </w:r>
      <w:r>
        <w:t>the Translator’s primary station.</w:t>
      </w:r>
      <w:r>
        <w:rPr>
          <w:rStyle w:val="FootnoteReference"/>
        </w:rPr>
        <w:footnoteReference w:id="6"/>
      </w:r>
      <w:r>
        <w:t xml:space="preserve">  </w:t>
      </w:r>
      <w:r w:rsidR="003633A4">
        <w:t>On August 20, 201</w:t>
      </w:r>
      <w:r w:rsidR="00AB136A">
        <w:t>8, w</w:t>
      </w:r>
      <w:r>
        <w:t xml:space="preserve">e granted the </w:t>
      </w:r>
      <w:r w:rsidR="002C555A">
        <w:t>Permit Application</w:t>
      </w:r>
      <w:r>
        <w:t>.</w:t>
      </w:r>
      <w:r>
        <w:rPr>
          <w:rStyle w:val="FootnoteReference"/>
        </w:rPr>
        <w:footnoteReference w:id="7"/>
      </w:r>
      <w:r w:rsidR="00AB136A">
        <w:t xml:space="preserve">  </w:t>
      </w:r>
      <w:r>
        <w:t>Triangle then filed a Petition for Reconsideration</w:t>
      </w:r>
      <w:r w:rsidR="00D35AFC">
        <w:t xml:space="preserve"> (Permit Petition)</w:t>
      </w:r>
      <w:r>
        <w:t xml:space="preserve">.  </w:t>
      </w:r>
      <w:r w:rsidR="00D35AFC">
        <w:t xml:space="preserve">While the Permit Petition was pending, CRG filed </w:t>
      </w:r>
      <w:r w:rsidR="00514542">
        <w:t>the License Application</w:t>
      </w:r>
      <w:r w:rsidR="00D16EC0">
        <w:t xml:space="preserve">.  We granted </w:t>
      </w:r>
      <w:r w:rsidR="00711FB0">
        <w:t>the unopposed License Application</w:t>
      </w:r>
      <w:r w:rsidR="00D16EC0">
        <w:t xml:space="preserve"> on May 1, 2019.</w:t>
      </w:r>
      <w:r>
        <w:rPr>
          <w:rStyle w:val="FootnoteReference"/>
        </w:rPr>
        <w:footnoteReference w:id="8"/>
      </w:r>
      <w:r w:rsidR="00D16EC0">
        <w:t xml:space="preserve">  Shortly thereafter, w</w:t>
      </w:r>
      <w:r>
        <w:t xml:space="preserve">e dismissed the </w:t>
      </w:r>
      <w:r w:rsidR="00C33563">
        <w:t>Permit Petition</w:t>
      </w:r>
      <w:r>
        <w:t xml:space="preserve"> as </w:t>
      </w:r>
      <w:r>
        <w:t>procedurally defective.</w:t>
      </w:r>
      <w:r>
        <w:rPr>
          <w:rStyle w:val="FootnoteReference"/>
        </w:rPr>
        <w:footnoteReference w:id="9"/>
      </w:r>
      <w:r>
        <w:t xml:space="preserve">  Grant of </w:t>
      </w:r>
      <w:r w:rsidR="00F173D1">
        <w:t>the Permit Application</w:t>
      </w:r>
      <w:r>
        <w:t xml:space="preserve"> </w:t>
      </w:r>
      <w:r w:rsidR="00F173D1">
        <w:t xml:space="preserve">became final on </w:t>
      </w:r>
      <w:r w:rsidR="00063430">
        <w:t>July 1, 2019</w:t>
      </w:r>
      <w:r w:rsidR="001200FB">
        <w:t>.</w:t>
      </w:r>
      <w:r>
        <w:rPr>
          <w:rStyle w:val="FootnoteReference"/>
        </w:rPr>
        <w:footnoteReference w:id="10"/>
      </w:r>
      <w:r>
        <w:t xml:space="preserve">  </w:t>
      </w:r>
    </w:p>
    <w:p w:rsidR="008A49DC" w:rsidRPr="00177DB1" w:rsidP="0025771A" w14:paraId="1D5F3060" w14:textId="0809016E">
      <w:pPr>
        <w:pStyle w:val="ParaNum"/>
        <w:tabs>
          <w:tab w:val="clear" w:pos="1080"/>
          <w:tab w:val="num" w:pos="1440"/>
        </w:tabs>
      </w:pPr>
      <w:r>
        <w:t>On May 28, 2019, Triangle filed the Petition.</w:t>
      </w:r>
      <w:r w:rsidR="003A4091">
        <w:t xml:space="preserve">  Therein, Triangle asserts that the</w:t>
      </w:r>
      <w:r w:rsidR="006A01EA">
        <w:t>re is no “technical need” for the Translator</w:t>
      </w:r>
      <w:r w:rsidR="00F41509">
        <w:t>,</w:t>
      </w:r>
      <w:r>
        <w:rPr>
          <w:rStyle w:val="FootnoteReference"/>
        </w:rPr>
        <w:footnoteReference w:id="11"/>
      </w:r>
      <w:r w:rsidR="00F41509">
        <w:t xml:space="preserve"> and</w:t>
      </w:r>
      <w:r w:rsidR="00A4526F">
        <w:t xml:space="preserve"> </w:t>
      </w:r>
      <w:r w:rsidR="00F41509">
        <w:t>alleges</w:t>
      </w:r>
      <w:r w:rsidR="00A4526F">
        <w:t xml:space="preserve"> that</w:t>
      </w:r>
      <w:r w:rsidR="00F41509">
        <w:t xml:space="preserve">, since commencing operations, </w:t>
      </w:r>
      <w:r w:rsidR="00AA3185">
        <w:t>the</w:t>
      </w:r>
      <w:r w:rsidR="003A4091">
        <w:t xml:space="preserve"> Translator </w:t>
      </w:r>
      <w:r w:rsidR="00F41509">
        <w:t>has</w:t>
      </w:r>
      <w:r w:rsidR="000E4FD3">
        <w:t xml:space="preserve"> not </w:t>
      </w:r>
      <w:r w:rsidR="00F41509">
        <w:t xml:space="preserve">operated </w:t>
      </w:r>
      <w:r w:rsidR="000E4FD3">
        <w:t>as authorized.</w:t>
      </w:r>
      <w:r>
        <w:rPr>
          <w:rStyle w:val="FootnoteReference"/>
        </w:rPr>
        <w:footnoteReference w:id="12"/>
      </w:r>
      <w:r w:rsidR="003A4091">
        <w:t xml:space="preserve"> </w:t>
      </w:r>
      <w:r>
        <w:t xml:space="preserve">  CRG filed an Opposition to Petition for Reconsideration</w:t>
      </w:r>
      <w:r w:rsidR="00727FB1">
        <w:t xml:space="preserve"> (Opposition) on </w:t>
      </w:r>
      <w:r w:rsidR="00544716">
        <w:t>June 10, 2019</w:t>
      </w:r>
      <w:r w:rsidR="000C157C">
        <w:t>.  CRG indicates that</w:t>
      </w:r>
      <w:r w:rsidR="00A52EE2">
        <w:t xml:space="preserve"> </w:t>
      </w:r>
      <w:r w:rsidR="000C157C">
        <w:t>the Translator “is rebroadcasting the signal of WQDR-FM (HD3</w:t>
      </w:r>
      <w:r w:rsidR="00A52EE2">
        <w:t xml:space="preserve">)” and </w:t>
      </w:r>
      <w:r w:rsidR="00F35CA0">
        <w:t>asserts that</w:t>
      </w:r>
      <w:r w:rsidR="000C157C">
        <w:t xml:space="preserve"> no </w:t>
      </w:r>
      <w:r w:rsidR="00F35CA0">
        <w:t>“</w:t>
      </w:r>
      <w:r w:rsidR="000C157C">
        <w:t>technical need</w:t>
      </w:r>
      <w:r w:rsidR="00F35CA0">
        <w:t>”</w:t>
      </w:r>
      <w:r w:rsidR="000C157C">
        <w:t xml:space="preserve"> showing is required.</w:t>
      </w:r>
      <w:r>
        <w:rPr>
          <w:rStyle w:val="FootnoteReference"/>
        </w:rPr>
        <w:footnoteReference w:id="13"/>
      </w:r>
      <w:r w:rsidR="000C157C">
        <w:t xml:space="preserve">  </w:t>
      </w:r>
      <w:r w:rsidR="00544716">
        <w:t>Triangle filed a Reply to Opposition (Reply) on June 14, 2019</w:t>
      </w:r>
      <w:r>
        <w:t xml:space="preserve">.  </w:t>
      </w:r>
      <w:r w:rsidR="0025771A">
        <w:t xml:space="preserve">On reply, </w:t>
      </w:r>
      <w:r>
        <w:t>Triangle again asserts that the Translator is not operating as authorized.</w:t>
      </w:r>
      <w:r>
        <w:rPr>
          <w:rStyle w:val="FootnoteReference"/>
        </w:rPr>
        <w:footnoteReference w:id="14"/>
      </w:r>
      <w:r>
        <w:t xml:space="preserve">  </w:t>
      </w:r>
      <w:r w:rsidR="003E609A">
        <w:t>We consider these pleadings below.</w:t>
      </w:r>
    </w:p>
    <w:p w:rsidR="00347CF3" w:rsidP="001A2959" w14:paraId="28846FA7" w14:textId="358FE26E">
      <w:pPr>
        <w:pStyle w:val="Heading1"/>
        <w:rPr>
          <w:b w:val="0"/>
          <w:szCs w:val="22"/>
        </w:rPr>
      </w:pPr>
      <w:r w:rsidRPr="007040B9">
        <w:rPr>
          <w:b w:val="0"/>
          <w:szCs w:val="22"/>
        </w:rPr>
        <w:t>Discussion</w:t>
      </w:r>
    </w:p>
    <w:p w:rsidR="009F19B1" w:rsidRPr="002138E0" w:rsidP="000916EE" w14:paraId="72F52591" w14:textId="74B70A0D">
      <w:pPr>
        <w:pStyle w:val="Heading1"/>
        <w:numPr>
          <w:ilvl w:val="1"/>
          <w:numId w:val="3"/>
        </w:numPr>
        <w:rPr>
          <w:caps w:val="0"/>
        </w:rPr>
      </w:pPr>
      <w:r w:rsidRPr="002138E0">
        <w:rPr>
          <w:caps w:val="0"/>
        </w:rPr>
        <w:t>“</w:t>
      </w:r>
      <w:r w:rsidRPr="002138E0" w:rsidR="002138E0">
        <w:rPr>
          <w:caps w:val="0"/>
        </w:rPr>
        <w:t>Technical Need”</w:t>
      </w:r>
      <w:r w:rsidR="00794319">
        <w:rPr>
          <w:caps w:val="0"/>
        </w:rPr>
        <w:t xml:space="preserve"> Issues</w:t>
      </w:r>
    </w:p>
    <w:p w:rsidR="00FB550D" w:rsidP="0093361D" w14:paraId="4E7BB17B" w14:textId="495C0A5D">
      <w:pPr>
        <w:pStyle w:val="ParaNum"/>
        <w:widowControl/>
        <w:tabs>
          <w:tab w:val="clear" w:pos="1080"/>
          <w:tab w:val="num" w:pos="1440"/>
        </w:tabs>
      </w:pPr>
      <w:r>
        <w:t>W</w:t>
      </w:r>
      <w:r w:rsidR="00031A17">
        <w:t xml:space="preserve">e dismiss Triangle’s argument that there was no “technical need” for the facilities </w:t>
      </w:r>
      <w:r w:rsidR="000E7A81">
        <w:t>proposed in the Perm</w:t>
      </w:r>
      <w:r w:rsidR="00DB6F2B">
        <w:t xml:space="preserve">it Application and </w:t>
      </w:r>
      <w:r w:rsidR="00031A17">
        <w:t>authorized in the Permit.</w:t>
      </w:r>
      <w:r>
        <w:rPr>
          <w:rStyle w:val="FootnoteReference"/>
        </w:rPr>
        <w:footnoteReference w:id="15"/>
      </w:r>
      <w:r w:rsidR="00031A17">
        <w:t xml:space="preserve">  </w:t>
      </w:r>
      <w:r w:rsidR="00240159">
        <w:t>Triangle made this argument in the Permit Petition and incorporate</w:t>
      </w:r>
      <w:r w:rsidR="00B170BB">
        <w:t>s it b</w:t>
      </w:r>
      <w:r w:rsidR="00EB5D9D">
        <w:t>y</w:t>
      </w:r>
      <w:r w:rsidR="00B170BB">
        <w:t xml:space="preserve"> reference in the Petition.</w:t>
      </w:r>
      <w:r w:rsidR="00EC2C29">
        <w:t xml:space="preserve">  However, our grant of the Permit Application is final</w:t>
      </w:r>
      <w:r w:rsidR="000D08AF">
        <w:t xml:space="preserve">.  </w:t>
      </w:r>
      <w:r w:rsidR="00B6281D">
        <w:t>Further,</w:t>
      </w:r>
      <w:r w:rsidR="001E38C6">
        <w:t xml:space="preserve"> because</w:t>
      </w:r>
      <w:r w:rsidR="000D08AF">
        <w:t xml:space="preserve"> w</w:t>
      </w:r>
      <w:r w:rsidR="00C45B46">
        <w:t xml:space="preserve">e consider </w:t>
      </w:r>
      <w:r w:rsidR="00DB6F2B">
        <w:t xml:space="preserve">whether there is a </w:t>
      </w:r>
      <w:r w:rsidR="00031A17">
        <w:t xml:space="preserve">“technical need” </w:t>
      </w:r>
      <w:r w:rsidR="00DB6F2B">
        <w:t xml:space="preserve">for </w:t>
      </w:r>
      <w:r w:rsidR="00801E0C">
        <w:t xml:space="preserve">FM translator </w:t>
      </w:r>
      <w:r w:rsidR="00C45B46">
        <w:t xml:space="preserve">facilities </w:t>
      </w:r>
      <w:r w:rsidR="00031A17">
        <w:t xml:space="preserve">at the permitting—not </w:t>
      </w:r>
      <w:r w:rsidR="001E38C6">
        <w:t xml:space="preserve">the </w:t>
      </w:r>
      <w:r w:rsidR="00031A17">
        <w:t>licensing—stag</w:t>
      </w:r>
      <w:r w:rsidR="002F66A4">
        <w:t>e,</w:t>
      </w:r>
      <w:r>
        <w:rPr>
          <w:rStyle w:val="FootnoteReference"/>
        </w:rPr>
        <w:footnoteReference w:id="16"/>
      </w:r>
      <w:r w:rsidR="00031A17">
        <w:t xml:space="preserve"> </w:t>
      </w:r>
      <w:r w:rsidR="00FF7F19">
        <w:t xml:space="preserve">we </w:t>
      </w:r>
      <w:r w:rsidR="001E38C6">
        <w:t>decline to consider Triangle’s “technical need” argument as part of our review of the License Application.</w:t>
      </w:r>
      <w:r w:rsidR="00EB5D9D">
        <w:t xml:space="preserve">  </w:t>
      </w:r>
      <w:r w:rsidR="001E38C6">
        <w:t>In any event</w:t>
      </w:r>
      <w:r w:rsidR="00157D76">
        <w:t xml:space="preserve">, were we to consider the merits of </w:t>
      </w:r>
      <w:r w:rsidR="001E38C6">
        <w:t>that</w:t>
      </w:r>
      <w:r w:rsidR="00D271D9">
        <w:t xml:space="preserve"> </w:t>
      </w:r>
      <w:r w:rsidR="003D68B9">
        <w:t>argument</w:t>
      </w:r>
      <w:r w:rsidR="00157D76">
        <w:t xml:space="preserve">, we would reject it.  </w:t>
      </w:r>
      <w:r w:rsidRPr="00B06E1F">
        <w:t xml:space="preserve">The Commission’s “technical need” rule </w:t>
      </w:r>
      <w:r w:rsidRPr="00B06E1F">
        <w:rPr>
          <w:rStyle w:val="ssleftalign"/>
        </w:rPr>
        <w:t xml:space="preserve">comes into play “only when the same party proposes to own more than one translator rebroadcasting the same signal and serving </w:t>
      </w:r>
      <w:r w:rsidRPr="00B06E1F">
        <w:rPr>
          <w:rStyle w:val="ssleftalign"/>
        </w:rPr>
        <w:t>substantially the same area.”</w:t>
      </w:r>
      <w:r>
        <w:rPr>
          <w:rStyle w:val="FootnoteReference"/>
        </w:rPr>
        <w:footnoteReference w:id="17"/>
      </w:r>
      <w:r w:rsidRPr="00B06E1F">
        <w:rPr>
          <w:rStyle w:val="ssleftalign"/>
        </w:rPr>
        <w:t xml:space="preserve">  Triangle’s argument</w:t>
      </w:r>
      <w:r w:rsidR="000740FC">
        <w:rPr>
          <w:rStyle w:val="ssleftalign"/>
        </w:rPr>
        <w:t xml:space="preserve"> </w:t>
      </w:r>
      <w:r w:rsidR="00395E3C">
        <w:rPr>
          <w:rStyle w:val="ssleftalign"/>
        </w:rPr>
        <w:t>does</w:t>
      </w:r>
      <w:r w:rsidR="00ED549D">
        <w:rPr>
          <w:rStyle w:val="ssleftalign"/>
        </w:rPr>
        <w:t xml:space="preserve"> </w:t>
      </w:r>
      <w:r w:rsidR="00E33EA8">
        <w:rPr>
          <w:rStyle w:val="ssleftalign"/>
        </w:rPr>
        <w:t xml:space="preserve">not concern </w:t>
      </w:r>
      <w:r w:rsidRPr="00B06E1F">
        <w:rPr>
          <w:rStyle w:val="ssleftalign"/>
        </w:rPr>
        <w:t>common ownership of “more than one translator.</w:t>
      </w:r>
      <w:r w:rsidR="00B7559E">
        <w:rPr>
          <w:rStyle w:val="ssleftalign"/>
        </w:rPr>
        <w:t>”</w:t>
      </w:r>
      <w:r>
        <w:rPr>
          <w:rStyle w:val="FootnoteReference"/>
        </w:rPr>
        <w:footnoteReference w:id="18"/>
      </w:r>
      <w:r w:rsidR="00B7559E">
        <w:rPr>
          <w:rStyle w:val="ssleftalign"/>
        </w:rPr>
        <w:t xml:space="preserve">  Thus, it was (and is) inapposite</w:t>
      </w:r>
      <w:r w:rsidR="00AE6E98">
        <w:rPr>
          <w:rStyle w:val="ssleftalign"/>
        </w:rPr>
        <w:t>.</w:t>
      </w:r>
    </w:p>
    <w:p w:rsidR="00342ACF" w:rsidP="00AD20BF" w14:paraId="51BE6C49" w14:textId="02D22F7A">
      <w:pPr>
        <w:pStyle w:val="ParaNum"/>
        <w:tabs>
          <w:tab w:val="clear" w:pos="1080"/>
          <w:tab w:val="num" w:pos="1440"/>
        </w:tabs>
      </w:pPr>
      <w:r>
        <w:t xml:space="preserve">We </w:t>
      </w:r>
      <w:r w:rsidR="00D271D9">
        <w:t xml:space="preserve">do </w:t>
      </w:r>
      <w:r>
        <w:t>find</w:t>
      </w:r>
      <w:r w:rsidR="002469B9">
        <w:t>, though, that</w:t>
      </w:r>
      <w:r>
        <w:t xml:space="preserve"> the Translator did not </w:t>
      </w:r>
      <w:r w:rsidR="002469B9">
        <w:t>rebroadcast its authorized primary station</w:t>
      </w:r>
      <w:r>
        <w:t xml:space="preserve"> </w:t>
      </w:r>
      <w:r w:rsidR="003C079E">
        <w:t>for a period of about a month</w:t>
      </w:r>
      <w:r w:rsidR="006F57CC">
        <w:t xml:space="preserve"> and, as a result, </w:t>
      </w:r>
      <w:r w:rsidR="00CE4F42">
        <w:t>violated sections 74.1232(b),</w:t>
      </w:r>
      <w:r>
        <w:rPr>
          <w:rStyle w:val="FootnoteReference"/>
        </w:rPr>
        <w:footnoteReference w:id="19"/>
      </w:r>
      <w:r w:rsidR="00CE4F42">
        <w:t xml:space="preserve"> and 74.1251(c) of the Rules</w:t>
      </w:r>
      <w:r>
        <w:t>.</w:t>
      </w:r>
      <w:r>
        <w:rPr>
          <w:rStyle w:val="FootnoteReference"/>
        </w:rPr>
        <w:footnoteReference w:id="20"/>
      </w:r>
      <w:r>
        <w:t xml:space="preserve">  </w:t>
      </w:r>
      <w:r w:rsidR="004F3E51">
        <w:t>According to Triangle</w:t>
      </w:r>
      <w:r>
        <w:t>, when the Translator commenced operations</w:t>
      </w:r>
      <w:r w:rsidR="004C3BC5">
        <w:t xml:space="preserve"> </w:t>
      </w:r>
      <w:r w:rsidR="0007001D">
        <w:t>after grant of the License Application</w:t>
      </w:r>
      <w:r>
        <w:t xml:space="preserve">, it </w:t>
      </w:r>
      <w:r w:rsidR="004C3BC5">
        <w:t xml:space="preserve">rebroadcast </w:t>
      </w:r>
      <w:r>
        <w:t>WPLW(AM), Raleigh, North Carolina,</w:t>
      </w:r>
      <w:r>
        <w:rPr>
          <w:rStyle w:val="FootnoteReference"/>
        </w:rPr>
        <w:footnoteReference w:id="21"/>
      </w:r>
      <w:r>
        <w:t xml:space="preserve"> not </w:t>
      </w:r>
      <w:r w:rsidR="00684140">
        <w:t>WQDR-FM (HD 3)</w:t>
      </w:r>
      <w:r w:rsidR="00D8407D">
        <w:t xml:space="preserve"> (</w:t>
      </w:r>
      <w:r>
        <w:t>the primary station specified in the Permit</w:t>
      </w:r>
      <w:r w:rsidR="00D8407D">
        <w:t>)</w:t>
      </w:r>
      <w:r>
        <w:t>.</w:t>
      </w:r>
      <w:r>
        <w:rPr>
          <w:rStyle w:val="FootnoteReference"/>
        </w:rPr>
        <w:footnoteReference w:id="22"/>
      </w:r>
      <w:r>
        <w:t xml:space="preserve">  Triangle indicates that this continued until June 4, 2019.  </w:t>
      </w:r>
      <w:r w:rsidR="004F3E51">
        <w:t>O</w:t>
      </w:r>
      <w:r w:rsidR="0007001D">
        <w:t>n</w:t>
      </w:r>
      <w:r>
        <w:t xml:space="preserve"> that date, </w:t>
      </w:r>
      <w:r w:rsidR="004F3E51">
        <w:t xml:space="preserve">Triangle indicates </w:t>
      </w:r>
      <w:r w:rsidR="00D8407D">
        <w:t xml:space="preserve">WQDR-FM (HD 3) </w:t>
      </w:r>
      <w:r>
        <w:t>began simulcasting WPLW(AM), which brought the Translator’s operations into compliance with its Permit.  CRG states that</w:t>
      </w:r>
      <w:r w:rsidR="00D8407D">
        <w:t>, as of June 10, 2019,</w:t>
      </w:r>
      <w:r>
        <w:t xml:space="preserve"> the Translator</w:t>
      </w:r>
      <w:r w:rsidR="00D8407D">
        <w:t xml:space="preserve"> was</w:t>
      </w:r>
      <w:r>
        <w:t xml:space="preserve"> “rebroadcasting the signal of WQDR-FM (HD 3)” but does not respond to Triangle’s allegation that the Translator previously </w:t>
      </w:r>
      <w:r w:rsidR="007F348A">
        <w:t>rebroadcast</w:t>
      </w:r>
      <w:r>
        <w:t xml:space="preserve"> the signal of a </w:t>
      </w:r>
      <w:r w:rsidR="007F348A">
        <w:t>different station</w:t>
      </w:r>
      <w:r>
        <w:t xml:space="preserve">.  </w:t>
      </w:r>
      <w:r w:rsidR="00A40D2E">
        <w:t>B</w:t>
      </w:r>
      <w:r w:rsidR="008B0950">
        <w:t xml:space="preserve">ased on the information before us, we conclude that the Translator </w:t>
      </w:r>
      <w:r w:rsidR="003C079E">
        <w:t>rebroadcast the signal of WPLW(AM) from on or about May 1, 2019, until June 4, 2019.</w:t>
      </w:r>
      <w:r w:rsidR="00973A0E">
        <w:t xml:space="preserve">  </w:t>
      </w:r>
      <w:r w:rsidR="005620D1">
        <w:t>CRG did not</w:t>
      </w:r>
      <w:r w:rsidR="00973A0E">
        <w:t xml:space="preserve"> notify the Commission of </w:t>
      </w:r>
      <w:r w:rsidR="005620D1">
        <w:t>this</w:t>
      </w:r>
      <w:r w:rsidR="00973A0E">
        <w:t xml:space="preserve"> change </w:t>
      </w:r>
      <w:r w:rsidR="005620D1">
        <w:t>in</w:t>
      </w:r>
      <w:r w:rsidR="00973A0E">
        <w:t xml:space="preserve"> the Translator’s primary station and </w:t>
      </w:r>
      <w:r w:rsidR="005620D1">
        <w:t xml:space="preserve">did not submit </w:t>
      </w:r>
      <w:r w:rsidR="00973A0E">
        <w:t xml:space="preserve">any “technical need” showing to support </w:t>
      </w:r>
      <w:r w:rsidR="005620D1">
        <w:t>the</w:t>
      </w:r>
      <w:r w:rsidR="00973A0E">
        <w:t xml:space="preserve"> change</w:t>
      </w:r>
      <w:r w:rsidR="00006DA0">
        <w:t xml:space="preserve"> </w:t>
      </w:r>
      <w:r w:rsidR="00006DA0">
        <w:t>despite the fact that</w:t>
      </w:r>
      <w:r w:rsidR="00006DA0">
        <w:t xml:space="preserve"> another commonly-owned translator was rebroadcasting the same signal to substantially the same area</w:t>
      </w:r>
      <w:r w:rsidR="009F7249">
        <w:t>.</w:t>
      </w:r>
      <w:r w:rsidR="00973A0E">
        <w:t xml:space="preserve"> </w:t>
      </w:r>
      <w:r w:rsidR="009F7249">
        <w:t xml:space="preserve"> Accordingly, </w:t>
      </w:r>
      <w:r w:rsidR="00973A0E">
        <w:t xml:space="preserve">we find CRG </w:t>
      </w:r>
      <w:r w:rsidR="005620D1">
        <w:t xml:space="preserve">apparently </w:t>
      </w:r>
      <w:r w:rsidR="00973A0E">
        <w:t>violated both sections</w:t>
      </w:r>
      <w:r w:rsidR="007F16F3">
        <w:t xml:space="preserve"> </w:t>
      </w:r>
      <w:r w:rsidR="00973A0E">
        <w:t>74.1232(b)</w:t>
      </w:r>
      <w:r w:rsidR="007F16F3">
        <w:t>,</w:t>
      </w:r>
      <w:r>
        <w:rPr>
          <w:rStyle w:val="FootnoteReference"/>
        </w:rPr>
        <w:footnoteReference w:id="23"/>
      </w:r>
      <w:r w:rsidR="007F16F3">
        <w:t xml:space="preserve"> and 74.1251(c).</w:t>
      </w:r>
      <w:r w:rsidR="00973A0E">
        <w:t xml:space="preserve">  Below, we propose a forfeiture for these violations</w:t>
      </w:r>
      <w:r w:rsidR="00AD20BF">
        <w:t>.</w:t>
      </w:r>
    </w:p>
    <w:p w:rsidR="001A2959" w:rsidRPr="00BD3157" w:rsidP="00BD3157" w14:paraId="3DDDE97D" w14:textId="67F414AA">
      <w:pPr>
        <w:pStyle w:val="Heading1"/>
        <w:numPr>
          <w:ilvl w:val="1"/>
          <w:numId w:val="3"/>
        </w:numPr>
        <w:rPr>
          <w:caps w:val="0"/>
        </w:rPr>
      </w:pPr>
      <w:r w:rsidRPr="00BD3157">
        <w:rPr>
          <w:caps w:val="0"/>
        </w:rPr>
        <w:t>Proposed Forfeiture</w:t>
      </w:r>
    </w:p>
    <w:p w:rsidR="00595550" w:rsidP="00736ED0" w14:paraId="27D8BC45" w14:textId="6770DA7C">
      <w:pPr>
        <w:pStyle w:val="ParaNum"/>
        <w:tabs>
          <w:tab w:val="clear" w:pos="1080"/>
          <w:tab w:val="num" w:pos="1440"/>
        </w:tabs>
      </w:pPr>
      <w:r>
        <w:t>Under Section 503(b)(1)(B) of the Act, a person who is found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24"/>
      </w:r>
      <w:r>
        <w:t xml:space="preserve">  Section 312(f)(1) of the Act defines willfully as “the conscious and deliberate commission or omission of [any] act, irrespective of any intent to violate” the law.</w:t>
      </w:r>
      <w:r>
        <w:rPr>
          <w:rStyle w:val="FootnoteReference"/>
          <w:szCs w:val="22"/>
        </w:rPr>
        <w:footnoteReference w:id="25"/>
      </w:r>
      <w:r>
        <w:t xml:space="preserve">  The legislative history to Section 312(f)(1) of the Act clarifies that this definition of willful applies to both Sections 312 and 503(b) of the Act,</w:t>
      </w:r>
      <w:r>
        <w:rPr>
          <w:rStyle w:val="FootnoteReference"/>
          <w:szCs w:val="22"/>
        </w:rPr>
        <w:footnoteReference w:id="26"/>
      </w:r>
      <w:r>
        <w:t xml:space="preserve"> and the Commission has so </w:t>
      </w:r>
      <w:r>
        <w:t>interpreted the term in the Section 503(b) context.</w:t>
      </w:r>
      <w:r>
        <w:rPr>
          <w:rStyle w:val="FootnoteReference"/>
          <w:szCs w:val="22"/>
        </w:rPr>
        <w:footnoteReference w:id="27"/>
      </w:r>
      <w:r>
        <w:t xml:space="preserve">  Sec</w:t>
      </w:r>
      <w:r w:rsidR="00DA3F9D">
        <w:t>tion 312(f)</w:t>
      </w:r>
      <w:r>
        <w:t>(2)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28"/>
      </w:r>
    </w:p>
    <w:p w:rsidR="00860538" w:rsidP="00C918F7" w14:paraId="100D2F52" w14:textId="6A987495">
      <w:pPr>
        <w:pStyle w:val="ParaNum"/>
        <w:tabs>
          <w:tab w:val="clear" w:pos="1080"/>
          <w:tab w:val="num" w:pos="1440"/>
        </w:tabs>
      </w:pPr>
      <w:r w:rsidRPr="00697258">
        <w:rPr>
          <w:szCs w:val="22"/>
        </w:rPr>
        <w:t>The</w:t>
      </w:r>
      <w:r w:rsidRPr="00697258">
        <w:rPr>
          <w:i/>
          <w:szCs w:val="22"/>
        </w:rPr>
        <w:t xml:space="preserve"> </w:t>
      </w:r>
      <w:r w:rsidRPr="00697258">
        <w:rPr>
          <w:szCs w:val="22"/>
        </w:rPr>
        <w:t>Commission’s</w:t>
      </w:r>
      <w:r w:rsidRPr="00697258">
        <w:rPr>
          <w:i/>
          <w:szCs w:val="22"/>
        </w:rPr>
        <w:t xml:space="preserve"> Forfeiture Policy Statement</w:t>
      </w:r>
      <w:r w:rsidRPr="00697258">
        <w:rPr>
          <w:szCs w:val="22"/>
        </w:rPr>
        <w:t xml:space="preserve"> and Section 1.80(b)(</w:t>
      </w:r>
      <w:r>
        <w:rPr>
          <w:szCs w:val="22"/>
        </w:rPr>
        <w:t>8</w:t>
      </w:r>
      <w:r w:rsidRPr="00697258">
        <w:rPr>
          <w:szCs w:val="22"/>
        </w:rPr>
        <w:t>) of the Rules establish</w:t>
      </w:r>
      <w:r w:rsidR="00277BC3">
        <w:rPr>
          <w:szCs w:val="22"/>
        </w:rPr>
        <w:t>es</w:t>
      </w:r>
      <w:r w:rsidRPr="00697258">
        <w:rPr>
          <w:szCs w:val="22"/>
        </w:rPr>
        <w:t xml:space="preserve"> a base forfeiture </w:t>
      </w:r>
      <w:r w:rsidRPr="00C918F7">
        <w:t>amount</w:t>
      </w:r>
      <w:r w:rsidRPr="00697258">
        <w:rPr>
          <w:szCs w:val="22"/>
        </w:rPr>
        <w:t xml:space="preserve"> of $</w:t>
      </w:r>
      <w:r w:rsidR="00277BC3">
        <w:rPr>
          <w:szCs w:val="22"/>
        </w:rPr>
        <w:t>3</w:t>
      </w:r>
      <w:r w:rsidRPr="00697258">
        <w:rPr>
          <w:szCs w:val="22"/>
        </w:rPr>
        <w:t xml:space="preserve">,000 for </w:t>
      </w:r>
      <w:r w:rsidR="00277BC3">
        <w:rPr>
          <w:szCs w:val="22"/>
        </w:rPr>
        <w:t xml:space="preserve">failure to </w:t>
      </w:r>
      <w:r w:rsidR="00D14C70">
        <w:rPr>
          <w:szCs w:val="22"/>
        </w:rPr>
        <w:t xml:space="preserve">file required forms or information, and a base forfeiture of </w:t>
      </w:r>
      <w:r w:rsidR="007D4532">
        <w:rPr>
          <w:szCs w:val="22"/>
        </w:rPr>
        <w:t>$4,000 for unauthorized emissions</w:t>
      </w:r>
      <w:r w:rsidRPr="008333E7">
        <w:rPr>
          <w:szCs w:val="22"/>
        </w:rPr>
        <w:t>.</w:t>
      </w:r>
      <w:r>
        <w:rPr>
          <w:rStyle w:val="FootnoteReference"/>
          <w:szCs w:val="22"/>
        </w:rPr>
        <w:footnoteReference w:id="29"/>
      </w:r>
      <w:r w:rsidRPr="00697258">
        <w:rPr>
          <w:szCs w:val="22"/>
        </w:rPr>
        <w:t xml:space="preserve">  In determining the appropriate forfeiture amount, we may adjust the base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30"/>
      </w:r>
      <w:r>
        <w:t xml:space="preserve">  Considering the record as a whole and all of the factors required by Section 503(b)(2)(D) of the Act and the </w:t>
      </w:r>
      <w:r w:rsidRPr="00697258">
        <w:rPr>
          <w:i/>
          <w:iCs/>
        </w:rPr>
        <w:t>Forfeiture Policy Statement</w:t>
      </w:r>
      <w:r>
        <w:t>, we believe that a</w:t>
      </w:r>
      <w:r w:rsidR="00DA3F9D">
        <w:t xml:space="preserve"> reduced forfeiture of</w:t>
      </w:r>
      <w:r>
        <w:t xml:space="preserve"> </w:t>
      </w:r>
      <w:r w:rsidR="00DA3F9D">
        <w:t>t</w:t>
      </w:r>
      <w:r w:rsidR="00087FB2">
        <w:t>wo t</w:t>
      </w:r>
      <w:r w:rsidR="00DA3F9D">
        <w:t xml:space="preserve">housand dollars </w:t>
      </w:r>
      <w:r w:rsidRPr="00DA3F9D" w:rsidR="00DA3F9D">
        <w:t>(</w:t>
      </w:r>
      <w:r w:rsidRPr="00DA3F9D">
        <w:t>$</w:t>
      </w:r>
      <w:r w:rsidR="0031341A">
        <w:t>2</w:t>
      </w:r>
      <w:r w:rsidRPr="00DA3F9D">
        <w:t>,000</w:t>
      </w:r>
      <w:r w:rsidR="00DA3F9D">
        <w:t>)</w:t>
      </w:r>
      <w:r>
        <w:t xml:space="preserve"> is appropriate here.  </w:t>
      </w:r>
      <w:r w:rsidR="00D84FE3">
        <w:t>We reach this conclusion based on the fact that</w:t>
      </w:r>
      <w:r>
        <w:t xml:space="preserve"> </w:t>
      </w:r>
      <w:r w:rsidR="00D84FE3">
        <w:t>CRG’s</w:t>
      </w:r>
      <w:r>
        <w:t xml:space="preserve"> violation</w:t>
      </w:r>
      <w:r w:rsidR="008A31AE">
        <w:t>s</w:t>
      </w:r>
      <w:r>
        <w:t xml:space="preserve"> </w:t>
      </w:r>
      <w:r w:rsidR="008A31AE">
        <w:t>were</w:t>
      </w:r>
      <w:r w:rsidR="00A535B4">
        <w:t xml:space="preserve"> not prolonged</w:t>
      </w:r>
      <w:r w:rsidR="00D84FE3">
        <w:t>,</w:t>
      </w:r>
      <w:r>
        <w:rPr>
          <w:rStyle w:val="FootnoteReference"/>
        </w:rPr>
        <w:footnoteReference w:id="31"/>
      </w:r>
      <w:r w:rsidR="00D84FE3">
        <w:t xml:space="preserve"> and the </w:t>
      </w:r>
      <w:r w:rsidR="00AE6E98">
        <w:t>f</w:t>
      </w:r>
      <w:r w:rsidR="00D84FE3">
        <w:t xml:space="preserve">act that CRG has </w:t>
      </w:r>
      <w:r>
        <w:t>no history of prior offenses</w:t>
      </w:r>
      <w:r w:rsidRPr="00C84DAD">
        <w:t>.</w:t>
      </w:r>
      <w:r>
        <w:rPr>
          <w:rStyle w:val="FootnoteReference"/>
        </w:rPr>
        <w:footnoteReference w:id="32"/>
      </w:r>
      <w:r>
        <w:t xml:space="preserve">  </w:t>
      </w:r>
    </w:p>
    <w:p w:rsidR="00736ED0" w:rsidP="00736ED0" w14:paraId="51385695" w14:textId="15C5C23E">
      <w:pPr>
        <w:pStyle w:val="Heading1"/>
        <w:numPr>
          <w:ilvl w:val="1"/>
          <w:numId w:val="3"/>
        </w:numPr>
        <w:rPr>
          <w:caps w:val="0"/>
        </w:rPr>
      </w:pPr>
      <w:r>
        <w:rPr>
          <w:caps w:val="0"/>
        </w:rPr>
        <w:t>Grant of License Application</w:t>
      </w:r>
    </w:p>
    <w:p w:rsidR="00DF700A" w:rsidP="00DF700A" w14:paraId="077B99D9" w14:textId="7C724C2F">
      <w:pPr>
        <w:pStyle w:val="ParaNum"/>
        <w:tabs>
          <w:tab w:val="clear" w:pos="1080"/>
          <w:tab w:val="num" w:pos="1440"/>
        </w:tabs>
      </w:pPr>
      <w:r>
        <w:t>Under the standard set forth in section 319(c) of the Act,</w:t>
      </w:r>
      <w:r>
        <w:rPr>
          <w:rStyle w:val="FootnoteReference"/>
        </w:rPr>
        <w:footnoteReference w:id="33"/>
      </w:r>
      <w:r>
        <w:t xml:space="preserve"> </w:t>
      </w:r>
      <w:r w:rsidR="000154DB">
        <w:t>a permittee</w:t>
      </w:r>
      <w:r>
        <w:t xml:space="preserve"> is entitled to a high degree of protection and a presumption that the public interest determination made during the construction permit proceeding continues in effect unless circumstances have arisen that would make operation of the </w:t>
      </w:r>
      <w:r w:rsidR="000154DB">
        <w:t>station</w:t>
      </w:r>
      <w:r>
        <w:t xml:space="preserve"> against the public interest.</w:t>
      </w:r>
      <w:r>
        <w:rPr>
          <w:rStyle w:val="FootnoteReference"/>
        </w:rPr>
        <w:footnoteReference w:id="34"/>
      </w:r>
      <w:r>
        <w:t xml:space="preserve">  </w:t>
      </w:r>
      <w:r w:rsidR="001A2C6D">
        <w:t>The Commission</w:t>
      </w:r>
      <w:r>
        <w:t xml:space="preserve"> traditionally </w:t>
      </w:r>
      <w:r w:rsidR="001A2C6D">
        <w:t xml:space="preserve">is </w:t>
      </w:r>
      <w:r>
        <w:t>reluctant to designate license applications for hearing and, in most instances, consider</w:t>
      </w:r>
      <w:r w:rsidR="001A2C6D">
        <w:t>s</w:t>
      </w:r>
      <w:r>
        <w:t xml:space="preserve"> the grant of a license application to follow almost automatically from the issuance of a construction permit and the completion of construction in accordance therewith.</w:t>
      </w:r>
      <w:r>
        <w:rPr>
          <w:rStyle w:val="FootnoteReference"/>
        </w:rPr>
        <w:footnoteReference w:id="35"/>
      </w:r>
      <w:r>
        <w:t xml:space="preserve"> </w:t>
      </w:r>
    </w:p>
    <w:p w:rsidR="00DF700A" w:rsidRPr="00DF700A" w:rsidP="001508AC" w14:paraId="0201508B" w14:textId="5217991E">
      <w:pPr>
        <w:pStyle w:val="ParaNum"/>
        <w:tabs>
          <w:tab w:val="clear" w:pos="1080"/>
          <w:tab w:val="num" w:pos="1440"/>
        </w:tabs>
      </w:pPr>
      <w:r>
        <w:t xml:space="preserve">Under this stringent standard, Triangle’s challenge to the licensing of the Translator fails. </w:t>
      </w:r>
      <w:r w:rsidR="00C508B4">
        <w:t xml:space="preserve"> </w:t>
      </w:r>
      <w:r>
        <w:t xml:space="preserve">Although, as discussed </w:t>
      </w:r>
      <w:r w:rsidR="00C508B4">
        <w:t>above</w:t>
      </w:r>
      <w:r>
        <w:t xml:space="preserve">, the facts on record indicate that CRG violated sections 74.1232(b) and 74.1251(c) of the Rules, we conclude that the violations at issue are appropriately resolved </w:t>
      </w:r>
      <w:r w:rsidR="00C508B4">
        <w:t xml:space="preserve">through a </w:t>
      </w:r>
      <w:r w:rsidR="008A31AE">
        <w:t xml:space="preserve">proposed </w:t>
      </w:r>
      <w:r w:rsidR="00C508B4">
        <w:t>forfeitur</w:t>
      </w:r>
      <w:r w:rsidR="00AB15FD">
        <w:t>e</w:t>
      </w:r>
      <w:r>
        <w:t xml:space="preserve">.  We </w:t>
      </w:r>
      <w:r w:rsidR="008A31AE">
        <w:t xml:space="preserve">further </w:t>
      </w:r>
      <w:r>
        <w:t xml:space="preserve">find that nothing else in the record </w:t>
      </w:r>
      <w:r w:rsidR="008A7838">
        <w:t>raises</w:t>
      </w:r>
      <w:r>
        <w:t xml:space="preserve"> a substantial or material </w:t>
      </w:r>
      <w:r>
        <w:t xml:space="preserve">question of fact </w:t>
      </w:r>
      <w:r w:rsidR="008A7838">
        <w:t xml:space="preserve">regarding </w:t>
      </w:r>
      <w:r>
        <w:t>whether CRG possesse</w:t>
      </w:r>
      <w:r w:rsidR="00AB15FD">
        <w:t>d</w:t>
      </w:r>
      <w:r>
        <w:t xml:space="preserve"> the basic qualifications to be a Commission licensee</w:t>
      </w:r>
      <w:r w:rsidR="00AB15FD">
        <w:t xml:space="preserve"> at the time we granted the License Application</w:t>
      </w:r>
      <w:r>
        <w:t>.</w:t>
      </w:r>
      <w:r w:rsidR="00AB15FD">
        <w:t xml:space="preserve">  </w:t>
      </w:r>
      <w:r w:rsidR="008A7838">
        <w:t>Finally</w:t>
      </w:r>
      <w:r w:rsidR="00AB15FD">
        <w:t xml:space="preserve">, nothing in the record creates a substantial or material question of fact </w:t>
      </w:r>
      <w:r w:rsidR="008A7838">
        <w:t xml:space="preserve">regarding </w:t>
      </w:r>
      <w:r w:rsidR="00AB15FD">
        <w:t>whether CRG continues to possess those qualifications.</w:t>
      </w:r>
      <w:r>
        <w:t xml:space="preserve">  For these reasons, we </w:t>
      </w:r>
      <w:r w:rsidR="00AE6E98">
        <w:t xml:space="preserve">grant the Petition to the extent indicated above, </w:t>
      </w:r>
      <w:r w:rsidR="00336ED7">
        <w:t xml:space="preserve">dismiss the Petition in part, and </w:t>
      </w:r>
      <w:r w:rsidR="00AE6E98">
        <w:t xml:space="preserve">otherwise </w:t>
      </w:r>
      <w:r w:rsidR="004D4485">
        <w:t>deny the Petition</w:t>
      </w:r>
      <w:r w:rsidR="00336ED7">
        <w:t>,</w:t>
      </w:r>
      <w:r w:rsidR="004D4485">
        <w:t xml:space="preserve"> and affirm </w:t>
      </w:r>
      <w:r w:rsidR="00AB15FD">
        <w:t>our grant of the License Application</w:t>
      </w:r>
      <w:r>
        <w:t>.</w:t>
      </w:r>
    </w:p>
    <w:p w:rsidR="002F58AE" w:rsidP="00860538" w14:paraId="1B606530" w14:textId="03E2A52A">
      <w:pPr>
        <w:pStyle w:val="Heading1"/>
      </w:pPr>
      <w:r>
        <w:t>ordering clauses</w:t>
      </w:r>
    </w:p>
    <w:p w:rsidR="002F58AE" w:rsidP="001508AC" w14:paraId="38A71CEE" w14:textId="439121F2">
      <w:pPr>
        <w:pStyle w:val="ParaNum"/>
        <w:tabs>
          <w:tab w:val="clear" w:pos="1080"/>
          <w:tab w:val="num" w:pos="1440"/>
        </w:tabs>
      </w:pPr>
      <w:r w:rsidRPr="000D07AD">
        <w:t xml:space="preserve">Accordingly, </w:t>
      </w:r>
      <w:r w:rsidRPr="004521EC">
        <w:rPr>
          <w:b/>
        </w:rPr>
        <w:t>IT IS ORDERED</w:t>
      </w:r>
      <w:r w:rsidRPr="000D07AD">
        <w:t xml:space="preserve">, pursuant to Section 503(b) of the Communications Act of 1934, as amended, and Sections 0.283 and 1.80 of the Commission’s Rules, that </w:t>
      </w:r>
      <w:r w:rsidR="003E4205">
        <w:t>Carolina Radio Group</w:t>
      </w:r>
      <w:r w:rsidR="001415CA">
        <w:t>, Inc.,</w:t>
      </w:r>
      <w:r w:rsidR="008C368A">
        <w:t xml:space="preserve"> </w:t>
      </w:r>
      <w:r w:rsidRPr="005D63BE">
        <w:t xml:space="preserve">is hereby </w:t>
      </w:r>
      <w:r w:rsidRPr="004521EC">
        <w:rPr>
          <w:b/>
        </w:rPr>
        <w:t>NOTIFIED</w:t>
      </w:r>
      <w:r w:rsidRPr="005D63BE">
        <w:t xml:space="preserve"> of </w:t>
      </w:r>
      <w:r w:rsidR="001415CA">
        <w:t>its</w:t>
      </w:r>
      <w:r w:rsidRPr="005D63BE">
        <w:t xml:space="preserve"> </w:t>
      </w:r>
      <w:r w:rsidRPr="004521EC">
        <w:rPr>
          <w:b/>
        </w:rPr>
        <w:t>APPARENT LIABILITY FOR FORFEITURE</w:t>
      </w:r>
      <w:r w:rsidRPr="005D63BE">
        <w:t xml:space="preserve"> in the amount of $</w:t>
      </w:r>
      <w:r w:rsidR="0094017A">
        <w:t>2</w:t>
      </w:r>
      <w:r w:rsidRPr="005D63BE">
        <w:t xml:space="preserve">,000 for </w:t>
      </w:r>
      <w:r w:rsidR="00860538">
        <w:t>its</w:t>
      </w:r>
      <w:r w:rsidRPr="005D63BE">
        <w:t xml:space="preserve"> apparent willful and repeated violation</w:t>
      </w:r>
      <w:r w:rsidR="008C368A">
        <w:t>s</w:t>
      </w:r>
      <w:r w:rsidRPr="005D63BE">
        <w:t xml:space="preserve"> of </w:t>
      </w:r>
      <w:r w:rsidR="00F81297">
        <w:t>sections 74.1232(b)</w:t>
      </w:r>
      <w:r w:rsidR="0094017A">
        <w:t xml:space="preserve"> and 74.1251(c)</w:t>
      </w:r>
      <w:r w:rsidR="00F81297">
        <w:t xml:space="preserve"> of the Commission’s rules</w:t>
      </w:r>
      <w:r w:rsidRPr="005D63BE">
        <w:t xml:space="preserve">. </w:t>
      </w:r>
    </w:p>
    <w:p w:rsidR="002F58AE" w:rsidP="001508AC" w14:paraId="7E0DA548" w14:textId="701C903D">
      <w:pPr>
        <w:pStyle w:val="ParaNum"/>
        <w:tabs>
          <w:tab w:val="clear" w:pos="1080"/>
          <w:tab w:val="num" w:pos="1440"/>
        </w:tabs>
      </w:pPr>
      <w:r w:rsidRPr="004521EC">
        <w:rPr>
          <w:b/>
        </w:rPr>
        <w:t>IT IS FURTHER ORDERED,</w:t>
      </w:r>
      <w:r w:rsidRPr="000D07AD">
        <w:t xml:space="preserve"> pursuant to Section 1.80 of the Commission’s Rules, that, within thirty (30) days of the release date of this </w:t>
      </w:r>
      <w:r w:rsidRPr="00860538">
        <w:rPr>
          <w:iCs/>
        </w:rPr>
        <w:t>NAL</w:t>
      </w:r>
      <w:r w:rsidRPr="005D63BE">
        <w:rPr>
          <w:i/>
          <w:iCs/>
        </w:rPr>
        <w:t>,</w:t>
      </w:r>
      <w:r w:rsidRPr="005D63BE">
        <w:t xml:space="preserve"> </w:t>
      </w:r>
      <w:r w:rsidR="001415CA">
        <w:t>Carolina Radio Group, Inc.,</w:t>
      </w:r>
      <w:r w:rsidR="00860538">
        <w:t xml:space="preserve"> </w:t>
      </w:r>
      <w:r w:rsidRPr="004521EC">
        <w:rPr>
          <w:b/>
        </w:rPr>
        <w:t>SHALL PAY</w:t>
      </w:r>
      <w:r w:rsidRPr="005D63BE">
        <w:t xml:space="preserve"> the full amount of the proposed forfeiture or </w:t>
      </w:r>
      <w:r w:rsidRPr="004521EC">
        <w:rPr>
          <w:b/>
        </w:rPr>
        <w:t>SHALL FILE</w:t>
      </w:r>
      <w:r w:rsidRPr="005D63BE">
        <w:t xml:space="preserve"> a written statement seeking reduction or cancellation of the proposed forfeiture.  </w:t>
      </w:r>
    </w:p>
    <w:p w:rsidR="002F58AE" w:rsidP="001508AC" w14:paraId="6C8ABEA7" w14:textId="77777777">
      <w:pPr>
        <w:pStyle w:val="ParaNum"/>
        <w:tabs>
          <w:tab w:val="clear" w:pos="1080"/>
          <w:tab w:val="num" w:pos="1440"/>
        </w:tabs>
      </w:pPr>
      <w:r w:rsidRPr="000D07AD">
        <w:t xml:space="preserve"> </w:t>
      </w:r>
      <w:r w:rsidRPr="000D07AD">
        <w:rPr>
          <w:spacing w:val="-2"/>
        </w:rPr>
        <w:t xml:space="preserve">Payment of the forfeiture </w:t>
      </w:r>
      <w:r w:rsidRPr="000E5F2D">
        <w:t>must</w:t>
      </w:r>
      <w:r w:rsidRPr="000D07AD">
        <w:rPr>
          <w:spacing w:val="-2"/>
        </w:rPr>
        <w:t xml:space="preserve"> be made by check or similar instrument, payable to the order of the Federal Communications Commission.  The </w:t>
      </w:r>
      <w:r w:rsidRPr="001508AC">
        <w:t>payment</w:t>
      </w:r>
      <w:r w:rsidRPr="000D07AD">
        <w:rPr>
          <w:spacing w:val="-2"/>
        </w:rPr>
        <w:t xml:space="preserve"> must include the NAL/Ac</w:t>
      </w:r>
      <w:r w:rsidRPr="005D63BE">
        <w:rPr>
          <w:spacing w:val="-2"/>
        </w:rPr>
        <w:t xml:space="preserve">count Number and FRN Number referenced above.  Payment by check or money order may be mailed to Federal Communications Commission, P.O. Box 979088, St. Louis, MO 63197-9000.  Payment by overnight mail may be sent to U.S. Bank – Government Lockbox #979088, SL-MO-C2-GL, 1005 Convention Plaza, St. Louis, MO 63101.  Payment by wire transfer may be made to ABA Number 021030004, receiving bank TREAS/NYC, and account number 27000001.  For payment by credit card, </w:t>
      </w:r>
      <w:r>
        <w:t>an FCC Form 159 (Remittance Advice) must be submitted.  When completing the FCC Form 159, enter the NAL/Account number in block number 23A (call sign/other ID), and enter the letters “FORF” in block number 24A (payment type code).  Requests for full payment under an installment plan should be sent to:  Chief Financial Officer – Financial Operations, 445 12th Street, S.W., Room 1-A625, Washington, D.C.  20554.</w:t>
      </w:r>
      <w:r>
        <w:rPr>
          <w:rStyle w:val="FootnoteReference"/>
        </w:rPr>
        <w:footnoteReference w:id="36"/>
      </w:r>
      <w:r>
        <w:t xml:space="preserve">  Please contact the Financial Operations Group Help Desk at 1-877-480-3201 or Email: </w:t>
      </w:r>
      <w:hyperlink r:id="rId5" w:tooltip="mailto:ARINQUIRIES@fcc.gov" w:history="1">
        <w:r>
          <w:rPr>
            <w:rStyle w:val="Hyperlink"/>
          </w:rPr>
          <w:t>ARINQUIRIES@fcc.gov</w:t>
        </w:r>
      </w:hyperlink>
      <w:r>
        <w:t xml:space="preserve"> with any questions regarding payment procedures. </w:t>
      </w:r>
    </w:p>
    <w:p w:rsidR="002F58AE" w:rsidP="001508AC" w14:paraId="21C1047B" w14:textId="2AA2A674">
      <w:pPr>
        <w:pStyle w:val="ParaNum"/>
        <w:tabs>
          <w:tab w:val="clear" w:pos="1080"/>
          <w:tab w:val="num" w:pos="1440"/>
        </w:tabs>
      </w:pPr>
      <w:r w:rsidRPr="000D07AD">
        <w:t>The response, if any, must be mailed to Office of the Secretary, Federal Communications Commission, 445 12</w:t>
      </w:r>
      <w:r w:rsidRPr="000D07AD">
        <w:rPr>
          <w:vertAlign w:val="superscript"/>
        </w:rPr>
        <w:t>th</w:t>
      </w:r>
      <w:r w:rsidRPr="005D63BE">
        <w:t xml:space="preserve"> Street, S.W., Washington D.C. 20554, ATTN: </w:t>
      </w:r>
      <w:r w:rsidR="007576FD">
        <w:t>Albert Shuldiner</w:t>
      </w:r>
      <w:r w:rsidRPr="005D63BE">
        <w:t xml:space="preserve">, and </w:t>
      </w:r>
      <w:r w:rsidRPr="00DC7369" w:rsidR="00DC7369">
        <w:t>must include</w:t>
      </w:r>
      <w:r w:rsidRPr="005D63BE">
        <w:t xml:space="preserve"> the NAL/Acct. No. referenced above.</w:t>
      </w:r>
    </w:p>
    <w:p w:rsidR="002207C7" w:rsidRPr="002207C7" w:rsidP="00D44305" w14:paraId="5EAF93AE" w14:textId="64031315">
      <w:pPr>
        <w:pStyle w:val="ParaNum"/>
        <w:tabs>
          <w:tab w:val="clear" w:pos="1080"/>
          <w:tab w:val="num" w:pos="1440"/>
        </w:tabs>
      </w:pPr>
      <w:r w:rsidRPr="000D07AD">
        <w:t>The Bureau</w:t>
      </w:r>
      <w:r w:rsidRPr="005D63BE">
        <w:t xml:space="preserve"> will not consider reducing or canceling a forfeiture in response to a claim of inability to pay unless the respondent submits: (1) federal tax returns for the most recent three-year period; (2) financial statements prepared according to generally </w:t>
      </w:r>
      <w:r w:rsidR="007576FD">
        <w:t>accepted accounting practices (GAAP</w:t>
      </w:r>
      <w:r w:rsidRPr="005D63BE">
        <w:t xml:space="preserve">); or (3) some other reliable and objective documentation that accurately reflects the respondent’s current </w:t>
      </w:r>
      <w:r w:rsidRPr="002207C7">
        <w:t xml:space="preserve">financial status.  Any claim of inability to pay must specifically identify the basis for the claim by reference to the financial documentation submitted. </w:t>
      </w:r>
    </w:p>
    <w:p w:rsidR="00217977" w:rsidP="00D44305" w14:paraId="197E25C6" w14:textId="63881B79">
      <w:pPr>
        <w:pStyle w:val="ParaNum"/>
        <w:tabs>
          <w:tab w:val="clear" w:pos="1080"/>
          <w:tab w:val="num" w:pos="1440"/>
        </w:tabs>
      </w:pPr>
      <w:r w:rsidRPr="00DC7369">
        <w:rPr>
          <w:b/>
        </w:rPr>
        <w:t>IT IS FURTHER ORDERED</w:t>
      </w:r>
      <w:r w:rsidRPr="002207C7">
        <w:t xml:space="preserve"> that,</w:t>
      </w:r>
      <w:r w:rsidRPr="002207C7" w:rsidR="002207C7">
        <w:t xml:space="preserve"> </w:t>
      </w:r>
      <w:r w:rsidR="00DC7369">
        <w:t>Carolina Radio Group, Inc.,</w:t>
      </w:r>
      <w:r w:rsidRPr="002207C7">
        <w:t xml:space="preserve"> </w:t>
      </w:r>
      <w:r w:rsidRPr="002207C7" w:rsidR="002207C7">
        <w:rPr>
          <w:snapToGrid/>
          <w:kern w:val="0"/>
          <w:szCs w:val="22"/>
        </w:rPr>
        <w:t>shall place a copy of this Memorandum Opinion and Order and Notice of Apparent Liability for Forfeiture in the records</w:t>
      </w:r>
      <w:r w:rsidRPr="002207C7" w:rsidR="002207C7">
        <w:t xml:space="preserve"> </w:t>
      </w:r>
      <w:r w:rsidRPr="002207C7" w:rsidR="002207C7">
        <w:rPr>
          <w:snapToGrid/>
          <w:kern w:val="0"/>
          <w:szCs w:val="22"/>
        </w:rPr>
        <w:t>maintained for</w:t>
      </w:r>
      <w:r w:rsidR="007C2875">
        <w:rPr>
          <w:snapToGrid/>
          <w:kern w:val="0"/>
          <w:szCs w:val="22"/>
        </w:rPr>
        <w:t xml:space="preserve"> W225DF, Raleigh, North Carolina,</w:t>
      </w:r>
      <w:r w:rsidRPr="002207C7" w:rsidR="002207C7">
        <w:rPr>
          <w:snapToGrid/>
          <w:kern w:val="0"/>
          <w:szCs w:val="22"/>
        </w:rPr>
        <w:t xml:space="preserve"> pursuant </w:t>
      </w:r>
      <w:r w:rsidRPr="00D44305" w:rsidR="002207C7">
        <w:t>to</w:t>
      </w:r>
      <w:r w:rsidRPr="002207C7" w:rsidR="002207C7">
        <w:rPr>
          <w:snapToGrid/>
          <w:kern w:val="0"/>
          <w:szCs w:val="22"/>
        </w:rPr>
        <w:t xml:space="preserve"> Section </w:t>
      </w:r>
      <w:r w:rsidR="00CD24E5">
        <w:rPr>
          <w:snapToGrid/>
          <w:kern w:val="0"/>
          <w:szCs w:val="22"/>
        </w:rPr>
        <w:t>74.1281</w:t>
      </w:r>
      <w:r w:rsidRPr="002207C7" w:rsidR="002207C7">
        <w:rPr>
          <w:snapToGrid/>
          <w:kern w:val="0"/>
          <w:szCs w:val="22"/>
        </w:rPr>
        <w:t xml:space="preserve"> of the Commission’s rules.</w:t>
      </w:r>
    </w:p>
    <w:p w:rsidR="001678CC" w:rsidP="00D44305" w14:paraId="55EA6DD0" w14:textId="6DD4D328">
      <w:pPr>
        <w:pStyle w:val="ParaNum"/>
        <w:tabs>
          <w:tab w:val="clear" w:pos="1080"/>
          <w:tab w:val="num" w:pos="1440"/>
        </w:tabs>
      </w:pPr>
      <w:r w:rsidRPr="007C2875">
        <w:rPr>
          <w:b/>
        </w:rPr>
        <w:t>IT IS FURTHER ORDERED</w:t>
      </w:r>
      <w:r w:rsidRPr="005D63BE">
        <w:t xml:space="preserve"> that </w:t>
      </w:r>
      <w:r w:rsidR="002207C7">
        <w:t>a copy</w:t>
      </w:r>
      <w:r w:rsidRPr="005D63BE">
        <w:t xml:space="preserve"> of this </w:t>
      </w:r>
      <w:r w:rsidR="00217977">
        <w:rPr>
          <w:iCs/>
        </w:rPr>
        <w:t>Memorandum Opinion and Order and Notice of Apparent Liability for Forfeiture</w:t>
      </w:r>
      <w:r w:rsidRPr="005D63BE">
        <w:t xml:space="preserve"> shall be sent, by First Class and Certified Mail, Return Receipt Requested, to </w:t>
      </w:r>
      <w:r w:rsidR="007C2875">
        <w:t>Carolina Radio Group, Inc.</w:t>
      </w:r>
      <w:r w:rsidR="004740FA">
        <w:t xml:space="preserve">, </w:t>
      </w:r>
      <w:r w:rsidR="008574ED">
        <w:t xml:space="preserve">3012 Highwoods Boulevard, </w:t>
      </w:r>
      <w:r w:rsidR="003840F6">
        <w:t>Suite 201, Raleigh, NC 27604</w:t>
      </w:r>
      <w:r w:rsidR="00D976D7">
        <w:t xml:space="preserve">, and its counsel, Coe W. Ramsey, Esq., </w:t>
      </w:r>
      <w:r w:rsidR="00FC0D34">
        <w:t xml:space="preserve">Brooks, Pierce, McLendon, Humphrey &amp; Leonard, LLP, </w:t>
      </w:r>
      <w:r w:rsidR="00D976D7">
        <w:t xml:space="preserve">150 Fayetteville Street, </w:t>
      </w:r>
      <w:r w:rsidR="00401435">
        <w:t>Raleigh, NC 27601</w:t>
      </w:r>
      <w:r w:rsidRPr="005D63BE">
        <w:t>.</w:t>
      </w:r>
    </w:p>
    <w:p w:rsidR="002F58AE" w:rsidP="00713D82" w14:paraId="0579D255" w14:textId="3E892DA4">
      <w:pPr>
        <w:pStyle w:val="ParaNum"/>
        <w:widowControl/>
        <w:tabs>
          <w:tab w:val="clear" w:pos="1080"/>
          <w:tab w:val="num" w:pos="1440"/>
        </w:tabs>
      </w:pPr>
      <w:r>
        <w:t xml:space="preserve">Finally, </w:t>
      </w:r>
      <w:r w:rsidRPr="007C2875">
        <w:rPr>
          <w:b/>
        </w:rPr>
        <w:t>IT IS ORDERED</w:t>
      </w:r>
      <w:r>
        <w:t xml:space="preserve"> that the Petition </w:t>
      </w:r>
      <w:r w:rsidR="007C2875">
        <w:t>for Reconsideration</w:t>
      </w:r>
      <w:r>
        <w:t xml:space="preserve"> filed by </w:t>
      </w:r>
      <w:r w:rsidR="00B54E4C">
        <w:t>Triangle Access Broadcasting, Inc.,</w:t>
      </w:r>
      <w:r>
        <w:t xml:space="preserve"> on </w:t>
      </w:r>
      <w:r w:rsidR="009B41E3">
        <w:t>May 28, 2019</w:t>
      </w:r>
      <w:r>
        <w:t xml:space="preserve">, </w:t>
      </w:r>
      <w:r w:rsidRPr="007C2875">
        <w:rPr>
          <w:b/>
        </w:rPr>
        <w:t>IS GRANTED IN PART</w:t>
      </w:r>
      <w:r w:rsidR="00BE2850">
        <w:rPr>
          <w:b/>
        </w:rPr>
        <w:t>, DISMISSED IN PART,</w:t>
      </w:r>
      <w:r w:rsidRPr="007C2875">
        <w:rPr>
          <w:b/>
        </w:rPr>
        <w:t xml:space="preserve"> AND OTHERWISE </w:t>
      </w:r>
      <w:r w:rsidRPr="00657B92">
        <w:rPr>
          <w:b/>
        </w:rPr>
        <w:t>DENIED.</w:t>
      </w:r>
      <w:r w:rsidRPr="005D63BE">
        <w:t xml:space="preserve"> </w:t>
      </w:r>
    </w:p>
    <w:p w:rsidR="00E97D2F" w:rsidRPr="00910512" w:rsidP="00E97D2F" w14:paraId="276DB6D9" w14:textId="77777777">
      <w:r w:rsidRPr="00910512">
        <w:tab/>
      </w:r>
      <w:r w:rsidRPr="00910512">
        <w:tab/>
      </w:r>
      <w:r w:rsidRPr="00910512">
        <w:tab/>
      </w:r>
      <w:r w:rsidRPr="00910512">
        <w:tab/>
      </w:r>
      <w:r w:rsidRPr="00910512">
        <w:tab/>
      </w:r>
      <w:r w:rsidRPr="00910512">
        <w:tab/>
        <w:t>FEDERAL COMMUNICATIONS COMMISSION</w:t>
      </w:r>
    </w:p>
    <w:p w:rsidR="00E97D2F" w:rsidRPr="00910512" w:rsidP="00E97D2F" w14:paraId="370C6FB6" w14:textId="77777777"/>
    <w:p w:rsidR="00E97D2F" w:rsidRPr="00910512" w:rsidP="00E97D2F" w14:paraId="73265A87" w14:textId="77777777"/>
    <w:p w:rsidR="00E97D2F" w:rsidRPr="00910512" w:rsidP="00E97D2F" w14:paraId="216BDCD7" w14:textId="77777777"/>
    <w:p w:rsidR="00E97D2F" w:rsidRPr="00910512" w:rsidP="00E97D2F" w14:paraId="4203D7E2" w14:textId="77777777"/>
    <w:p w:rsidR="00E97D2F" w:rsidRPr="00910512" w:rsidP="00E97D2F" w14:paraId="287DC049" w14:textId="218CB5BA">
      <w:r w:rsidRPr="00910512">
        <w:tab/>
      </w:r>
      <w:r w:rsidRPr="00910512">
        <w:tab/>
      </w:r>
      <w:r w:rsidRPr="00910512">
        <w:tab/>
      </w:r>
      <w:r w:rsidRPr="00910512">
        <w:tab/>
      </w:r>
      <w:r w:rsidRPr="00910512">
        <w:tab/>
      </w:r>
      <w:r w:rsidRPr="00910512">
        <w:tab/>
      </w:r>
      <w:r w:rsidR="00860538">
        <w:t>Albert Shuldiner</w:t>
      </w:r>
    </w:p>
    <w:p w:rsidR="002F58AE" w:rsidRPr="002F58AE" w:rsidP="008C368A" w14:paraId="3230A42F" w14:textId="5504DE4D">
      <w:r w:rsidRPr="00910512">
        <w:tab/>
      </w:r>
      <w:r>
        <w:tab/>
      </w:r>
      <w:r>
        <w:tab/>
      </w:r>
      <w:r>
        <w:tab/>
      </w:r>
      <w:r>
        <w:tab/>
      </w:r>
      <w:r>
        <w:tab/>
      </w:r>
      <w:r w:rsidRPr="00910512">
        <w:t xml:space="preserve">Chief, </w:t>
      </w:r>
      <w:r w:rsidR="0076484D">
        <w:t xml:space="preserve">Audio Division, </w:t>
      </w:r>
      <w:r w:rsidRPr="00910512">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3C16DB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721510" w14:paraId="53F1F5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2F6B65FE" w14:textId="386A4B2F">
    <w:pPr>
      <w:pStyle w:val="Footer"/>
      <w:framePr w:wrap="around" w:vAnchor="text" w:hAnchor="margin" w:xAlign="center" w:y="1"/>
    </w:pPr>
    <w:r>
      <w:fldChar w:fldCharType="begin"/>
    </w:r>
    <w:r>
      <w:instrText xml:space="preserve">PAGE  </w:instrText>
    </w:r>
    <w:r>
      <w:fldChar w:fldCharType="separate"/>
    </w:r>
    <w:r w:rsidR="00373587">
      <w:rPr>
        <w:noProof/>
      </w:rPr>
      <w:t>6</w:t>
    </w:r>
    <w:r>
      <w:fldChar w:fldCharType="end"/>
    </w:r>
  </w:p>
  <w:p w:rsidR="00721510" w14:paraId="463491E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14:paraId="168821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319F" w14:paraId="58440574" w14:textId="77777777">
      <w:r>
        <w:separator/>
      </w:r>
    </w:p>
  </w:footnote>
  <w:footnote w:type="continuationSeparator" w:id="1">
    <w:p w:rsidR="00ED319F" w:rsidP="00C721AC" w14:paraId="320E8A99" w14:textId="77777777">
      <w:pPr>
        <w:spacing w:before="120"/>
        <w:rPr>
          <w:sz w:val="20"/>
        </w:rPr>
      </w:pPr>
      <w:r>
        <w:rPr>
          <w:sz w:val="20"/>
        </w:rPr>
        <w:t xml:space="preserve">(Continued from previous page)  </w:t>
      </w:r>
      <w:r>
        <w:rPr>
          <w:sz w:val="20"/>
        </w:rPr>
        <w:separator/>
      </w:r>
    </w:p>
  </w:footnote>
  <w:footnote w:type="continuationNotice" w:id="2">
    <w:p w:rsidR="00ED319F" w:rsidRPr="00D2611D" w:rsidP="00D2611D" w14:paraId="44A534E8" w14:textId="77777777">
      <w:pPr>
        <w:pStyle w:val="Footer"/>
      </w:pPr>
    </w:p>
  </w:footnote>
  <w:footnote w:id="3">
    <w:p w:rsidR="00EF17D4" w:rsidRPr="004D759B" w:rsidP="00EF17D4" w14:paraId="1364053B" w14:textId="77777777">
      <w:pPr>
        <w:pStyle w:val="FootnoteText"/>
      </w:pPr>
      <w:r w:rsidRPr="004D759B">
        <w:rPr>
          <w:rStyle w:val="FootnoteReference"/>
        </w:rPr>
        <w:footnoteRef/>
      </w:r>
      <w:r w:rsidRPr="004D759B">
        <w:t xml:space="preserve"> This </w:t>
      </w:r>
      <w:r w:rsidRPr="005120C2">
        <w:t>NAL</w:t>
      </w:r>
      <w:r w:rsidRPr="004D759B">
        <w:t xml:space="preserve"> is issued pursuant to Sections 309(k) and 503(b) of the Communications Act of 1934, as amended (Act), and Section 1.80 of the Commission’s rules (Rules).  </w:t>
      </w:r>
      <w:r w:rsidRPr="004D759B">
        <w:rPr>
          <w:i/>
        </w:rPr>
        <w:t>See</w:t>
      </w:r>
      <w:r w:rsidRPr="004D759B">
        <w:t xml:space="preserve"> 47 U.S.C. §§ 309(k), 503(b); 47 CFR § 1.80.  The Bureau has delegated authority to issue the </w:t>
      </w:r>
      <w:r w:rsidRPr="005120C2">
        <w:t>NAL</w:t>
      </w:r>
      <w:r w:rsidRPr="004D759B">
        <w:t xml:space="preserve"> under Section 0.283 of the Rules.  </w:t>
      </w:r>
      <w:r w:rsidRPr="004D759B">
        <w:rPr>
          <w:i/>
        </w:rPr>
        <w:t>See</w:t>
      </w:r>
      <w:r w:rsidRPr="004D759B">
        <w:t xml:space="preserve"> 47 CFR § 0.283.</w:t>
      </w:r>
    </w:p>
  </w:footnote>
  <w:footnote w:id="4">
    <w:p w:rsidR="00EF17D4" w:rsidRPr="004D759B" w:rsidP="00EF17D4" w14:paraId="7F296CC4" w14:textId="1338510C">
      <w:pPr>
        <w:pStyle w:val="FootnoteText"/>
      </w:pPr>
      <w:r w:rsidRPr="004D759B">
        <w:rPr>
          <w:rStyle w:val="FootnoteReference"/>
        </w:rPr>
        <w:footnoteRef/>
      </w:r>
      <w:r w:rsidRPr="004D759B">
        <w:t xml:space="preserve"> </w:t>
      </w:r>
      <w:r w:rsidRPr="004D759B">
        <w:rPr>
          <w:i/>
        </w:rPr>
        <w:t xml:space="preserve">See </w:t>
      </w:r>
      <w:r>
        <w:t xml:space="preserve">47 U.S.C. § </w:t>
      </w:r>
      <w:r w:rsidR="00596B60">
        <w:t>301</w:t>
      </w:r>
      <w:r>
        <w:t>.</w:t>
      </w:r>
    </w:p>
  </w:footnote>
  <w:footnote w:id="5">
    <w:p w:rsidR="00596B60" w14:paraId="53EA88F1" w14:textId="1F06C99A">
      <w:pPr>
        <w:pStyle w:val="FootnoteText"/>
      </w:pPr>
      <w:r>
        <w:rPr>
          <w:rStyle w:val="FootnoteReference"/>
        </w:rPr>
        <w:footnoteRef/>
      </w:r>
      <w:r>
        <w:t xml:space="preserve"> </w:t>
      </w:r>
      <w:r w:rsidRPr="00596B60">
        <w:rPr>
          <w:i/>
        </w:rPr>
        <w:t>See</w:t>
      </w:r>
      <w:r>
        <w:t xml:space="preserve"> File No. BNPFT-20180723AAW</w:t>
      </w:r>
      <w:r w:rsidR="008959E6">
        <w:t xml:space="preserve"> </w:t>
      </w:r>
      <w:r w:rsidR="00F44010">
        <w:t>(Permit Application)</w:t>
      </w:r>
      <w:r w:rsidR="00AB7D4D">
        <w:t>.</w:t>
      </w:r>
    </w:p>
  </w:footnote>
  <w:footnote w:id="6">
    <w:p w:rsidR="00F44010" w14:paraId="10E17E1F" w14:textId="34BCE02F">
      <w:pPr>
        <w:pStyle w:val="FootnoteText"/>
      </w:pPr>
      <w:r>
        <w:rPr>
          <w:rStyle w:val="FootnoteReference"/>
        </w:rPr>
        <w:footnoteRef/>
      </w:r>
      <w:r>
        <w:t xml:space="preserve"> As originally filed, the Permit Application listed WBBB(FM)</w:t>
      </w:r>
      <w:r w:rsidR="00C14308">
        <w:t xml:space="preserve"> Raleigh, North Carolina,</w:t>
      </w:r>
      <w:r>
        <w:t xml:space="preserve"> as the Translator’s primary station.  </w:t>
      </w:r>
    </w:p>
  </w:footnote>
  <w:footnote w:id="7">
    <w:p w:rsidR="000240FB" w14:paraId="3863EE4D" w14:textId="042BEEBB">
      <w:pPr>
        <w:pStyle w:val="FootnoteText"/>
      </w:pPr>
      <w:r>
        <w:rPr>
          <w:rStyle w:val="FootnoteReference"/>
        </w:rPr>
        <w:footnoteRef/>
      </w:r>
      <w:r>
        <w:t xml:space="preserve"> </w:t>
      </w:r>
      <w:r w:rsidRPr="00D94434" w:rsidR="00957233">
        <w:rPr>
          <w:i/>
        </w:rPr>
        <w:t>Broadcast Actions</w:t>
      </w:r>
      <w:r w:rsidR="00957233">
        <w:t xml:space="preserve">, Public Notice, Report No. 49306, </w:t>
      </w:r>
      <w:r w:rsidR="006245B8">
        <w:t xml:space="preserve">at </w:t>
      </w:r>
      <w:r w:rsidR="00545734">
        <w:t>5</w:t>
      </w:r>
      <w:r w:rsidR="006245B8">
        <w:t xml:space="preserve"> (MB Aug. 23, 2018).</w:t>
      </w:r>
    </w:p>
  </w:footnote>
  <w:footnote w:id="8">
    <w:p w:rsidR="00D13AF5" w14:paraId="3A5612FE" w14:textId="08893D29">
      <w:pPr>
        <w:pStyle w:val="FootnoteText"/>
      </w:pPr>
      <w:r>
        <w:rPr>
          <w:rStyle w:val="FootnoteReference"/>
        </w:rPr>
        <w:footnoteRef/>
      </w:r>
      <w:r>
        <w:t xml:space="preserve"> </w:t>
      </w:r>
      <w:r w:rsidRPr="00390002">
        <w:rPr>
          <w:i/>
        </w:rPr>
        <w:t>Broadcast Actions</w:t>
      </w:r>
      <w:r>
        <w:t xml:space="preserve">, Public Notice, Report No. </w:t>
      </w:r>
      <w:r w:rsidR="0093341C">
        <w:t xml:space="preserve">49480, at </w:t>
      </w:r>
      <w:r w:rsidR="00390002">
        <w:t>4</w:t>
      </w:r>
      <w:r w:rsidR="0093341C">
        <w:t xml:space="preserve"> (MB May 6, 2019).</w:t>
      </w:r>
    </w:p>
  </w:footnote>
  <w:footnote w:id="9">
    <w:p w:rsidR="00E87349" w14:paraId="03895C66" w14:textId="61AA9198">
      <w:pPr>
        <w:pStyle w:val="FootnoteText"/>
      </w:pPr>
      <w:r>
        <w:rPr>
          <w:rStyle w:val="FootnoteReference"/>
        </w:rPr>
        <w:footnoteRef/>
      </w:r>
      <w:r>
        <w:t xml:space="preserve"> </w:t>
      </w:r>
      <w:r w:rsidRPr="00532938" w:rsidR="00A84768">
        <w:rPr>
          <w:i/>
        </w:rPr>
        <w:t>Carolina Radio Group, Inc</w:t>
      </w:r>
      <w:r w:rsidR="00A84768">
        <w:t>., File No. BNPFT-20180723AAW</w:t>
      </w:r>
      <w:r w:rsidR="00532938">
        <w:t>, Letter Order (dated May 2, 2019) (</w:t>
      </w:r>
      <w:r w:rsidRPr="00532938" w:rsidR="00532938">
        <w:rPr>
          <w:i/>
        </w:rPr>
        <w:t>Permit Reconsideration Decision</w:t>
      </w:r>
      <w:r w:rsidR="00532938">
        <w:t>).</w:t>
      </w:r>
    </w:p>
  </w:footnote>
  <w:footnote w:id="10">
    <w:p w:rsidR="004325BD" w14:paraId="59EF2AF3" w14:textId="694E885E">
      <w:pPr>
        <w:pStyle w:val="FootnoteText"/>
      </w:pPr>
      <w:r>
        <w:rPr>
          <w:rStyle w:val="FootnoteReference"/>
        </w:rPr>
        <w:footnoteRef/>
      </w:r>
      <w:r>
        <w:t xml:space="preserve"> </w:t>
      </w:r>
      <w:r w:rsidR="00AA68A4">
        <w:t>Triangle initially filed an Application for Review</w:t>
      </w:r>
      <w:r w:rsidR="00E87349">
        <w:t xml:space="preserve"> (AFR)</w:t>
      </w:r>
      <w:r w:rsidR="00AA68A4">
        <w:t xml:space="preserve"> of the </w:t>
      </w:r>
      <w:r w:rsidRPr="00532938" w:rsidR="00AA68A4">
        <w:rPr>
          <w:i/>
        </w:rPr>
        <w:t>Permit Reconsideration Decision</w:t>
      </w:r>
      <w:r w:rsidR="00AA68A4">
        <w:t xml:space="preserve">.  However, it withdrew the AFR on </w:t>
      </w:r>
      <w:r w:rsidR="00C51BC2">
        <w:t xml:space="preserve">June 18, 2019.  </w:t>
      </w:r>
      <w:r w:rsidRPr="00A25CAA" w:rsidR="00C51BC2">
        <w:rPr>
          <w:i/>
        </w:rPr>
        <w:t>See</w:t>
      </w:r>
      <w:r w:rsidR="00C51BC2">
        <w:t xml:space="preserve"> Letter from Steven L. White, Director, Triangle Access Broad., Inc., </w:t>
      </w:r>
      <w:r w:rsidR="00A25CAA">
        <w:t>to Secretary, FCC (dated June 18, 2019)</w:t>
      </w:r>
      <w:r w:rsidR="0020304B">
        <w:t>.</w:t>
      </w:r>
    </w:p>
  </w:footnote>
  <w:footnote w:id="11">
    <w:p w:rsidR="00BF7FFE" w14:paraId="16467DA8" w14:textId="34847973">
      <w:pPr>
        <w:pStyle w:val="FootnoteText"/>
      </w:pPr>
      <w:r>
        <w:rPr>
          <w:rStyle w:val="FootnoteReference"/>
        </w:rPr>
        <w:footnoteRef/>
      </w:r>
      <w:r>
        <w:t xml:space="preserve"> Petition at </w:t>
      </w:r>
      <w:r w:rsidR="003E7D48">
        <w:t>2.</w:t>
      </w:r>
    </w:p>
  </w:footnote>
  <w:footnote w:id="12">
    <w:p w:rsidR="00F32020" w14:paraId="08D50942" w14:textId="1B0A96B2">
      <w:pPr>
        <w:pStyle w:val="FootnoteText"/>
      </w:pPr>
      <w:r>
        <w:rPr>
          <w:rStyle w:val="FootnoteReference"/>
        </w:rPr>
        <w:footnoteRef/>
      </w:r>
      <w:r>
        <w:t xml:space="preserve"> </w:t>
      </w:r>
      <w:r w:rsidRPr="00A52EE2" w:rsidR="00A52EE2">
        <w:rPr>
          <w:i/>
        </w:rPr>
        <w:t>Id</w:t>
      </w:r>
      <w:r w:rsidR="00A52EE2">
        <w:t xml:space="preserve">.  </w:t>
      </w:r>
      <w:r>
        <w:t>Triangle also</w:t>
      </w:r>
      <w:r w:rsidR="00555FF1">
        <w:t xml:space="preserve"> argues that “action on the license application should have been withheld until the Permit [was] final” and</w:t>
      </w:r>
      <w:r>
        <w:t xml:space="preserve"> </w:t>
      </w:r>
      <w:r w:rsidR="008C294F">
        <w:t xml:space="preserve">urges us to rescind our grant of the License Application “until </w:t>
      </w:r>
      <w:r w:rsidR="00C62462">
        <w:t>action on the underlying permit can no longer be reviewed.”</w:t>
      </w:r>
      <w:r w:rsidR="00E06DC8">
        <w:t xml:space="preserve">  </w:t>
      </w:r>
      <w:r w:rsidRPr="008B5B88" w:rsidR="008B5B88">
        <w:rPr>
          <w:i/>
        </w:rPr>
        <w:t>Id</w:t>
      </w:r>
      <w:r w:rsidR="008B5B88">
        <w:t>.</w:t>
      </w:r>
      <w:r w:rsidR="00E06DC8">
        <w:t xml:space="preserve"> at 1-2.  </w:t>
      </w:r>
      <w:r w:rsidR="00A4172B">
        <w:t>O</w:t>
      </w:r>
      <w:r w:rsidR="005B19BA">
        <w:t xml:space="preserve">ur grant of the Permit Application </w:t>
      </w:r>
      <w:r w:rsidR="00AC3C27">
        <w:t>has since become</w:t>
      </w:r>
      <w:r w:rsidR="005B19BA">
        <w:t xml:space="preserve"> final.  Accordingly, we </w:t>
      </w:r>
      <w:r w:rsidR="00AC3C27">
        <w:t xml:space="preserve">will </w:t>
      </w:r>
      <w:r w:rsidR="00555FF1">
        <w:t>dismiss this argument as moot.</w:t>
      </w:r>
    </w:p>
  </w:footnote>
  <w:footnote w:id="13">
    <w:p w:rsidR="00F35CA0" w14:paraId="17B2885F" w14:textId="741E86A6">
      <w:pPr>
        <w:pStyle w:val="FootnoteText"/>
      </w:pPr>
      <w:r>
        <w:rPr>
          <w:rStyle w:val="FootnoteReference"/>
        </w:rPr>
        <w:footnoteRef/>
      </w:r>
      <w:r>
        <w:t xml:space="preserve"> </w:t>
      </w:r>
      <w:r w:rsidR="0025771A">
        <w:t>Opposition at 2-3.</w:t>
      </w:r>
    </w:p>
  </w:footnote>
  <w:footnote w:id="14">
    <w:p w:rsidR="001F1F5B" w14:paraId="0457F63E" w14:textId="71C04451">
      <w:pPr>
        <w:pStyle w:val="FootnoteText"/>
      </w:pPr>
      <w:r>
        <w:rPr>
          <w:rStyle w:val="FootnoteReference"/>
        </w:rPr>
        <w:footnoteRef/>
      </w:r>
      <w:r>
        <w:t xml:space="preserve"> </w:t>
      </w:r>
      <w:r w:rsidR="008B5B88">
        <w:t>Reply at 3-4.</w:t>
      </w:r>
    </w:p>
  </w:footnote>
  <w:footnote w:id="15">
    <w:p w:rsidR="00031A17" w14:paraId="2687BB61" w14:textId="1244DFB0">
      <w:pPr>
        <w:pStyle w:val="FootnoteText"/>
      </w:pPr>
      <w:r>
        <w:rPr>
          <w:rStyle w:val="FootnoteReference"/>
        </w:rPr>
        <w:footnoteRef/>
      </w:r>
      <w:r>
        <w:t xml:space="preserve"> </w:t>
      </w:r>
      <w:r w:rsidRPr="00031A17">
        <w:rPr>
          <w:i/>
        </w:rPr>
        <w:t>See</w:t>
      </w:r>
      <w:r>
        <w:t xml:space="preserve"> Petition at 2.  </w:t>
      </w:r>
    </w:p>
  </w:footnote>
  <w:footnote w:id="16">
    <w:p w:rsidR="00031A17" w:rsidRPr="00F521E8" w:rsidP="00031A17" w14:paraId="298B9E32" w14:textId="77777777">
      <w:pPr>
        <w:pStyle w:val="FootnoteText"/>
      </w:pPr>
      <w:r>
        <w:rPr>
          <w:rStyle w:val="FootnoteReference"/>
        </w:rPr>
        <w:footnoteRef/>
      </w:r>
      <w:r>
        <w:t xml:space="preserve"> The Commission requires an FM translator applicant to certify that it does not “have any interest in an application or an authorization for an FM translator station that serves substantially the same area and rebroadcasts the same signal as the proposed FM translator station” in its construction permit application.  </w:t>
      </w:r>
      <w:r w:rsidRPr="009601F3">
        <w:rPr>
          <w:i/>
        </w:rPr>
        <w:t>See</w:t>
      </w:r>
      <w:r w:rsidRPr="007E3057">
        <w:t xml:space="preserve"> </w:t>
      </w:r>
      <w:r>
        <w:t>FCC Form 349, Application for Authority to Construct or Make Changes in an FM Translator or FM Booster Station, Section III-A-Engineering, Item 14:  Multiple Translators.  If an applicant cannot so certify, the applicant</w:t>
      </w:r>
      <w:r w:rsidRPr="007E3057">
        <w:t xml:space="preserve"> must </w:t>
      </w:r>
      <w:r>
        <w:t>“</w:t>
      </w:r>
      <w:r w:rsidRPr="007E3057">
        <w:t>demonstrate the</w:t>
      </w:r>
      <w:r>
        <w:t xml:space="preserve"> </w:t>
      </w:r>
      <w:r w:rsidRPr="007E3057">
        <w:rPr>
          <w:b/>
          <w:bCs/>
        </w:rPr>
        <w:t xml:space="preserve">technical need </w:t>
      </w:r>
      <w:r w:rsidRPr="007E3057">
        <w:t>for the additional translator</w:t>
      </w:r>
      <w:r>
        <w:t xml:space="preserve">.”  </w:t>
      </w:r>
      <w:r w:rsidRPr="007E3057">
        <w:t>Instructions</w:t>
      </w:r>
      <w:r>
        <w:t xml:space="preserve"> for </w:t>
      </w:r>
      <w:r w:rsidRPr="007E3057">
        <w:t xml:space="preserve">FCC Form 349, </w:t>
      </w:r>
      <w:r>
        <w:t xml:space="preserve">Application for Authority to Construct or Make Changes in an FM Translator or FM Booster Station, </w:t>
      </w:r>
      <w:r w:rsidRPr="007E3057">
        <w:t>Section III-A-Engineering, Item 14:  Multiple Translators</w:t>
      </w:r>
      <w:r>
        <w:t xml:space="preserve"> (emphasis in original)</w:t>
      </w:r>
      <w:r w:rsidRPr="007E3057">
        <w:t>.</w:t>
      </w:r>
      <w:r>
        <w:t xml:space="preserve">  No such certification or showing is required in an application for a license to cover an FM translator construction permit.  </w:t>
      </w:r>
      <w:r w:rsidRPr="00015D3E">
        <w:rPr>
          <w:i/>
        </w:rPr>
        <w:t>See</w:t>
      </w:r>
      <w:r>
        <w:t xml:space="preserve"> FCC Form 350, Application for an FM Translator or FM Booster Station License.</w:t>
      </w:r>
    </w:p>
  </w:footnote>
  <w:footnote w:id="17">
    <w:p w:rsidR="00FB550D" w:rsidP="00FB550D" w14:paraId="18B715D7" w14:textId="6E28DBD6">
      <w:pPr>
        <w:pStyle w:val="FootnoteText"/>
      </w:pPr>
      <w:r>
        <w:rPr>
          <w:rStyle w:val="FootnoteReference"/>
        </w:rPr>
        <w:footnoteRef/>
      </w:r>
      <w:r>
        <w:t xml:space="preserve"> </w:t>
      </w:r>
      <w:r w:rsidRPr="00A5122F">
        <w:rPr>
          <w:rStyle w:val="ssleftalign"/>
          <w:i/>
        </w:rPr>
        <w:t>Amendment of Part 74 of the Commission’s Rules Concerning FM Translator Stations, Report and Order</w:t>
      </w:r>
      <w:r>
        <w:rPr>
          <w:rStyle w:val="ssleftalign"/>
        </w:rPr>
        <w:t xml:space="preserve">, 5 FCC Rcd 7212, 7222, para. 75 (1990).  </w:t>
      </w:r>
      <w:r w:rsidRPr="0071215C">
        <w:rPr>
          <w:rStyle w:val="ssleftalign"/>
          <w:i/>
        </w:rPr>
        <w:t>See also</w:t>
      </w:r>
      <w:r>
        <w:rPr>
          <w:rStyle w:val="ssleftalign"/>
        </w:rPr>
        <w:t xml:space="preserve"> </w:t>
      </w:r>
      <w:r>
        <w:t>47 CFR § 74.1232(b).</w:t>
      </w:r>
    </w:p>
  </w:footnote>
  <w:footnote w:id="18">
    <w:p w:rsidR="00D271D9" w14:paraId="584F80E4" w14:textId="38B98098">
      <w:pPr>
        <w:pStyle w:val="FootnoteText"/>
      </w:pPr>
      <w:r>
        <w:rPr>
          <w:rStyle w:val="FootnoteReference"/>
        </w:rPr>
        <w:footnoteRef/>
      </w:r>
      <w:r>
        <w:t xml:space="preserve"> </w:t>
      </w:r>
      <w:r w:rsidRPr="00D271D9">
        <w:t>Triangle argued there was no “technical need” for the Translator’s proposed facilities because the programming the Translator proposed to rebroadcast also aired on WPTF(AM), Raleigh, North Carolina, and the Translator’s service contour was encompassed by the WPTF(AM) contour.  Permit Petition at 2-3.</w:t>
      </w:r>
    </w:p>
  </w:footnote>
  <w:footnote w:id="19">
    <w:p w:rsidR="00CE4F42" w14:paraId="65732A1E" w14:textId="313D83F3">
      <w:pPr>
        <w:pStyle w:val="FootnoteText"/>
      </w:pPr>
      <w:r>
        <w:rPr>
          <w:rStyle w:val="FootnoteReference"/>
        </w:rPr>
        <w:footnoteRef/>
      </w:r>
      <w:r>
        <w:t xml:space="preserve"> </w:t>
      </w:r>
      <w:r w:rsidR="0041182E">
        <w:t xml:space="preserve">Section 74.1232(b) permits an entity to hold the licenses for multiple FM translators serving “substantially the same area … upon an appropriate showing of technical need.”  47 CFR </w:t>
      </w:r>
      <w:r w:rsidRPr="00FB08D1" w:rsidR="0041182E">
        <w:t>§</w:t>
      </w:r>
      <w:r w:rsidR="0041182E">
        <w:t xml:space="preserve"> 74.1232(b).</w:t>
      </w:r>
    </w:p>
  </w:footnote>
  <w:footnote w:id="20">
    <w:p w:rsidR="0041182E" w14:paraId="1CFD94F8" w14:textId="24EA91D4">
      <w:pPr>
        <w:pStyle w:val="FootnoteText"/>
      </w:pPr>
      <w:r>
        <w:rPr>
          <w:rStyle w:val="FootnoteReference"/>
        </w:rPr>
        <w:footnoteRef/>
      </w:r>
      <w:r>
        <w:t xml:space="preserve"> </w:t>
      </w:r>
      <w:r>
        <w:rPr>
          <w:szCs w:val="22"/>
        </w:rPr>
        <w:t>Section 74.1251(c) requires a translator</w:t>
      </w:r>
      <w:r w:rsidRPr="0010617D">
        <w:rPr>
          <w:szCs w:val="22"/>
        </w:rPr>
        <w:t xml:space="preserve"> permittee or licensee </w:t>
      </w:r>
      <w:r>
        <w:rPr>
          <w:szCs w:val="22"/>
        </w:rPr>
        <w:t xml:space="preserve">to notify the Commission in writing </w:t>
      </w:r>
      <w:r w:rsidRPr="0010617D">
        <w:rPr>
          <w:szCs w:val="22"/>
        </w:rPr>
        <w:t xml:space="preserve">of any </w:t>
      </w:r>
      <w:r w:rsidRPr="0010617D">
        <w:rPr>
          <w:noProof/>
          <w:szCs w:val="22"/>
        </w:rPr>
        <w:drawing>
          <wp:inline distT="0" distB="0" distL="0" distR="0">
            <wp:extent cx="9525" cy="9525"/>
            <wp:effectExtent l="0" t="0" r="0" b="0"/>
            <wp:docPr id="3" name="Picture 3" descr="previous hit">
              <a:hlinkClick xmlns:a="http://schemas.openxmlformats.org/drawingml/2006/main" xmlns:r="http://schemas.openxmlformats.org/officeDocument/2006/relationships"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966505" name="Picture 69" descr="previous hit">
                      <a:hlinkClick xmlns:a="http://schemas.openxmlformats.org/drawingml/2006/main" xmlns:r="http://schemas.openxmlformats.org/officeDocument/2006/relationships" r:id="rId1"/>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10617D">
        <w:rPr>
          <w:szCs w:val="22"/>
        </w:rPr>
        <w:t>change</w:t>
      </w:r>
      <w:r w:rsidRPr="0010617D">
        <w:rPr>
          <w:noProof/>
          <w:szCs w:val="22"/>
        </w:rPr>
        <w:drawing>
          <wp:inline distT="0" distB="0" distL="0" distR="0">
            <wp:extent cx="9525" cy="9525"/>
            <wp:effectExtent l="0" t="0" r="0" b="0"/>
            <wp:docPr id="4" name="Picture 4" descr="next hit">
              <a:hlinkClick xmlns:a="http://schemas.openxmlformats.org/drawingml/2006/main" xmlns:r="http://schemas.openxmlformats.org/officeDocument/2006/relationships"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492299" name="Picture 70" descr="next hit">
                      <a:hlinkClick xmlns:a="http://schemas.openxmlformats.org/drawingml/2006/main" xmlns:r="http://schemas.openxmlformats.org/officeDocument/2006/relationships" r:id="rId3"/>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10617D">
        <w:rPr>
          <w:szCs w:val="22"/>
        </w:rPr>
        <w:t xml:space="preserve"> in </w:t>
      </w:r>
      <w:r w:rsidRPr="0010617D">
        <w:rPr>
          <w:noProof/>
          <w:szCs w:val="22"/>
        </w:rPr>
        <w:drawing>
          <wp:inline distT="0" distB="0" distL="0" distR="0">
            <wp:extent cx="9525" cy="9525"/>
            <wp:effectExtent l="0" t="0" r="0" b="0"/>
            <wp:docPr id="5" name="Picture 5" descr="previous hit">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875579" name="Picture 71" descr="previous hit">
                      <a:hlinkClick xmlns:a="http://schemas.openxmlformats.org/drawingml/2006/main" xmlns:r="http://schemas.openxmlformats.org/officeDocument/2006/relationships" r:id="rId4"/>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10617D">
        <w:rPr>
          <w:szCs w:val="22"/>
        </w:rPr>
        <w:t>primary</w:t>
      </w:r>
      <w:r w:rsidRPr="0010617D">
        <w:rPr>
          <w:noProof/>
          <w:szCs w:val="22"/>
        </w:rPr>
        <w:drawing>
          <wp:inline distT="0" distB="0" distL="0" distR="0">
            <wp:extent cx="9525" cy="9525"/>
            <wp:effectExtent l="0" t="0" r="0" b="0"/>
            <wp:docPr id="6" name="Picture 6" descr="next hit">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338581" name="Picture 72" descr="next hit">
                      <a:hlinkClick xmlns:a="http://schemas.openxmlformats.org/drawingml/2006/main" xmlns:r="http://schemas.openxmlformats.org/officeDocument/2006/relationships" r:id="rId5"/>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10617D">
        <w:rPr>
          <w:szCs w:val="22"/>
        </w:rPr>
        <w:t xml:space="preserve"> station designation</w:t>
      </w:r>
      <w:r>
        <w:rPr>
          <w:szCs w:val="22"/>
        </w:rPr>
        <w:t xml:space="preserve">.  </w:t>
      </w:r>
      <w:r w:rsidRPr="00FB08D1">
        <w:t>47 CFR § 74.1251(c)</w:t>
      </w:r>
      <w:r>
        <w:t xml:space="preserve">.  </w:t>
      </w:r>
      <w:r>
        <w:rPr>
          <w:szCs w:val="22"/>
        </w:rPr>
        <w:t xml:space="preserve">This allows staff to </w:t>
      </w:r>
      <w:r w:rsidRPr="00D3027C">
        <w:rPr>
          <w:szCs w:val="22"/>
        </w:rPr>
        <w:t>verify that the change complies with the Commission</w:t>
      </w:r>
      <w:r>
        <w:rPr>
          <w:szCs w:val="22"/>
        </w:rPr>
        <w:t>’</w:t>
      </w:r>
      <w:r w:rsidRPr="00D3027C">
        <w:rPr>
          <w:szCs w:val="22"/>
        </w:rPr>
        <w:t>s translator rules</w:t>
      </w:r>
      <w:r>
        <w:rPr>
          <w:szCs w:val="22"/>
        </w:rPr>
        <w:t xml:space="preserve"> (</w:t>
      </w:r>
      <w:r w:rsidRPr="00D3027C">
        <w:rPr>
          <w:szCs w:val="22"/>
        </w:rPr>
        <w:t xml:space="preserve">such as </w:t>
      </w:r>
      <w:r>
        <w:rPr>
          <w:szCs w:val="22"/>
        </w:rPr>
        <w:t xml:space="preserve">the </w:t>
      </w:r>
      <w:r w:rsidRPr="00D3027C">
        <w:rPr>
          <w:szCs w:val="22"/>
        </w:rPr>
        <w:t xml:space="preserve">signal delivery </w:t>
      </w:r>
      <w:r>
        <w:rPr>
          <w:szCs w:val="22"/>
        </w:rPr>
        <w:t xml:space="preserve">and technical need rules).  </w:t>
      </w:r>
      <w:r w:rsidRPr="00FB08D1">
        <w:rPr>
          <w:i/>
        </w:rPr>
        <w:t>Processing of Broadcast Applications</w:t>
      </w:r>
      <w:r w:rsidRPr="00FB08D1">
        <w:t>, First Report and Order, 56 RR</w:t>
      </w:r>
      <w:r>
        <w:t xml:space="preserve"> </w:t>
      </w:r>
      <w:r w:rsidRPr="00FB08D1">
        <w:t>2d 941 (1984).</w:t>
      </w:r>
    </w:p>
  </w:footnote>
  <w:footnote w:id="21">
    <w:p w:rsidR="00B92AA5" w:rsidP="00B92AA5" w14:paraId="60715F47" w14:textId="77777777">
      <w:pPr>
        <w:pStyle w:val="FootnoteText"/>
      </w:pPr>
      <w:r>
        <w:rPr>
          <w:rStyle w:val="FootnoteReference"/>
        </w:rPr>
        <w:footnoteRef/>
      </w:r>
      <w:r>
        <w:t xml:space="preserve"> The station changed its call sign from WQDR(AM) to WPLW(AM) on June 4, 2019.  To avoid confusion, we refer to it as WPLW(AM) herein. </w:t>
      </w:r>
    </w:p>
  </w:footnote>
  <w:footnote w:id="22">
    <w:p w:rsidR="00B92AA5" w:rsidP="00B92AA5" w14:paraId="786122A5" w14:textId="77777777">
      <w:pPr>
        <w:pStyle w:val="FootnoteText"/>
      </w:pPr>
      <w:r>
        <w:rPr>
          <w:rStyle w:val="FootnoteReference"/>
        </w:rPr>
        <w:footnoteRef/>
      </w:r>
      <w:r>
        <w:t xml:space="preserve"> Reply at 3.  </w:t>
      </w:r>
    </w:p>
  </w:footnote>
  <w:footnote w:id="23">
    <w:p w:rsidR="00EC314B" w:rsidP="00AD20BF" w14:paraId="284BA3A0" w14:textId="2B90F914">
      <w:pPr>
        <w:pStyle w:val="FootnoteText"/>
      </w:pPr>
      <w:r>
        <w:rPr>
          <w:rStyle w:val="FootnoteReference"/>
        </w:rPr>
        <w:footnoteRef/>
      </w:r>
      <w:r w:rsidR="008E27B5">
        <w:t xml:space="preserve"> </w:t>
      </w:r>
      <w:r w:rsidR="00985E7F">
        <w:t xml:space="preserve">In </w:t>
      </w:r>
      <w:r>
        <w:t>May and June 2019, another</w:t>
      </w:r>
      <w:r w:rsidR="00364EEB">
        <w:t xml:space="preserve"> commonly-owned</w:t>
      </w:r>
      <w:r>
        <w:t xml:space="preserve"> translator—W262CZ, </w:t>
      </w:r>
      <w:r w:rsidR="00FC56B9">
        <w:t>Raleigh</w:t>
      </w:r>
      <w:r>
        <w:t xml:space="preserve">, North Carolina—already was authorized to rebroadcast the signal of WPLW(AM) to substantially the same area.  </w:t>
      </w:r>
      <w:r w:rsidRPr="002604C2">
        <w:rPr>
          <w:i/>
        </w:rPr>
        <w:t>See</w:t>
      </w:r>
      <w:r>
        <w:t xml:space="preserve"> File No. BLFT-20170411ABS.  </w:t>
      </w:r>
      <w:r w:rsidRPr="003E7632">
        <w:rPr>
          <w:i/>
        </w:rPr>
        <w:t>See</w:t>
      </w:r>
      <w:r>
        <w:t xml:space="preserve"> </w:t>
      </w:r>
      <w:r w:rsidRPr="003E7632">
        <w:rPr>
          <w:i/>
        </w:rPr>
        <w:t>also</w:t>
      </w:r>
      <w:r>
        <w:t xml:space="preserve"> Petition at 2.  </w:t>
      </w:r>
      <w:r w:rsidR="00312796">
        <w:rPr>
          <w:szCs w:val="22"/>
        </w:rPr>
        <w:t>Given this,</w:t>
      </w:r>
      <w:r w:rsidR="00D3399E">
        <w:rPr>
          <w:szCs w:val="22"/>
        </w:rPr>
        <w:t xml:space="preserve"> CRG </w:t>
      </w:r>
      <w:r w:rsidR="00312796">
        <w:rPr>
          <w:szCs w:val="22"/>
        </w:rPr>
        <w:t>needed</w:t>
      </w:r>
      <w:r w:rsidR="00D3399E">
        <w:rPr>
          <w:szCs w:val="22"/>
        </w:rPr>
        <w:t xml:space="preserve"> </w:t>
      </w:r>
      <w:r w:rsidR="00422B12">
        <w:rPr>
          <w:szCs w:val="22"/>
        </w:rPr>
        <w:t xml:space="preserve">to </w:t>
      </w:r>
      <w:r w:rsidR="00D3399E">
        <w:rPr>
          <w:szCs w:val="22"/>
        </w:rPr>
        <w:t>demonstrate “technical need”</w:t>
      </w:r>
      <w:r w:rsidR="00312796">
        <w:rPr>
          <w:szCs w:val="22"/>
        </w:rPr>
        <w:t xml:space="preserve"> for the Translator to also rebroadcast </w:t>
      </w:r>
      <w:r w:rsidR="00007E13">
        <w:rPr>
          <w:szCs w:val="22"/>
        </w:rPr>
        <w:t>the signal of WPLW(AM).  Its failure to do so</w:t>
      </w:r>
      <w:r w:rsidR="00D3399E">
        <w:rPr>
          <w:szCs w:val="22"/>
        </w:rPr>
        <w:t xml:space="preserve"> </w:t>
      </w:r>
      <w:r w:rsidR="00D3399E">
        <w:t xml:space="preserve">resulted in a violation of section 74.1232(b) of the Rules.  </w:t>
      </w:r>
    </w:p>
  </w:footnote>
  <w:footnote w:id="24">
    <w:p w:rsidR="00721510" w:rsidP="00860538" w14:paraId="15BC0494" w14:textId="77777777">
      <w:pPr>
        <w:pStyle w:val="FootnoteText"/>
      </w:pPr>
      <w:r>
        <w:rPr>
          <w:rStyle w:val="FootnoteReference"/>
        </w:rPr>
        <w:footnoteRef/>
      </w:r>
      <w:r>
        <w:t xml:space="preserve"> 47 U.S.C. § 503(b)(1)(B); </w:t>
      </w:r>
      <w:r w:rsidRPr="00BD28BF">
        <w:rPr>
          <w:i/>
        </w:rPr>
        <w:t>see also</w:t>
      </w:r>
      <w:r>
        <w:t xml:space="preserve"> 47 CFR § 1.80(a)(1).</w:t>
      </w:r>
    </w:p>
  </w:footnote>
  <w:footnote w:id="25">
    <w:p w:rsidR="00721510" w:rsidP="00860538" w14:paraId="69085038" w14:textId="77777777">
      <w:pPr>
        <w:pStyle w:val="FootnoteText"/>
      </w:pPr>
      <w:r>
        <w:rPr>
          <w:rStyle w:val="FootnoteReference"/>
        </w:rPr>
        <w:footnoteRef/>
      </w:r>
      <w:r>
        <w:t xml:space="preserve"> 47 U.S.C. § 312(f)(1).</w:t>
      </w:r>
    </w:p>
  </w:footnote>
  <w:footnote w:id="26">
    <w:p w:rsidR="00721510" w:rsidP="00860538" w14:paraId="7EFA65DB" w14:textId="77777777">
      <w:pPr>
        <w:pStyle w:val="FootnoteText"/>
      </w:pPr>
      <w:r>
        <w:rPr>
          <w:rStyle w:val="FootnoteReference"/>
        </w:rPr>
        <w:footnoteRef/>
      </w:r>
      <w:r>
        <w:t xml:space="preserve"> </w:t>
      </w:r>
      <w:r w:rsidRPr="00BD28BF">
        <w:rPr>
          <w:i/>
        </w:rPr>
        <w:t>See</w:t>
      </w:r>
      <w:r>
        <w:t xml:space="preserve"> H.R. Rep. No. 97-765, 97</w:t>
      </w:r>
      <w:r w:rsidRPr="00BD28BF">
        <w:rPr>
          <w:vertAlign w:val="superscript"/>
        </w:rPr>
        <w:t>th</w:t>
      </w:r>
      <w:r>
        <w:t xml:space="preserve"> Cong. 2d Sess. 51 (1982).</w:t>
      </w:r>
    </w:p>
  </w:footnote>
  <w:footnote w:id="27">
    <w:p w:rsidR="00721510" w:rsidP="00860538" w14:paraId="672289E1" w14:textId="5FF27148">
      <w:pPr>
        <w:pStyle w:val="FootnoteText"/>
      </w:pPr>
      <w:r>
        <w:rPr>
          <w:rStyle w:val="FootnoteReference"/>
        </w:rPr>
        <w:footnoteRef/>
      </w:r>
      <w:r>
        <w:t xml:space="preserve"> </w:t>
      </w:r>
      <w:r w:rsidRPr="00BD28BF">
        <w:rPr>
          <w:i/>
        </w:rPr>
        <w:t>See Southern California Broad. Co</w:t>
      </w:r>
      <w:r>
        <w:t>., Memorandum Opinion and Orde</w:t>
      </w:r>
      <w:r w:rsidR="007576FD">
        <w:t>r, 6 FCC Rcd 4387, 4388</w:t>
      </w:r>
      <w:r w:rsidR="00AD7A48">
        <w:t>,</w:t>
      </w:r>
      <w:r w:rsidR="007576FD">
        <w:t xml:space="preserve"> para. 5</w:t>
      </w:r>
      <w:r>
        <w:t xml:space="preserve"> (1991).</w:t>
      </w:r>
    </w:p>
  </w:footnote>
  <w:footnote w:id="28">
    <w:p w:rsidR="00721510" w:rsidP="00860538" w14:paraId="33105860" w14:textId="77777777">
      <w:pPr>
        <w:pStyle w:val="FootnoteText"/>
      </w:pPr>
      <w:r>
        <w:rPr>
          <w:rStyle w:val="FootnoteReference"/>
        </w:rPr>
        <w:footnoteRef/>
      </w:r>
      <w:r>
        <w:t xml:space="preserve"> 47 U.S.C. § 312(f)(2).</w:t>
      </w:r>
    </w:p>
  </w:footnote>
  <w:footnote w:id="29">
    <w:p w:rsidR="00721510" w:rsidP="00860538" w14:paraId="151B3A56" w14:textId="38B38C7F">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Pr>
          <w:sz w:val="20"/>
        </w:rPr>
        <w:t>, Report and Order, 12 FCC Rcd 17087, 17113-15 (1997) (</w:t>
      </w:r>
      <w:r>
        <w:rPr>
          <w:i/>
          <w:sz w:val="20"/>
        </w:rPr>
        <w:t>Forfeiture Policy Statement</w:t>
      </w:r>
      <w:r>
        <w:rPr>
          <w:sz w:val="20"/>
        </w:rPr>
        <w:t xml:space="preserve">), </w:t>
      </w:r>
      <w:r>
        <w:rPr>
          <w:i/>
          <w:sz w:val="20"/>
        </w:rPr>
        <w:t>recon. denied</w:t>
      </w:r>
      <w:r>
        <w:rPr>
          <w:sz w:val="20"/>
        </w:rPr>
        <w:t>, 15 FCC Rcd 303 (19</w:t>
      </w:r>
      <w:r w:rsidR="000F5AC9">
        <w:rPr>
          <w:sz w:val="20"/>
        </w:rPr>
        <w:t>99); 47 CFR</w:t>
      </w:r>
      <w:r>
        <w:rPr>
          <w:sz w:val="20"/>
        </w:rPr>
        <w:t xml:space="preserve"> § 1.80(b)(8), note to paragraph (b)(8), Section I.</w:t>
      </w:r>
    </w:p>
  </w:footnote>
  <w:footnote w:id="30">
    <w:p w:rsidR="00721510" w:rsidP="00860538" w14:paraId="5099B874" w14:textId="4439EDFD">
      <w:pPr>
        <w:pStyle w:val="Footer"/>
        <w:spacing w:after="120"/>
        <w:rPr>
          <w:sz w:val="20"/>
        </w:rPr>
      </w:pPr>
      <w:r>
        <w:rPr>
          <w:rStyle w:val="FootnoteReference"/>
        </w:rPr>
        <w:footnoteRef/>
      </w:r>
      <w:r>
        <w:rPr>
          <w:sz w:val="20"/>
        </w:rPr>
        <w:t xml:space="preserve"> 47 U.S.C. § 503(b)(2)(D); </w:t>
      </w:r>
      <w:r>
        <w:rPr>
          <w:i/>
          <w:sz w:val="20"/>
        </w:rPr>
        <w:t>see also Forfeiture Policy Statement</w:t>
      </w:r>
      <w:r>
        <w:rPr>
          <w:sz w:val="20"/>
        </w:rPr>
        <w:t>, 12 FCC Rcd at 17100</w:t>
      </w:r>
      <w:r w:rsidR="007576FD">
        <w:rPr>
          <w:sz w:val="20"/>
        </w:rPr>
        <w:t>, para. 27; 47 CFR</w:t>
      </w:r>
      <w:r>
        <w:rPr>
          <w:sz w:val="20"/>
        </w:rPr>
        <w:t xml:space="preserve"> § 1.80(b)(8).</w:t>
      </w:r>
    </w:p>
  </w:footnote>
  <w:footnote w:id="31">
    <w:p w:rsidR="00721510" w:rsidRPr="008333E7" w:rsidP="00860538" w14:paraId="3446115C" w14:textId="66E0876A">
      <w:pPr>
        <w:pStyle w:val="FootnoteText"/>
      </w:pPr>
      <w:r>
        <w:rPr>
          <w:rStyle w:val="FootnoteReference"/>
        </w:rPr>
        <w:footnoteRef/>
      </w:r>
      <w:r>
        <w:t xml:space="preserve"> </w:t>
      </w:r>
      <w:r w:rsidRPr="00E53CCC">
        <w:rPr>
          <w:i/>
        </w:rPr>
        <w:t>See, e.g</w:t>
      </w:r>
      <w:r>
        <w:t xml:space="preserve">., </w:t>
      </w:r>
      <w:r w:rsidRPr="00E60F81">
        <w:rPr>
          <w:i/>
        </w:rPr>
        <w:t>Church Planters of America</w:t>
      </w:r>
      <w:r>
        <w:t xml:space="preserve">, Memorandum Opinion and Order and Notice of Apparent Liability, 31 </w:t>
      </w:r>
      <w:r w:rsidRPr="008333E7">
        <w:t>FCC Rcd 3607, 3612</w:t>
      </w:r>
      <w:r w:rsidR="007576FD">
        <w:t>, para. 15</w:t>
      </w:r>
      <w:r w:rsidRPr="008333E7">
        <w:t xml:space="preserve"> (MB 2016) (reducing forfeiture due to, among other things, short duration of the violation)</w:t>
      </w:r>
      <w:r w:rsidR="006F7D8C">
        <w:t>.</w:t>
      </w:r>
    </w:p>
  </w:footnote>
  <w:footnote w:id="32">
    <w:p w:rsidR="00721510" w:rsidRPr="004E07A2" w:rsidP="00860538" w14:paraId="7F14BA61" w14:textId="48F21E39">
      <w:pPr>
        <w:pStyle w:val="Heading2"/>
        <w:rPr>
          <w:snapToGrid/>
          <w:sz w:val="36"/>
        </w:rPr>
      </w:pPr>
      <w:r w:rsidRPr="008333E7">
        <w:rPr>
          <w:rStyle w:val="FootnoteReference"/>
          <w:b w:val="0"/>
        </w:rPr>
        <w:footnoteRef/>
      </w:r>
      <w:r w:rsidRPr="008333E7">
        <w:rPr>
          <w:b w:val="0"/>
          <w:sz w:val="20"/>
        </w:rPr>
        <w:t xml:space="preserve"> </w:t>
      </w:r>
      <w:r w:rsidRPr="008333E7">
        <w:rPr>
          <w:rStyle w:val="ssit"/>
          <w:b w:val="0"/>
          <w:i/>
          <w:sz w:val="20"/>
        </w:rPr>
        <w:t>See, e.g</w:t>
      </w:r>
      <w:r w:rsidRPr="008333E7">
        <w:rPr>
          <w:rStyle w:val="ssit"/>
          <w:b w:val="0"/>
          <w:sz w:val="20"/>
        </w:rPr>
        <w:t xml:space="preserve">., </w:t>
      </w:r>
      <w:r w:rsidRPr="008333E7">
        <w:rPr>
          <w:b w:val="0"/>
          <w:i/>
          <w:sz w:val="20"/>
        </w:rPr>
        <w:t>Zuma Beach FM Emergency and C</w:t>
      </w:r>
      <w:r w:rsidR="005054EA">
        <w:rPr>
          <w:b w:val="0"/>
          <w:i/>
          <w:sz w:val="20"/>
        </w:rPr>
        <w:t>mty.</w:t>
      </w:r>
      <w:r w:rsidRPr="008333E7">
        <w:rPr>
          <w:b w:val="0"/>
          <w:i/>
          <w:sz w:val="20"/>
        </w:rPr>
        <w:t xml:space="preserve"> Broad</w:t>
      </w:r>
      <w:r w:rsidR="005054EA">
        <w:rPr>
          <w:b w:val="0"/>
          <w:i/>
          <w:sz w:val="20"/>
        </w:rPr>
        <w:t>.</w:t>
      </w:r>
      <w:r w:rsidRPr="008333E7">
        <w:rPr>
          <w:b w:val="0"/>
          <w:i/>
          <w:sz w:val="20"/>
        </w:rPr>
        <w:t>, Inc</w:t>
      </w:r>
      <w:r w:rsidRPr="008333E7">
        <w:rPr>
          <w:b w:val="0"/>
          <w:sz w:val="20"/>
        </w:rPr>
        <w:t xml:space="preserve">., </w:t>
      </w:r>
      <w:r w:rsidR="007576FD">
        <w:rPr>
          <w:b w:val="0"/>
          <w:sz w:val="20"/>
        </w:rPr>
        <w:t xml:space="preserve">Order, </w:t>
      </w:r>
      <w:r w:rsidR="003356AA">
        <w:rPr>
          <w:b w:val="0"/>
          <w:sz w:val="20"/>
        </w:rPr>
        <w:t>33 FCC Rcd 8222</w:t>
      </w:r>
      <w:r w:rsidR="007576FD">
        <w:rPr>
          <w:b w:val="0"/>
          <w:sz w:val="20"/>
        </w:rPr>
        <w:t xml:space="preserve"> </w:t>
      </w:r>
      <w:r w:rsidRPr="008333E7">
        <w:rPr>
          <w:b w:val="0"/>
          <w:sz w:val="20"/>
        </w:rPr>
        <w:t xml:space="preserve">(MB 2018); </w:t>
      </w:r>
      <w:r w:rsidRPr="007576FD">
        <w:rPr>
          <w:b w:val="0"/>
          <w:i/>
          <w:sz w:val="20"/>
        </w:rPr>
        <w:t>Rufus Resources, LLC</w:t>
      </w:r>
      <w:r w:rsidR="007576FD">
        <w:rPr>
          <w:b w:val="0"/>
          <w:sz w:val="20"/>
        </w:rPr>
        <w:t xml:space="preserve">, Forfeiture Order, </w:t>
      </w:r>
      <w:r w:rsidR="000C5D90">
        <w:rPr>
          <w:b w:val="0"/>
          <w:sz w:val="20"/>
        </w:rPr>
        <w:t xml:space="preserve">33 FCC Rcd 6793 </w:t>
      </w:r>
      <w:r w:rsidRPr="008333E7">
        <w:rPr>
          <w:b w:val="0"/>
          <w:sz w:val="20"/>
        </w:rPr>
        <w:t>(MB 2018) (</w:t>
      </w:r>
      <w:r w:rsidR="000C5D90">
        <w:rPr>
          <w:b w:val="0"/>
          <w:sz w:val="20"/>
        </w:rPr>
        <w:t>both reducing forfeitures based on “history of compliance”</w:t>
      </w:r>
      <w:r w:rsidRPr="008333E7">
        <w:rPr>
          <w:b w:val="0"/>
          <w:sz w:val="20"/>
        </w:rPr>
        <w:t>).</w:t>
      </w:r>
      <w:r>
        <w:t xml:space="preserve">  </w:t>
      </w:r>
    </w:p>
  </w:footnote>
  <w:footnote w:id="33">
    <w:p w:rsidR="00DF700A" w:rsidP="00DF700A" w14:paraId="79B922A2" w14:textId="77777777">
      <w:pPr>
        <w:pStyle w:val="FootnoteText"/>
      </w:pPr>
      <w:r>
        <w:rPr>
          <w:rStyle w:val="FootnoteReference"/>
        </w:rPr>
        <w:footnoteRef/>
      </w:r>
      <w:r>
        <w:t xml:space="preserve"> </w:t>
      </w:r>
      <w:r w:rsidRPr="00EC173B">
        <w:t xml:space="preserve">47 U.S.C. § 319(c).  </w:t>
      </w:r>
    </w:p>
  </w:footnote>
  <w:footnote w:id="34">
    <w:p w:rsidR="00DF700A" w:rsidP="00DF700A" w14:paraId="4E72ACDB" w14:textId="3D9D52C1">
      <w:pPr>
        <w:pStyle w:val="FootnoteText"/>
      </w:pPr>
      <w:r>
        <w:rPr>
          <w:rStyle w:val="FootnoteReference"/>
        </w:rPr>
        <w:footnoteRef/>
      </w:r>
      <w:r>
        <w:t xml:space="preserve"> </w:t>
      </w:r>
      <w:r w:rsidRPr="00CF70B8">
        <w:rPr>
          <w:i/>
          <w:snapToGrid w:val="0"/>
          <w:kern w:val="28"/>
        </w:rPr>
        <w:t>Id</w:t>
      </w:r>
      <w:r>
        <w:rPr>
          <w:snapToGrid w:val="0"/>
          <w:kern w:val="28"/>
        </w:rPr>
        <w:t>.</w:t>
      </w:r>
      <w:r w:rsidRPr="00CF70B8">
        <w:rPr>
          <w:snapToGrid w:val="0"/>
          <w:kern w:val="28"/>
        </w:rPr>
        <w:t xml:space="preserve"> (requiring the Commission to issue a license where a construction permit has been granted and it appears that the terms of such permit have been met, and “no cause or circumstance arising or first coming to the knowledge of the Commission since the granting of the permit would, in the judgment of the Commission, make the operation of such station against the public interest . . .”); </w:t>
      </w:r>
      <w:r w:rsidRPr="00CF70B8">
        <w:rPr>
          <w:i/>
          <w:snapToGrid w:val="0"/>
          <w:kern w:val="28"/>
        </w:rPr>
        <w:t>Focus Cable of Oakland, Inc</w:t>
      </w:r>
      <w:r w:rsidRPr="00CF70B8">
        <w:rPr>
          <w:snapToGrid w:val="0"/>
          <w:kern w:val="28"/>
        </w:rPr>
        <w:t>., Memorandum Opinion and Order, 65 FCC 2d 35, 39-40, para. 11 (1977).</w:t>
      </w:r>
    </w:p>
  </w:footnote>
  <w:footnote w:id="35">
    <w:p w:rsidR="00DF700A" w:rsidP="00DF700A" w14:paraId="205E2381" w14:textId="77777777">
      <w:pPr>
        <w:pStyle w:val="FootnoteText"/>
      </w:pPr>
      <w:r>
        <w:rPr>
          <w:rStyle w:val="FootnoteReference"/>
        </w:rPr>
        <w:footnoteRef/>
      </w:r>
      <w:r>
        <w:t xml:space="preserve"> </w:t>
      </w:r>
      <w:r w:rsidRPr="00866453">
        <w:rPr>
          <w:i/>
          <w:snapToGrid w:val="0"/>
          <w:kern w:val="28"/>
        </w:rPr>
        <w:t>See, e.g., Meyer Broad. Co.</w:t>
      </w:r>
      <w:r w:rsidRPr="00866453">
        <w:rPr>
          <w:snapToGrid w:val="0"/>
          <w:kern w:val="28"/>
        </w:rPr>
        <w:t xml:space="preserve">, </w:t>
      </w:r>
      <w:r>
        <w:rPr>
          <w:snapToGrid w:val="0"/>
          <w:kern w:val="28"/>
        </w:rPr>
        <w:t xml:space="preserve">Memorandum Opinion and Order, </w:t>
      </w:r>
      <w:r w:rsidRPr="00866453">
        <w:rPr>
          <w:snapToGrid w:val="0"/>
          <w:kern w:val="28"/>
        </w:rPr>
        <w:t>65 FCC 2d 438, 441</w:t>
      </w:r>
      <w:r>
        <w:rPr>
          <w:snapToGrid w:val="0"/>
          <w:kern w:val="28"/>
        </w:rPr>
        <w:t>, para. 9</w:t>
      </w:r>
      <w:r w:rsidRPr="00866453">
        <w:rPr>
          <w:snapToGrid w:val="0"/>
          <w:kern w:val="28"/>
        </w:rPr>
        <w:t xml:space="preserve"> (1977).</w:t>
      </w:r>
    </w:p>
  </w:footnote>
  <w:footnote w:id="36">
    <w:p w:rsidR="00721510" w:rsidP="00032F0E" w14:paraId="2D86BEDA" w14:textId="77777777">
      <w:pPr>
        <w:pStyle w:val="FootnoteText"/>
      </w:pPr>
      <w:r>
        <w:rPr>
          <w:rStyle w:val="FootnoteReference"/>
        </w:rPr>
        <w:footnoteRef/>
      </w:r>
      <w:r>
        <w:t xml:space="preserve"> </w:t>
      </w:r>
      <w:r>
        <w:rPr>
          <w:i/>
        </w:rPr>
        <w:t>See</w:t>
      </w:r>
      <w:r>
        <w:t xml:space="preserve"> 47 CFR § 1.1914.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681876A" w14:textId="6FD5CC10">
    <w:pPr>
      <w:pStyle w:val="Header"/>
      <w:rPr>
        <w:b w:val="0"/>
      </w:rPr>
    </w:pPr>
    <w:r>
      <w:tab/>
      <w:t>Federal Communications Commission</w:t>
    </w:r>
    <w:r>
      <w:tab/>
      <w:t>DA 1</w:t>
    </w:r>
    <w:r w:rsidR="00DB5AFB">
      <w:t>9</w:t>
    </w:r>
    <w:r>
      <w:t>-</w:t>
    </w:r>
    <w:r w:rsidR="00311AE4">
      <w:t>1235</w:t>
    </w:r>
  </w:p>
  <w:p w:rsidR="00721510" w14:paraId="02349C91" w14:textId="3E3BDC7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21510" w14:paraId="37671CD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B74DF18" w14:textId="79FCC92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w:t>
    </w:r>
    <w:r w:rsidR="00DB5AFB">
      <w:rPr>
        <w:spacing w:val="-2"/>
      </w:rPr>
      <w:t>9</w:t>
    </w:r>
    <w:r>
      <w:rPr>
        <w:spacing w:val="-2"/>
      </w:rPr>
      <w:t>-</w:t>
    </w:r>
    <w:r w:rsidR="00311AE4">
      <w:rPr>
        <w:spacing w:val="-2"/>
      </w:rPr>
      <w:t>1235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51179"/>
    <w:multiLevelType w:val="hybridMultilevel"/>
    <w:tmpl w:val="F510EC08"/>
    <w:lvl w:ilvl="0">
      <w:start w:val="1"/>
      <w:numFmt w:val="lowerLetter"/>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731ED4"/>
    <w:multiLevelType w:val="hybridMultilevel"/>
    <w:tmpl w:val="C34604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2"/>
  </w:num>
  <w:num w:numId="8">
    <w:abstractNumId w:val="0"/>
  </w:num>
  <w:num w:numId="9">
    <w:abstractNumId w:val="7"/>
    <w:lvlOverride w:ilvl="0">
      <w:startOverride w:val="1"/>
    </w:lvlOverride>
  </w:num>
  <w:num w:numId="10">
    <w:abstractNumId w:val="7"/>
    <w:lvlOverride w:ilvl="0">
      <w:startOverride w:val="1"/>
    </w:lvlOverride>
  </w:num>
  <w:num w:numId="11">
    <w:abstractNumId w:val="5"/>
  </w:num>
  <w:num w:numId="12">
    <w:abstractNumId w:val="7"/>
    <w:lvlOverride w:ilvl="0">
      <w:startOverride w:val="1"/>
    </w:lvlOverride>
  </w:num>
  <w:num w:numId="13">
    <w:abstractNumId w:val="7"/>
  </w:num>
  <w:num w:numId="14">
    <w:abstractNumId w:val="7"/>
  </w:num>
  <w:num w:numId="15">
    <w:abstractNumId w:val="5"/>
  </w:num>
  <w:num w:numId="16">
    <w:abstractNumId w:val="5"/>
  </w:num>
  <w:num w:numId="17">
    <w:abstractNumId w:val="7"/>
  </w:num>
  <w:num w:numId="18">
    <w:abstractNumId w:val="5"/>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41"/>
    <w:rsid w:val="000013CA"/>
    <w:rsid w:val="00002404"/>
    <w:rsid w:val="000056A1"/>
    <w:rsid w:val="00006BF2"/>
    <w:rsid w:val="00006DA0"/>
    <w:rsid w:val="00007E13"/>
    <w:rsid w:val="000154DB"/>
    <w:rsid w:val="00015D3E"/>
    <w:rsid w:val="0001730A"/>
    <w:rsid w:val="0002214F"/>
    <w:rsid w:val="00022708"/>
    <w:rsid w:val="000240FB"/>
    <w:rsid w:val="00024275"/>
    <w:rsid w:val="000254D2"/>
    <w:rsid w:val="00026AFE"/>
    <w:rsid w:val="000270FD"/>
    <w:rsid w:val="00031A17"/>
    <w:rsid w:val="00032F0E"/>
    <w:rsid w:val="00036039"/>
    <w:rsid w:val="00037F90"/>
    <w:rsid w:val="000421CD"/>
    <w:rsid w:val="00043B06"/>
    <w:rsid w:val="0004560A"/>
    <w:rsid w:val="00047132"/>
    <w:rsid w:val="000500DA"/>
    <w:rsid w:val="000576E2"/>
    <w:rsid w:val="00063430"/>
    <w:rsid w:val="00065E0B"/>
    <w:rsid w:val="0007001D"/>
    <w:rsid w:val="000708D4"/>
    <w:rsid w:val="00072A77"/>
    <w:rsid w:val="000740FC"/>
    <w:rsid w:val="00074BD0"/>
    <w:rsid w:val="0007546C"/>
    <w:rsid w:val="000819D5"/>
    <w:rsid w:val="00084BF7"/>
    <w:rsid w:val="000875BF"/>
    <w:rsid w:val="00087FB2"/>
    <w:rsid w:val="000916EE"/>
    <w:rsid w:val="000940E6"/>
    <w:rsid w:val="00094217"/>
    <w:rsid w:val="00096720"/>
    <w:rsid w:val="00096D8C"/>
    <w:rsid w:val="000A074B"/>
    <w:rsid w:val="000B2669"/>
    <w:rsid w:val="000B5908"/>
    <w:rsid w:val="000B6AD2"/>
    <w:rsid w:val="000C0B65"/>
    <w:rsid w:val="000C157C"/>
    <w:rsid w:val="000C1B64"/>
    <w:rsid w:val="000C28AF"/>
    <w:rsid w:val="000C5478"/>
    <w:rsid w:val="000C5D90"/>
    <w:rsid w:val="000C6155"/>
    <w:rsid w:val="000D0048"/>
    <w:rsid w:val="000D07AD"/>
    <w:rsid w:val="000D08AF"/>
    <w:rsid w:val="000D23E1"/>
    <w:rsid w:val="000E05FE"/>
    <w:rsid w:val="000E3443"/>
    <w:rsid w:val="000E3D42"/>
    <w:rsid w:val="000E4FD3"/>
    <w:rsid w:val="000E5F2D"/>
    <w:rsid w:val="000E7A81"/>
    <w:rsid w:val="000F5AC9"/>
    <w:rsid w:val="001032A7"/>
    <w:rsid w:val="0010617D"/>
    <w:rsid w:val="0011151E"/>
    <w:rsid w:val="00111A69"/>
    <w:rsid w:val="00113F31"/>
    <w:rsid w:val="001200FB"/>
    <w:rsid w:val="00121023"/>
    <w:rsid w:val="00122BD5"/>
    <w:rsid w:val="00126461"/>
    <w:rsid w:val="00126D56"/>
    <w:rsid w:val="00133DE6"/>
    <w:rsid w:val="00133F79"/>
    <w:rsid w:val="001415CA"/>
    <w:rsid w:val="001508AC"/>
    <w:rsid w:val="00150D4A"/>
    <w:rsid w:val="00150E67"/>
    <w:rsid w:val="00157C67"/>
    <w:rsid w:val="00157D76"/>
    <w:rsid w:val="001678CC"/>
    <w:rsid w:val="00177DB1"/>
    <w:rsid w:val="00180C18"/>
    <w:rsid w:val="00180DB6"/>
    <w:rsid w:val="00185744"/>
    <w:rsid w:val="00186374"/>
    <w:rsid w:val="001874F2"/>
    <w:rsid w:val="00190D72"/>
    <w:rsid w:val="00194A66"/>
    <w:rsid w:val="00197AA1"/>
    <w:rsid w:val="001A0A14"/>
    <w:rsid w:val="001A2959"/>
    <w:rsid w:val="001A2C6D"/>
    <w:rsid w:val="001C4C6F"/>
    <w:rsid w:val="001C57F1"/>
    <w:rsid w:val="001C76CA"/>
    <w:rsid w:val="001D258B"/>
    <w:rsid w:val="001D2B0B"/>
    <w:rsid w:val="001D49D8"/>
    <w:rsid w:val="001D6BCF"/>
    <w:rsid w:val="001E01CA"/>
    <w:rsid w:val="001E38C6"/>
    <w:rsid w:val="001E7880"/>
    <w:rsid w:val="001F1F5B"/>
    <w:rsid w:val="00200ECD"/>
    <w:rsid w:val="002010BC"/>
    <w:rsid w:val="002016E3"/>
    <w:rsid w:val="0020304B"/>
    <w:rsid w:val="0020439A"/>
    <w:rsid w:val="00206087"/>
    <w:rsid w:val="002138E0"/>
    <w:rsid w:val="00217977"/>
    <w:rsid w:val="002207C7"/>
    <w:rsid w:val="00220C5A"/>
    <w:rsid w:val="00221654"/>
    <w:rsid w:val="0022503E"/>
    <w:rsid w:val="0023726B"/>
    <w:rsid w:val="00240159"/>
    <w:rsid w:val="0024226C"/>
    <w:rsid w:val="00242512"/>
    <w:rsid w:val="002469B9"/>
    <w:rsid w:val="00252D11"/>
    <w:rsid w:val="0025771A"/>
    <w:rsid w:val="002604C2"/>
    <w:rsid w:val="00263DDB"/>
    <w:rsid w:val="00274199"/>
    <w:rsid w:val="00274384"/>
    <w:rsid w:val="00275CF5"/>
    <w:rsid w:val="00277BC3"/>
    <w:rsid w:val="0028301F"/>
    <w:rsid w:val="00283461"/>
    <w:rsid w:val="002839CA"/>
    <w:rsid w:val="002841B1"/>
    <w:rsid w:val="00285017"/>
    <w:rsid w:val="00290068"/>
    <w:rsid w:val="00292096"/>
    <w:rsid w:val="002928D0"/>
    <w:rsid w:val="00293C51"/>
    <w:rsid w:val="00296062"/>
    <w:rsid w:val="00296CEA"/>
    <w:rsid w:val="002A1466"/>
    <w:rsid w:val="002A2D2E"/>
    <w:rsid w:val="002B22A9"/>
    <w:rsid w:val="002C00E8"/>
    <w:rsid w:val="002C1056"/>
    <w:rsid w:val="002C1FE5"/>
    <w:rsid w:val="002C555A"/>
    <w:rsid w:val="002D39F8"/>
    <w:rsid w:val="002D5F49"/>
    <w:rsid w:val="002F0692"/>
    <w:rsid w:val="002F58AE"/>
    <w:rsid w:val="002F66A4"/>
    <w:rsid w:val="003109C8"/>
    <w:rsid w:val="00311AE4"/>
    <w:rsid w:val="003123C2"/>
    <w:rsid w:val="00312796"/>
    <w:rsid w:val="0031341A"/>
    <w:rsid w:val="00314F6D"/>
    <w:rsid w:val="00315F42"/>
    <w:rsid w:val="003279B2"/>
    <w:rsid w:val="00332E9A"/>
    <w:rsid w:val="00334580"/>
    <w:rsid w:val="003356AA"/>
    <w:rsid w:val="00336ED7"/>
    <w:rsid w:val="003428E8"/>
    <w:rsid w:val="00342ACF"/>
    <w:rsid w:val="00343749"/>
    <w:rsid w:val="00345B7B"/>
    <w:rsid w:val="00347CF3"/>
    <w:rsid w:val="00351F1E"/>
    <w:rsid w:val="0035688B"/>
    <w:rsid w:val="00362C71"/>
    <w:rsid w:val="003633A4"/>
    <w:rsid w:val="003635BB"/>
    <w:rsid w:val="00364EEB"/>
    <w:rsid w:val="003660ED"/>
    <w:rsid w:val="0036772D"/>
    <w:rsid w:val="00370EB3"/>
    <w:rsid w:val="003714ED"/>
    <w:rsid w:val="00373587"/>
    <w:rsid w:val="00375C30"/>
    <w:rsid w:val="0037795C"/>
    <w:rsid w:val="00380429"/>
    <w:rsid w:val="0038289B"/>
    <w:rsid w:val="003829C3"/>
    <w:rsid w:val="00382CFF"/>
    <w:rsid w:val="003840F6"/>
    <w:rsid w:val="00390002"/>
    <w:rsid w:val="00395E3C"/>
    <w:rsid w:val="003A4091"/>
    <w:rsid w:val="003A4B37"/>
    <w:rsid w:val="003A4B56"/>
    <w:rsid w:val="003A6748"/>
    <w:rsid w:val="003B0550"/>
    <w:rsid w:val="003B3CBB"/>
    <w:rsid w:val="003B694F"/>
    <w:rsid w:val="003C079E"/>
    <w:rsid w:val="003C26CC"/>
    <w:rsid w:val="003C5D45"/>
    <w:rsid w:val="003D4BCD"/>
    <w:rsid w:val="003D658E"/>
    <w:rsid w:val="003D68B9"/>
    <w:rsid w:val="003E4205"/>
    <w:rsid w:val="003E47F6"/>
    <w:rsid w:val="003E609A"/>
    <w:rsid w:val="003E7632"/>
    <w:rsid w:val="003E7D48"/>
    <w:rsid w:val="003F171C"/>
    <w:rsid w:val="003F2490"/>
    <w:rsid w:val="003F40E2"/>
    <w:rsid w:val="003F6070"/>
    <w:rsid w:val="00401435"/>
    <w:rsid w:val="004047D2"/>
    <w:rsid w:val="00405283"/>
    <w:rsid w:val="00407F20"/>
    <w:rsid w:val="0041182E"/>
    <w:rsid w:val="00412FC5"/>
    <w:rsid w:val="00414E13"/>
    <w:rsid w:val="00415523"/>
    <w:rsid w:val="004162A3"/>
    <w:rsid w:val="00420AE1"/>
    <w:rsid w:val="00422276"/>
    <w:rsid w:val="00422B12"/>
    <w:rsid w:val="004242F1"/>
    <w:rsid w:val="004325BD"/>
    <w:rsid w:val="004366C3"/>
    <w:rsid w:val="00445A00"/>
    <w:rsid w:val="00451B0F"/>
    <w:rsid w:val="004521EC"/>
    <w:rsid w:val="004539D5"/>
    <w:rsid w:val="00460012"/>
    <w:rsid w:val="00460BC6"/>
    <w:rsid w:val="004628C1"/>
    <w:rsid w:val="00466CA8"/>
    <w:rsid w:val="0046789F"/>
    <w:rsid w:val="00470271"/>
    <w:rsid w:val="00470BCF"/>
    <w:rsid w:val="00472ED1"/>
    <w:rsid w:val="004740FA"/>
    <w:rsid w:val="00480E1B"/>
    <w:rsid w:val="00484432"/>
    <w:rsid w:val="00485BF3"/>
    <w:rsid w:val="00490956"/>
    <w:rsid w:val="004911F8"/>
    <w:rsid w:val="0049643B"/>
    <w:rsid w:val="004A2B02"/>
    <w:rsid w:val="004A2F1C"/>
    <w:rsid w:val="004B0F16"/>
    <w:rsid w:val="004B2FFD"/>
    <w:rsid w:val="004B42C7"/>
    <w:rsid w:val="004B4A58"/>
    <w:rsid w:val="004C058E"/>
    <w:rsid w:val="004C2EE3"/>
    <w:rsid w:val="004C3BC5"/>
    <w:rsid w:val="004C460C"/>
    <w:rsid w:val="004C7A1C"/>
    <w:rsid w:val="004D4485"/>
    <w:rsid w:val="004D5BC1"/>
    <w:rsid w:val="004D6B09"/>
    <w:rsid w:val="004D759B"/>
    <w:rsid w:val="004E07A2"/>
    <w:rsid w:val="004E2902"/>
    <w:rsid w:val="004E4A22"/>
    <w:rsid w:val="004F3E51"/>
    <w:rsid w:val="004F63FD"/>
    <w:rsid w:val="005020C3"/>
    <w:rsid w:val="005054EA"/>
    <w:rsid w:val="00510636"/>
    <w:rsid w:val="00510A63"/>
    <w:rsid w:val="00511968"/>
    <w:rsid w:val="005120C2"/>
    <w:rsid w:val="00514129"/>
    <w:rsid w:val="00514542"/>
    <w:rsid w:val="0051537F"/>
    <w:rsid w:val="00516C22"/>
    <w:rsid w:val="00532938"/>
    <w:rsid w:val="00533E76"/>
    <w:rsid w:val="00533FFC"/>
    <w:rsid w:val="00534284"/>
    <w:rsid w:val="005355A3"/>
    <w:rsid w:val="00540BDF"/>
    <w:rsid w:val="00544716"/>
    <w:rsid w:val="00545734"/>
    <w:rsid w:val="00555FF1"/>
    <w:rsid w:val="0055614C"/>
    <w:rsid w:val="005571BB"/>
    <w:rsid w:val="005620D1"/>
    <w:rsid w:val="00566A7C"/>
    <w:rsid w:val="0057081E"/>
    <w:rsid w:val="00572B0F"/>
    <w:rsid w:val="00580231"/>
    <w:rsid w:val="00580899"/>
    <w:rsid w:val="005808C7"/>
    <w:rsid w:val="00582585"/>
    <w:rsid w:val="0058390E"/>
    <w:rsid w:val="00590B38"/>
    <w:rsid w:val="00591272"/>
    <w:rsid w:val="00591A10"/>
    <w:rsid w:val="00593D2C"/>
    <w:rsid w:val="00595550"/>
    <w:rsid w:val="00596B60"/>
    <w:rsid w:val="005B19BA"/>
    <w:rsid w:val="005B4214"/>
    <w:rsid w:val="005C0C21"/>
    <w:rsid w:val="005C5E38"/>
    <w:rsid w:val="005D071C"/>
    <w:rsid w:val="005D256A"/>
    <w:rsid w:val="005D4D7D"/>
    <w:rsid w:val="005D63BE"/>
    <w:rsid w:val="005D674D"/>
    <w:rsid w:val="005E14C2"/>
    <w:rsid w:val="005E1874"/>
    <w:rsid w:val="005E36AE"/>
    <w:rsid w:val="005E7511"/>
    <w:rsid w:val="005F396E"/>
    <w:rsid w:val="005F6C10"/>
    <w:rsid w:val="00607BA5"/>
    <w:rsid w:val="0061180A"/>
    <w:rsid w:val="00614136"/>
    <w:rsid w:val="00615DFD"/>
    <w:rsid w:val="00621CCE"/>
    <w:rsid w:val="00622EDC"/>
    <w:rsid w:val="006245B8"/>
    <w:rsid w:val="00626EB6"/>
    <w:rsid w:val="006323D6"/>
    <w:rsid w:val="00650AC4"/>
    <w:rsid w:val="00655D03"/>
    <w:rsid w:val="00656D61"/>
    <w:rsid w:val="00657B92"/>
    <w:rsid w:val="006707A1"/>
    <w:rsid w:val="00672C6C"/>
    <w:rsid w:val="0068270A"/>
    <w:rsid w:val="00683388"/>
    <w:rsid w:val="00683F84"/>
    <w:rsid w:val="00684140"/>
    <w:rsid w:val="00691230"/>
    <w:rsid w:val="0069228C"/>
    <w:rsid w:val="00697258"/>
    <w:rsid w:val="006A01EA"/>
    <w:rsid w:val="006A3D11"/>
    <w:rsid w:val="006A6A81"/>
    <w:rsid w:val="006B11B5"/>
    <w:rsid w:val="006C54B5"/>
    <w:rsid w:val="006D31A2"/>
    <w:rsid w:val="006E335A"/>
    <w:rsid w:val="006E693D"/>
    <w:rsid w:val="006E69AA"/>
    <w:rsid w:val="006F150F"/>
    <w:rsid w:val="006F1A70"/>
    <w:rsid w:val="006F57CC"/>
    <w:rsid w:val="006F6D8F"/>
    <w:rsid w:val="006F7393"/>
    <w:rsid w:val="006F7D8C"/>
    <w:rsid w:val="0070224F"/>
    <w:rsid w:val="007040B9"/>
    <w:rsid w:val="007046B7"/>
    <w:rsid w:val="007115F7"/>
    <w:rsid w:val="00711DB4"/>
    <w:rsid w:val="00711FB0"/>
    <w:rsid w:val="0071215C"/>
    <w:rsid w:val="00713D82"/>
    <w:rsid w:val="00715305"/>
    <w:rsid w:val="0072114F"/>
    <w:rsid w:val="00721510"/>
    <w:rsid w:val="007232CF"/>
    <w:rsid w:val="007248F9"/>
    <w:rsid w:val="0072545D"/>
    <w:rsid w:val="00727FB1"/>
    <w:rsid w:val="00736B32"/>
    <w:rsid w:val="00736ED0"/>
    <w:rsid w:val="00744F6F"/>
    <w:rsid w:val="00745283"/>
    <w:rsid w:val="007459D8"/>
    <w:rsid w:val="00747E54"/>
    <w:rsid w:val="00753180"/>
    <w:rsid w:val="007576FD"/>
    <w:rsid w:val="00757A0A"/>
    <w:rsid w:val="0076484D"/>
    <w:rsid w:val="007665F9"/>
    <w:rsid w:val="00767D15"/>
    <w:rsid w:val="00773BE9"/>
    <w:rsid w:val="0078181A"/>
    <w:rsid w:val="00782AB0"/>
    <w:rsid w:val="00783F9C"/>
    <w:rsid w:val="00785689"/>
    <w:rsid w:val="00790C4D"/>
    <w:rsid w:val="00794319"/>
    <w:rsid w:val="0079754B"/>
    <w:rsid w:val="007A1060"/>
    <w:rsid w:val="007A1E6D"/>
    <w:rsid w:val="007A6575"/>
    <w:rsid w:val="007A7B56"/>
    <w:rsid w:val="007B0EB2"/>
    <w:rsid w:val="007B4BD8"/>
    <w:rsid w:val="007B4E9C"/>
    <w:rsid w:val="007B625D"/>
    <w:rsid w:val="007C0656"/>
    <w:rsid w:val="007C2875"/>
    <w:rsid w:val="007C4C36"/>
    <w:rsid w:val="007C557A"/>
    <w:rsid w:val="007D2267"/>
    <w:rsid w:val="007D23DC"/>
    <w:rsid w:val="007D2913"/>
    <w:rsid w:val="007D4532"/>
    <w:rsid w:val="007D4716"/>
    <w:rsid w:val="007E28A8"/>
    <w:rsid w:val="007E3057"/>
    <w:rsid w:val="007F16F3"/>
    <w:rsid w:val="007F20AF"/>
    <w:rsid w:val="007F348A"/>
    <w:rsid w:val="00801E0C"/>
    <w:rsid w:val="00803C32"/>
    <w:rsid w:val="00810B6F"/>
    <w:rsid w:val="00811063"/>
    <w:rsid w:val="00815B59"/>
    <w:rsid w:val="00822CE0"/>
    <w:rsid w:val="00824BDA"/>
    <w:rsid w:val="00824FB5"/>
    <w:rsid w:val="008278B0"/>
    <w:rsid w:val="008333E7"/>
    <w:rsid w:val="00841AB1"/>
    <w:rsid w:val="00842F12"/>
    <w:rsid w:val="00854F00"/>
    <w:rsid w:val="00855A08"/>
    <w:rsid w:val="008574ED"/>
    <w:rsid w:val="008604FA"/>
    <w:rsid w:val="00860538"/>
    <w:rsid w:val="00866453"/>
    <w:rsid w:val="0086765F"/>
    <w:rsid w:val="0086785D"/>
    <w:rsid w:val="00876C46"/>
    <w:rsid w:val="00884E7A"/>
    <w:rsid w:val="00886030"/>
    <w:rsid w:val="00893407"/>
    <w:rsid w:val="00893ABA"/>
    <w:rsid w:val="00894DBB"/>
    <w:rsid w:val="008959E6"/>
    <w:rsid w:val="008965BF"/>
    <w:rsid w:val="008A31AE"/>
    <w:rsid w:val="008A49DC"/>
    <w:rsid w:val="008A7838"/>
    <w:rsid w:val="008B0950"/>
    <w:rsid w:val="008B3D55"/>
    <w:rsid w:val="008B5B88"/>
    <w:rsid w:val="008C294F"/>
    <w:rsid w:val="008C368A"/>
    <w:rsid w:val="008C53CF"/>
    <w:rsid w:val="008C68F1"/>
    <w:rsid w:val="008D0CB2"/>
    <w:rsid w:val="008E172E"/>
    <w:rsid w:val="008E27B5"/>
    <w:rsid w:val="008E4730"/>
    <w:rsid w:val="008E6A41"/>
    <w:rsid w:val="008F6514"/>
    <w:rsid w:val="00901340"/>
    <w:rsid w:val="00903F16"/>
    <w:rsid w:val="00910512"/>
    <w:rsid w:val="00910B6B"/>
    <w:rsid w:val="0091413F"/>
    <w:rsid w:val="009157F7"/>
    <w:rsid w:val="00921803"/>
    <w:rsid w:val="00926503"/>
    <w:rsid w:val="00927304"/>
    <w:rsid w:val="00933168"/>
    <w:rsid w:val="0093341C"/>
    <w:rsid w:val="0093361D"/>
    <w:rsid w:val="0094017A"/>
    <w:rsid w:val="00941492"/>
    <w:rsid w:val="0094630E"/>
    <w:rsid w:val="00957233"/>
    <w:rsid w:val="009601F3"/>
    <w:rsid w:val="0096448C"/>
    <w:rsid w:val="009726D8"/>
    <w:rsid w:val="00973A0E"/>
    <w:rsid w:val="00975060"/>
    <w:rsid w:val="00977080"/>
    <w:rsid w:val="00985E7F"/>
    <w:rsid w:val="00985F6E"/>
    <w:rsid w:val="0099059E"/>
    <w:rsid w:val="00990B3D"/>
    <w:rsid w:val="009916FF"/>
    <w:rsid w:val="009919C5"/>
    <w:rsid w:val="009919C9"/>
    <w:rsid w:val="00993589"/>
    <w:rsid w:val="00996A39"/>
    <w:rsid w:val="009A0117"/>
    <w:rsid w:val="009A6CE1"/>
    <w:rsid w:val="009B1A50"/>
    <w:rsid w:val="009B41E3"/>
    <w:rsid w:val="009B66C2"/>
    <w:rsid w:val="009C15F3"/>
    <w:rsid w:val="009C7FB7"/>
    <w:rsid w:val="009D166E"/>
    <w:rsid w:val="009D1716"/>
    <w:rsid w:val="009E20AD"/>
    <w:rsid w:val="009E366D"/>
    <w:rsid w:val="009E6046"/>
    <w:rsid w:val="009F19B1"/>
    <w:rsid w:val="009F6132"/>
    <w:rsid w:val="009F62DC"/>
    <w:rsid w:val="009F7249"/>
    <w:rsid w:val="009F76DB"/>
    <w:rsid w:val="00A02F23"/>
    <w:rsid w:val="00A10B62"/>
    <w:rsid w:val="00A144B5"/>
    <w:rsid w:val="00A168F3"/>
    <w:rsid w:val="00A25CAA"/>
    <w:rsid w:val="00A32C3B"/>
    <w:rsid w:val="00A3395E"/>
    <w:rsid w:val="00A35AD1"/>
    <w:rsid w:val="00A36E78"/>
    <w:rsid w:val="00A373DD"/>
    <w:rsid w:val="00A37A69"/>
    <w:rsid w:val="00A40D2E"/>
    <w:rsid w:val="00A4172B"/>
    <w:rsid w:val="00A42A3B"/>
    <w:rsid w:val="00A4436E"/>
    <w:rsid w:val="00A4526F"/>
    <w:rsid w:val="00A45F4F"/>
    <w:rsid w:val="00A47FB4"/>
    <w:rsid w:val="00A5122F"/>
    <w:rsid w:val="00A51768"/>
    <w:rsid w:val="00A52CFC"/>
    <w:rsid w:val="00A52EE2"/>
    <w:rsid w:val="00A535B4"/>
    <w:rsid w:val="00A600A9"/>
    <w:rsid w:val="00A62822"/>
    <w:rsid w:val="00A71800"/>
    <w:rsid w:val="00A73728"/>
    <w:rsid w:val="00A8027A"/>
    <w:rsid w:val="00A821B9"/>
    <w:rsid w:val="00A84768"/>
    <w:rsid w:val="00A866DC"/>
    <w:rsid w:val="00A87DFA"/>
    <w:rsid w:val="00A91D59"/>
    <w:rsid w:val="00A92766"/>
    <w:rsid w:val="00AA22EC"/>
    <w:rsid w:val="00AA3185"/>
    <w:rsid w:val="00AA468E"/>
    <w:rsid w:val="00AA55B7"/>
    <w:rsid w:val="00AA5B9E"/>
    <w:rsid w:val="00AA68A4"/>
    <w:rsid w:val="00AB136A"/>
    <w:rsid w:val="00AB15FD"/>
    <w:rsid w:val="00AB2407"/>
    <w:rsid w:val="00AB38AD"/>
    <w:rsid w:val="00AB53DF"/>
    <w:rsid w:val="00AB5C10"/>
    <w:rsid w:val="00AB7D4D"/>
    <w:rsid w:val="00AC099F"/>
    <w:rsid w:val="00AC21EA"/>
    <w:rsid w:val="00AC2495"/>
    <w:rsid w:val="00AC3C27"/>
    <w:rsid w:val="00AD20BF"/>
    <w:rsid w:val="00AD7A48"/>
    <w:rsid w:val="00AE1C63"/>
    <w:rsid w:val="00AE6347"/>
    <w:rsid w:val="00AE6E98"/>
    <w:rsid w:val="00AF05A7"/>
    <w:rsid w:val="00AF7575"/>
    <w:rsid w:val="00B01A92"/>
    <w:rsid w:val="00B03A1D"/>
    <w:rsid w:val="00B059B3"/>
    <w:rsid w:val="00B06E1F"/>
    <w:rsid w:val="00B07E5C"/>
    <w:rsid w:val="00B125BA"/>
    <w:rsid w:val="00B16386"/>
    <w:rsid w:val="00B170BB"/>
    <w:rsid w:val="00B17BF5"/>
    <w:rsid w:val="00B22472"/>
    <w:rsid w:val="00B25408"/>
    <w:rsid w:val="00B30289"/>
    <w:rsid w:val="00B34072"/>
    <w:rsid w:val="00B4527D"/>
    <w:rsid w:val="00B46414"/>
    <w:rsid w:val="00B52004"/>
    <w:rsid w:val="00B54E4C"/>
    <w:rsid w:val="00B626A1"/>
    <w:rsid w:val="00B6281D"/>
    <w:rsid w:val="00B633F2"/>
    <w:rsid w:val="00B663CE"/>
    <w:rsid w:val="00B673B7"/>
    <w:rsid w:val="00B70AC2"/>
    <w:rsid w:val="00B7559E"/>
    <w:rsid w:val="00B7668D"/>
    <w:rsid w:val="00B7753B"/>
    <w:rsid w:val="00B7764C"/>
    <w:rsid w:val="00B811F7"/>
    <w:rsid w:val="00B92AA5"/>
    <w:rsid w:val="00B947D1"/>
    <w:rsid w:val="00B94E88"/>
    <w:rsid w:val="00B97670"/>
    <w:rsid w:val="00BA44BE"/>
    <w:rsid w:val="00BA55C0"/>
    <w:rsid w:val="00BA5DC6"/>
    <w:rsid w:val="00BA6196"/>
    <w:rsid w:val="00BC311C"/>
    <w:rsid w:val="00BC6D8C"/>
    <w:rsid w:val="00BD28BF"/>
    <w:rsid w:val="00BD3157"/>
    <w:rsid w:val="00BD446D"/>
    <w:rsid w:val="00BD6424"/>
    <w:rsid w:val="00BE18F3"/>
    <w:rsid w:val="00BE2850"/>
    <w:rsid w:val="00BE56EE"/>
    <w:rsid w:val="00BF0C0D"/>
    <w:rsid w:val="00BF7FFE"/>
    <w:rsid w:val="00C00F0D"/>
    <w:rsid w:val="00C06045"/>
    <w:rsid w:val="00C11B93"/>
    <w:rsid w:val="00C14308"/>
    <w:rsid w:val="00C17ADC"/>
    <w:rsid w:val="00C201C7"/>
    <w:rsid w:val="00C2073A"/>
    <w:rsid w:val="00C22B63"/>
    <w:rsid w:val="00C32BCB"/>
    <w:rsid w:val="00C33563"/>
    <w:rsid w:val="00C34006"/>
    <w:rsid w:val="00C3586B"/>
    <w:rsid w:val="00C35C3B"/>
    <w:rsid w:val="00C36AAF"/>
    <w:rsid w:val="00C426B1"/>
    <w:rsid w:val="00C45B46"/>
    <w:rsid w:val="00C46383"/>
    <w:rsid w:val="00C508B4"/>
    <w:rsid w:val="00C51BC2"/>
    <w:rsid w:val="00C62462"/>
    <w:rsid w:val="00C66160"/>
    <w:rsid w:val="00C70DB0"/>
    <w:rsid w:val="00C721AC"/>
    <w:rsid w:val="00C75DB1"/>
    <w:rsid w:val="00C84DAD"/>
    <w:rsid w:val="00C90D6A"/>
    <w:rsid w:val="00C918F7"/>
    <w:rsid w:val="00C946D3"/>
    <w:rsid w:val="00C96A07"/>
    <w:rsid w:val="00CA247E"/>
    <w:rsid w:val="00CB745F"/>
    <w:rsid w:val="00CC341A"/>
    <w:rsid w:val="00CC4B91"/>
    <w:rsid w:val="00CC72B6"/>
    <w:rsid w:val="00CD24E5"/>
    <w:rsid w:val="00CD3B20"/>
    <w:rsid w:val="00CE4F42"/>
    <w:rsid w:val="00CF5DAA"/>
    <w:rsid w:val="00CF6F15"/>
    <w:rsid w:val="00CF70B8"/>
    <w:rsid w:val="00D01B54"/>
    <w:rsid w:val="00D0204E"/>
    <w:rsid w:val="00D0218D"/>
    <w:rsid w:val="00D0504C"/>
    <w:rsid w:val="00D13AF5"/>
    <w:rsid w:val="00D14218"/>
    <w:rsid w:val="00D14C70"/>
    <w:rsid w:val="00D15EBF"/>
    <w:rsid w:val="00D1662B"/>
    <w:rsid w:val="00D16EC0"/>
    <w:rsid w:val="00D2036A"/>
    <w:rsid w:val="00D23062"/>
    <w:rsid w:val="00D25FB5"/>
    <w:rsid w:val="00D2611D"/>
    <w:rsid w:val="00D271D9"/>
    <w:rsid w:val="00D27A61"/>
    <w:rsid w:val="00D3027C"/>
    <w:rsid w:val="00D3198E"/>
    <w:rsid w:val="00D3399E"/>
    <w:rsid w:val="00D34809"/>
    <w:rsid w:val="00D35AFC"/>
    <w:rsid w:val="00D41DC9"/>
    <w:rsid w:val="00D4379F"/>
    <w:rsid w:val="00D44223"/>
    <w:rsid w:val="00D44305"/>
    <w:rsid w:val="00D53177"/>
    <w:rsid w:val="00D62938"/>
    <w:rsid w:val="00D63C35"/>
    <w:rsid w:val="00D72C1A"/>
    <w:rsid w:val="00D75B05"/>
    <w:rsid w:val="00D75F42"/>
    <w:rsid w:val="00D82333"/>
    <w:rsid w:val="00D8407D"/>
    <w:rsid w:val="00D849D3"/>
    <w:rsid w:val="00D84FE3"/>
    <w:rsid w:val="00D85AC7"/>
    <w:rsid w:val="00D86615"/>
    <w:rsid w:val="00D91148"/>
    <w:rsid w:val="00D91894"/>
    <w:rsid w:val="00D93A82"/>
    <w:rsid w:val="00D94434"/>
    <w:rsid w:val="00D96199"/>
    <w:rsid w:val="00D976D7"/>
    <w:rsid w:val="00DA2529"/>
    <w:rsid w:val="00DA3F9D"/>
    <w:rsid w:val="00DB130A"/>
    <w:rsid w:val="00DB2EBB"/>
    <w:rsid w:val="00DB3024"/>
    <w:rsid w:val="00DB4614"/>
    <w:rsid w:val="00DB5AFB"/>
    <w:rsid w:val="00DB6F2B"/>
    <w:rsid w:val="00DC10A1"/>
    <w:rsid w:val="00DC655F"/>
    <w:rsid w:val="00DC7369"/>
    <w:rsid w:val="00DD0B59"/>
    <w:rsid w:val="00DD7B15"/>
    <w:rsid w:val="00DD7EBD"/>
    <w:rsid w:val="00DE0BF5"/>
    <w:rsid w:val="00DE291D"/>
    <w:rsid w:val="00DE3D51"/>
    <w:rsid w:val="00DE6341"/>
    <w:rsid w:val="00DF3CF7"/>
    <w:rsid w:val="00DF62B6"/>
    <w:rsid w:val="00DF700A"/>
    <w:rsid w:val="00E000E5"/>
    <w:rsid w:val="00E05A9B"/>
    <w:rsid w:val="00E06DC8"/>
    <w:rsid w:val="00E07225"/>
    <w:rsid w:val="00E0751E"/>
    <w:rsid w:val="00E10E2E"/>
    <w:rsid w:val="00E147B5"/>
    <w:rsid w:val="00E20914"/>
    <w:rsid w:val="00E2345D"/>
    <w:rsid w:val="00E2396D"/>
    <w:rsid w:val="00E26932"/>
    <w:rsid w:val="00E33EA8"/>
    <w:rsid w:val="00E353A8"/>
    <w:rsid w:val="00E378A7"/>
    <w:rsid w:val="00E43ED8"/>
    <w:rsid w:val="00E453EA"/>
    <w:rsid w:val="00E454C0"/>
    <w:rsid w:val="00E50979"/>
    <w:rsid w:val="00E53CCC"/>
    <w:rsid w:val="00E5409F"/>
    <w:rsid w:val="00E60F81"/>
    <w:rsid w:val="00E6601C"/>
    <w:rsid w:val="00E75747"/>
    <w:rsid w:val="00E77241"/>
    <w:rsid w:val="00E8267D"/>
    <w:rsid w:val="00E86562"/>
    <w:rsid w:val="00E86DEA"/>
    <w:rsid w:val="00E87349"/>
    <w:rsid w:val="00E94EA3"/>
    <w:rsid w:val="00E97D2F"/>
    <w:rsid w:val="00EA04A9"/>
    <w:rsid w:val="00EA1EC5"/>
    <w:rsid w:val="00EB5D9D"/>
    <w:rsid w:val="00EC173B"/>
    <w:rsid w:val="00EC2C29"/>
    <w:rsid w:val="00EC314B"/>
    <w:rsid w:val="00EC45B7"/>
    <w:rsid w:val="00EC5B72"/>
    <w:rsid w:val="00ED180F"/>
    <w:rsid w:val="00ED319F"/>
    <w:rsid w:val="00ED549D"/>
    <w:rsid w:val="00ED78B4"/>
    <w:rsid w:val="00EE36C7"/>
    <w:rsid w:val="00EE6488"/>
    <w:rsid w:val="00EF17D4"/>
    <w:rsid w:val="00EF2022"/>
    <w:rsid w:val="00EF206F"/>
    <w:rsid w:val="00F019BF"/>
    <w:rsid w:val="00F021FA"/>
    <w:rsid w:val="00F04878"/>
    <w:rsid w:val="00F1120A"/>
    <w:rsid w:val="00F1514B"/>
    <w:rsid w:val="00F15284"/>
    <w:rsid w:val="00F16480"/>
    <w:rsid w:val="00F168FD"/>
    <w:rsid w:val="00F173D1"/>
    <w:rsid w:val="00F24C73"/>
    <w:rsid w:val="00F25231"/>
    <w:rsid w:val="00F275E7"/>
    <w:rsid w:val="00F32020"/>
    <w:rsid w:val="00F32236"/>
    <w:rsid w:val="00F35CA0"/>
    <w:rsid w:val="00F41509"/>
    <w:rsid w:val="00F43F3C"/>
    <w:rsid w:val="00F44010"/>
    <w:rsid w:val="00F47FED"/>
    <w:rsid w:val="00F521E8"/>
    <w:rsid w:val="00F56DAF"/>
    <w:rsid w:val="00F56E4F"/>
    <w:rsid w:val="00F62D7C"/>
    <w:rsid w:val="00F62E97"/>
    <w:rsid w:val="00F64209"/>
    <w:rsid w:val="00F710BA"/>
    <w:rsid w:val="00F741B1"/>
    <w:rsid w:val="00F751C5"/>
    <w:rsid w:val="00F76D36"/>
    <w:rsid w:val="00F7787D"/>
    <w:rsid w:val="00F801F7"/>
    <w:rsid w:val="00F807B9"/>
    <w:rsid w:val="00F81297"/>
    <w:rsid w:val="00F84836"/>
    <w:rsid w:val="00F8495A"/>
    <w:rsid w:val="00F8687A"/>
    <w:rsid w:val="00F913A0"/>
    <w:rsid w:val="00F93BF5"/>
    <w:rsid w:val="00F97C39"/>
    <w:rsid w:val="00FA1545"/>
    <w:rsid w:val="00FA54A2"/>
    <w:rsid w:val="00FA6A31"/>
    <w:rsid w:val="00FB08D1"/>
    <w:rsid w:val="00FB104C"/>
    <w:rsid w:val="00FB189A"/>
    <w:rsid w:val="00FB2145"/>
    <w:rsid w:val="00FB550D"/>
    <w:rsid w:val="00FB7AAA"/>
    <w:rsid w:val="00FC0D34"/>
    <w:rsid w:val="00FC56B9"/>
    <w:rsid w:val="00FC6492"/>
    <w:rsid w:val="00FD3A7F"/>
    <w:rsid w:val="00FD67FF"/>
    <w:rsid w:val="00FD79B8"/>
    <w:rsid w:val="00FF629E"/>
    <w:rsid w:val="00FF7F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B6DD17C-E3AA-4F9A-ABF5-A3A66023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0538"/>
    <w:pPr>
      <w:keepNext/>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sid w:val="00347CF3"/>
  </w:style>
  <w:style w:type="character" w:styleId="CommentReference">
    <w:name w:val="annotation reference"/>
    <w:rsid w:val="00347CF3"/>
    <w:rPr>
      <w:sz w:val="16"/>
      <w:szCs w:val="16"/>
    </w:rPr>
  </w:style>
  <w:style w:type="paragraph" w:styleId="CommentText">
    <w:name w:val="annotation text"/>
    <w:basedOn w:val="Normal"/>
    <w:link w:val="CommentTextChar"/>
    <w:rsid w:val="00347CF3"/>
    <w:pPr>
      <w:widowControl/>
    </w:pPr>
    <w:rPr>
      <w:snapToGrid/>
      <w:kern w:val="0"/>
      <w:sz w:val="20"/>
    </w:rPr>
  </w:style>
  <w:style w:type="character" w:customStyle="1" w:styleId="CommentTextChar">
    <w:name w:val="Comment Text Char"/>
    <w:basedOn w:val="DefaultParagraphFont"/>
    <w:link w:val="CommentText"/>
    <w:uiPriority w:val="99"/>
    <w:rsid w:val="00347CF3"/>
  </w:style>
  <w:style w:type="paragraph" w:styleId="BalloonText">
    <w:name w:val="Balloon Text"/>
    <w:basedOn w:val="Normal"/>
    <w:link w:val="BalloonTextChar"/>
    <w:rsid w:val="00347CF3"/>
    <w:rPr>
      <w:rFonts w:ascii="Segoe UI" w:hAnsi="Segoe UI" w:cs="Segoe UI"/>
      <w:sz w:val="18"/>
      <w:szCs w:val="18"/>
    </w:rPr>
  </w:style>
  <w:style w:type="character" w:customStyle="1" w:styleId="BalloonTextChar">
    <w:name w:val="Balloon Text Char"/>
    <w:link w:val="BalloonText"/>
    <w:rsid w:val="00347CF3"/>
    <w:rPr>
      <w:rFonts w:ascii="Segoe UI" w:hAnsi="Segoe UI" w:cs="Segoe UI"/>
      <w:snapToGrid w:val="0"/>
      <w:kern w:val="28"/>
      <w:sz w:val="18"/>
      <w:szCs w:val="18"/>
    </w:rPr>
  </w:style>
  <w:style w:type="character" w:customStyle="1" w:styleId="rrfootnoteChar">
    <w:name w:val="rrfootnote Char"/>
    <w:aliases w:val="Footnote Text Ch Char,Footnote Text Char Char Char,Footnote Text Char Char Char Char Char,rrfootnote Char Char Char,rrfootnote Char Char Char Char Char"/>
    <w:rsid w:val="00180C18"/>
  </w:style>
  <w:style w:type="character" w:customStyle="1" w:styleId="displayhltext">
    <w:name w:val="display_hl_text"/>
    <w:rsid w:val="00533E76"/>
  </w:style>
  <w:style w:type="character" w:customStyle="1" w:styleId="emphi">
    <w:name w:val="emphi"/>
    <w:rsid w:val="00533E76"/>
  </w:style>
  <w:style w:type="character" w:customStyle="1" w:styleId="displayhltextactive">
    <w:name w:val="display_hl_text_active"/>
    <w:rsid w:val="008E172E"/>
  </w:style>
  <w:style w:type="character" w:customStyle="1" w:styleId="ParaNumChar">
    <w:name w:val="ParaNum Char"/>
    <w:link w:val="ParaNum"/>
    <w:locked/>
    <w:rsid w:val="00221654"/>
    <w:rPr>
      <w:snapToGrid w:val="0"/>
      <w:kern w:val="28"/>
      <w:sz w:val="22"/>
    </w:rPr>
  </w:style>
  <w:style w:type="character" w:customStyle="1" w:styleId="ssleftalign">
    <w:name w:val="ss_leftalign"/>
    <w:rsid w:val="00B16386"/>
  </w:style>
  <w:style w:type="paragraph" w:styleId="CommentSubject">
    <w:name w:val="annotation subject"/>
    <w:basedOn w:val="CommentText"/>
    <w:next w:val="CommentText"/>
    <w:link w:val="CommentSubjectChar"/>
    <w:rsid w:val="00405283"/>
    <w:pPr>
      <w:widowControl w:val="0"/>
    </w:pPr>
    <w:rPr>
      <w:b/>
      <w:bCs/>
      <w:snapToGrid w:val="0"/>
      <w:kern w:val="28"/>
    </w:rPr>
  </w:style>
  <w:style w:type="character" w:customStyle="1" w:styleId="CommentSubjectChar">
    <w:name w:val="Comment Subject Char"/>
    <w:link w:val="CommentSubject"/>
    <w:rsid w:val="00405283"/>
    <w:rPr>
      <w:b/>
      <w:bCs/>
      <w:snapToGrid w:val="0"/>
      <w:kern w:val="28"/>
    </w:rPr>
  </w:style>
  <w:style w:type="character" w:customStyle="1" w:styleId="ssprior">
    <w:name w:val="ss_prior"/>
    <w:rsid w:val="009E366D"/>
  </w:style>
  <w:style w:type="character" w:customStyle="1" w:styleId="ssit">
    <w:name w:val="ss_it"/>
    <w:rsid w:val="00043B06"/>
  </w:style>
  <w:style w:type="character" w:customStyle="1" w:styleId="sssh">
    <w:name w:val="ss_sh"/>
    <w:rsid w:val="002F58AE"/>
  </w:style>
  <w:style w:type="paragraph" w:styleId="Revision">
    <w:name w:val="Revision"/>
    <w:hidden/>
    <w:uiPriority w:val="99"/>
    <w:semiHidden/>
    <w:rsid w:val="006F150F"/>
    <w:rPr>
      <w:snapToGrid w:val="0"/>
      <w:kern w:val="28"/>
      <w:sz w:val="22"/>
    </w:rPr>
  </w:style>
  <w:style w:type="character" w:customStyle="1" w:styleId="FootnoteTextChar3">
    <w:name w:val="Footnote Text Char3"/>
    <w:aliases w:val="Footnote Text Char Char Char Char,Footnote Text Char Char Char Char Char Char Char,Footnote Text Char Char1,Footnote Text Char1 Char Char1,Footnote Text Char1 Char1 Char Char Char Char,Footnote Text Char2 Char Char Char Char"/>
    <w:rsid w:val="00AF05A7"/>
    <w:rPr>
      <w:snapToGrid w:val="0"/>
      <w:lang w:val="en-US" w:eastAsia="en-US" w:bidi="ar-SA"/>
    </w:rPr>
  </w:style>
  <w:style w:type="character" w:customStyle="1" w:styleId="FooterChar">
    <w:name w:val="Footer Char"/>
    <w:link w:val="Footer"/>
    <w:rsid w:val="00860538"/>
    <w:rPr>
      <w:snapToGrid w:val="0"/>
      <w:kern w:val="28"/>
      <w:sz w:val="22"/>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F97C39"/>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RINQUIRI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javascript:top.docjs.prev_hit(2)" TargetMode="External" /><Relationship Id="rId2" Type="http://schemas.openxmlformats.org/officeDocument/2006/relationships/image" Target="media/image1.gif" /><Relationship Id="rId3" Type="http://schemas.openxmlformats.org/officeDocument/2006/relationships/hyperlink" Target="javascript:top.docjs.next_hit(2)" TargetMode="External" /><Relationship Id="rId4" Type="http://schemas.openxmlformats.org/officeDocument/2006/relationships/hyperlink" Target="javascript:top.docjs.prev_hit(3)" TargetMode="External" /><Relationship Id="rId5" Type="http://schemas.openxmlformats.org/officeDocument/2006/relationships/hyperlink" Target="javascript:top.docjs.next_hit(3)"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