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E286A" w:rsidRPr="008964A9" w:rsidP="006E286A">
      <w:pPr>
        <w:rPr>
          <w:b/>
          <w:szCs w:val="22"/>
        </w:rPr>
      </w:pPr>
      <w:bookmarkStart w:id="0" w:name="TOChere"/>
    </w:p>
    <w:p w:rsidR="006E286A" w:rsidRPr="008964A9" w:rsidP="006E286A">
      <w:pPr>
        <w:ind w:left="5760"/>
        <w:jc w:val="right"/>
        <w:rPr>
          <w:b/>
          <w:szCs w:val="22"/>
        </w:rPr>
      </w:pPr>
      <w:r w:rsidRPr="008964A9">
        <w:rPr>
          <w:b/>
          <w:szCs w:val="22"/>
        </w:rPr>
        <w:t xml:space="preserve">      DA 19-1236</w:t>
      </w:r>
    </w:p>
    <w:p w:rsidR="006E286A" w:rsidRPr="008964A9" w:rsidP="006E286A">
      <w:pPr>
        <w:spacing w:before="60"/>
        <w:jc w:val="right"/>
        <w:rPr>
          <w:b/>
          <w:szCs w:val="22"/>
        </w:rPr>
      </w:pPr>
      <w:r w:rsidRPr="008964A9">
        <w:rPr>
          <w:b/>
          <w:szCs w:val="22"/>
        </w:rPr>
        <w:t>Released:  December 5, 2019</w:t>
      </w:r>
    </w:p>
    <w:p w:rsidR="006E286A" w:rsidRPr="008964A9" w:rsidP="006E286A">
      <w:pPr>
        <w:jc w:val="right"/>
        <w:rPr>
          <w:szCs w:val="22"/>
        </w:rPr>
      </w:pPr>
    </w:p>
    <w:p w:rsidR="006E286A" w:rsidRPr="008964A9" w:rsidP="006E286A">
      <w:pPr>
        <w:jc w:val="center"/>
        <w:rPr>
          <w:b/>
          <w:szCs w:val="22"/>
        </w:rPr>
      </w:pPr>
      <w:r w:rsidRPr="008964A9">
        <w:rPr>
          <w:b/>
          <w:szCs w:val="22"/>
        </w:rPr>
        <w:t>PUBLIC SAFETY AND HOMELAND SECURITY BUREAU ANNOUNCES</w:t>
      </w:r>
    </w:p>
    <w:p w:rsidR="006E286A" w:rsidRPr="008964A9" w:rsidP="006E286A">
      <w:pPr>
        <w:jc w:val="center"/>
        <w:rPr>
          <w:b/>
          <w:szCs w:val="22"/>
        </w:rPr>
      </w:pPr>
      <w:r w:rsidRPr="008964A9">
        <w:rPr>
          <w:b/>
          <w:szCs w:val="22"/>
        </w:rPr>
        <w:t>JANUARY 6, 2020, EFFECTIVE DATE OF NEW RULES IMPLEMENTING</w:t>
      </w:r>
    </w:p>
    <w:p w:rsidR="006E286A" w:rsidRPr="008964A9" w:rsidP="006E286A">
      <w:pPr>
        <w:jc w:val="center"/>
        <w:rPr>
          <w:b/>
          <w:szCs w:val="22"/>
        </w:rPr>
      </w:pPr>
      <w:r w:rsidRPr="008964A9">
        <w:rPr>
          <w:b/>
          <w:szCs w:val="22"/>
        </w:rPr>
        <w:t xml:space="preserve"> KARI’S LAW AND SECTION 50</w:t>
      </w:r>
      <w:bookmarkStart w:id="1" w:name="_GoBack"/>
      <w:bookmarkEnd w:id="1"/>
      <w:r w:rsidRPr="008964A9">
        <w:rPr>
          <w:b/>
          <w:szCs w:val="22"/>
        </w:rPr>
        <w:t>6 OF RAY BAUM’S ACT</w:t>
      </w:r>
    </w:p>
    <w:p w:rsidR="006E286A" w:rsidP="006E286A">
      <w:pPr>
        <w:jc w:val="center"/>
        <w:rPr>
          <w:b/>
          <w:szCs w:val="22"/>
        </w:rPr>
      </w:pPr>
    </w:p>
    <w:p w:rsidR="006E286A" w:rsidRPr="003B2326" w:rsidP="006E286A">
      <w:pPr>
        <w:jc w:val="center"/>
        <w:rPr>
          <w:b/>
          <w:i/>
          <w:szCs w:val="22"/>
        </w:rPr>
      </w:pPr>
      <w:r>
        <w:rPr>
          <w:b/>
          <w:szCs w:val="22"/>
        </w:rPr>
        <w:t>PS Docket Nos. 18-261 and 17-239, GN Docket No. 11-117</w:t>
      </w:r>
    </w:p>
    <w:p w:rsidR="006E286A" w:rsidRPr="003B2326" w:rsidP="006E286A">
      <w:pPr>
        <w:rPr>
          <w:b/>
          <w:szCs w:val="22"/>
        </w:rPr>
      </w:pPr>
    </w:p>
    <w:p w:rsidR="006E286A" w:rsidP="006E286A">
      <w:pPr>
        <w:ind w:firstLine="720"/>
        <w:rPr>
          <w:szCs w:val="22"/>
        </w:rPr>
      </w:pPr>
      <w:r>
        <w:rPr>
          <w:szCs w:val="22"/>
        </w:rPr>
        <w:t xml:space="preserve">By this Public Notice, the Public Safety and Homeland Security Bureau (Bureau) announces the effective date of the rules adopted in the </w:t>
      </w:r>
      <w:r w:rsidRPr="00237B5F">
        <w:rPr>
          <w:i/>
          <w:szCs w:val="22"/>
        </w:rPr>
        <w:t>Report and Order</w:t>
      </w:r>
      <w:r>
        <w:rPr>
          <w:szCs w:val="22"/>
        </w:rPr>
        <w:t xml:space="preserve"> implementing </w:t>
      </w:r>
      <w:r w:rsidRPr="007569B4">
        <w:rPr>
          <w:szCs w:val="22"/>
        </w:rPr>
        <w:t>Kari’s Law Act of 2017</w:t>
      </w:r>
      <w:r>
        <w:rPr>
          <w:rStyle w:val="FootnoteReference"/>
          <w:szCs w:val="22"/>
        </w:rPr>
        <w:footnoteReference w:id="3"/>
      </w:r>
      <w:r w:rsidRPr="007569B4">
        <w:rPr>
          <w:szCs w:val="22"/>
        </w:rPr>
        <w:t xml:space="preserve"> and Section 506 of RAY BAUM’S Act.</w:t>
      </w:r>
      <w:r>
        <w:rPr>
          <w:rStyle w:val="FootnoteReference"/>
          <w:szCs w:val="22"/>
        </w:rPr>
        <w:footnoteReference w:id="4"/>
      </w:r>
    </w:p>
    <w:p w:rsidR="006E286A" w:rsidP="006E286A">
      <w:pPr>
        <w:ind w:firstLine="720"/>
        <w:rPr>
          <w:szCs w:val="22"/>
        </w:rPr>
      </w:pPr>
    </w:p>
    <w:p w:rsidR="006E286A" w:rsidRPr="008D1A12" w:rsidP="006E286A">
      <w:pPr>
        <w:ind w:firstLine="720"/>
        <w:rPr>
          <w:szCs w:val="22"/>
        </w:rPr>
      </w:pPr>
      <w:r>
        <w:rPr>
          <w:szCs w:val="22"/>
        </w:rPr>
        <w:t xml:space="preserve">The Commission adopted the </w:t>
      </w:r>
      <w:r w:rsidRPr="00F37F40">
        <w:rPr>
          <w:i/>
          <w:szCs w:val="22"/>
        </w:rPr>
        <w:t>Report and Order</w:t>
      </w:r>
      <w:r>
        <w:rPr>
          <w:szCs w:val="22"/>
        </w:rPr>
        <w:t xml:space="preserve"> in the above-referenced rulemaking proceedings on </w:t>
      </w:r>
      <w:r w:rsidRPr="008D1A12">
        <w:rPr>
          <w:szCs w:val="22"/>
        </w:rPr>
        <w:t>August</w:t>
      </w:r>
      <w:r w:rsidRPr="002111B2">
        <w:rPr>
          <w:szCs w:val="22"/>
        </w:rPr>
        <w:t xml:space="preserve"> 1, 2019</w:t>
      </w:r>
      <w:r>
        <w:rPr>
          <w:szCs w:val="22"/>
        </w:rPr>
        <w:t>.</w:t>
      </w:r>
      <w:r>
        <w:rPr>
          <w:rStyle w:val="FootnoteReference"/>
          <w:szCs w:val="22"/>
        </w:rPr>
        <w:footnoteReference w:id="5"/>
      </w:r>
      <w:r>
        <w:rPr>
          <w:szCs w:val="22"/>
        </w:rPr>
        <w:t xml:space="preserve">  Pursuant to Kari’s Law, the Commission </w:t>
      </w:r>
      <w:r w:rsidRPr="008D1A12">
        <w:rPr>
          <w:szCs w:val="22"/>
        </w:rPr>
        <w:t>adopted</w:t>
      </w:r>
      <w:r>
        <w:rPr>
          <w:szCs w:val="22"/>
        </w:rPr>
        <w:t xml:space="preserve"> rules requiring direct dialing and central notification for 911 calls from </w:t>
      </w:r>
      <w:r w:rsidRPr="007569B4">
        <w:rPr>
          <w:szCs w:val="22"/>
        </w:rPr>
        <w:t>multi-line telephone systems (MLTS</w:t>
      </w:r>
      <w:r>
        <w:rPr>
          <w:szCs w:val="22"/>
        </w:rPr>
        <w:t>)</w:t>
      </w:r>
      <w:r w:rsidRPr="002111B2">
        <w:rPr>
          <w:szCs w:val="22"/>
        </w:rPr>
        <w:t>.</w:t>
      </w:r>
      <w:r>
        <w:rPr>
          <w:rStyle w:val="FootnoteReference"/>
          <w:szCs w:val="22"/>
        </w:rPr>
        <w:footnoteReference w:id="6"/>
      </w:r>
      <w:r>
        <w:rPr>
          <w:szCs w:val="22"/>
        </w:rPr>
        <w:t xml:space="preserve">  Under Section 506 of RAY BAUM’s Act, the Commission adopted </w:t>
      </w:r>
      <w:r w:rsidRPr="008D1A12">
        <w:rPr>
          <w:szCs w:val="22"/>
        </w:rPr>
        <w:t>dispatchable location requirements for MLTS</w:t>
      </w:r>
      <w:r>
        <w:rPr>
          <w:szCs w:val="22"/>
        </w:rPr>
        <w:t xml:space="preserve">, </w:t>
      </w:r>
      <w:r w:rsidRPr="008D1A12">
        <w:rPr>
          <w:szCs w:val="22"/>
        </w:rPr>
        <w:t>fixed telephony, interconnected Voice over Internet Protocol (VoIP) services, Internet-based Telecommunications Relay Services (TRS), and mobile text service.</w:t>
      </w:r>
      <w:r>
        <w:rPr>
          <w:rStyle w:val="FootnoteReference"/>
          <w:szCs w:val="22"/>
        </w:rPr>
        <w:footnoteReference w:id="7"/>
      </w:r>
      <w:r w:rsidRPr="008D1A12">
        <w:rPr>
          <w:szCs w:val="22"/>
        </w:rPr>
        <w:t xml:space="preserve">  </w:t>
      </w:r>
      <w:r>
        <w:rPr>
          <w:szCs w:val="22"/>
        </w:rPr>
        <w:t xml:space="preserve">In addition, the Commission </w:t>
      </w:r>
      <w:r w:rsidRPr="008D1A12">
        <w:rPr>
          <w:szCs w:val="22"/>
        </w:rPr>
        <w:t>consolidate</w:t>
      </w:r>
      <w:r>
        <w:rPr>
          <w:szCs w:val="22"/>
        </w:rPr>
        <w:t>d</w:t>
      </w:r>
      <w:r w:rsidRPr="008D1A12">
        <w:rPr>
          <w:szCs w:val="22"/>
        </w:rPr>
        <w:t xml:space="preserve"> </w:t>
      </w:r>
      <w:r w:rsidRPr="0033066F">
        <w:rPr>
          <w:szCs w:val="22"/>
        </w:rPr>
        <w:t xml:space="preserve">existing 911 rules from parts 12, 20, 25, and 64 </w:t>
      </w:r>
      <w:r>
        <w:rPr>
          <w:szCs w:val="22"/>
        </w:rPr>
        <w:t xml:space="preserve">of the Code of Federal Regulations </w:t>
      </w:r>
      <w:r w:rsidRPr="008D1A12">
        <w:rPr>
          <w:szCs w:val="22"/>
        </w:rPr>
        <w:t xml:space="preserve">under </w:t>
      </w:r>
      <w:r w:rsidRPr="002111B2">
        <w:rPr>
          <w:szCs w:val="22"/>
        </w:rPr>
        <w:t>revised part 9.</w:t>
      </w:r>
      <w:r>
        <w:rPr>
          <w:rStyle w:val="FootnoteReference"/>
          <w:szCs w:val="22"/>
        </w:rPr>
        <w:footnoteReference w:id="8"/>
      </w:r>
      <w:r w:rsidRPr="008D1A12">
        <w:rPr>
          <w:szCs w:val="22"/>
        </w:rPr>
        <w:t xml:space="preserve">  A summary of the </w:t>
      </w:r>
      <w:r w:rsidRPr="008D1A12">
        <w:rPr>
          <w:i/>
          <w:szCs w:val="22"/>
        </w:rPr>
        <w:t>Report and Order</w:t>
      </w:r>
      <w:r w:rsidRPr="002111B2">
        <w:rPr>
          <w:szCs w:val="22"/>
        </w:rPr>
        <w:t xml:space="preserve"> </w:t>
      </w:r>
      <w:r w:rsidRPr="002111B2">
        <w:rPr>
          <w:spacing w:val="-2"/>
          <w:szCs w:val="22"/>
        </w:rPr>
        <w:t xml:space="preserve">was published in the </w:t>
      </w:r>
      <w:r w:rsidRPr="0033066F">
        <w:rPr>
          <w:i/>
          <w:szCs w:val="22"/>
        </w:rPr>
        <w:t>Federal Register</w:t>
      </w:r>
      <w:r w:rsidRPr="0033066F">
        <w:rPr>
          <w:szCs w:val="22"/>
        </w:rPr>
        <w:t xml:space="preserve"> on </w:t>
      </w:r>
      <w:r>
        <w:rPr>
          <w:szCs w:val="22"/>
        </w:rPr>
        <w:t xml:space="preserve">December 5, </w:t>
      </w:r>
      <w:r w:rsidRPr="002111B2">
        <w:rPr>
          <w:szCs w:val="22"/>
        </w:rPr>
        <w:t>2019</w:t>
      </w:r>
      <w:r w:rsidRPr="0033066F">
        <w:rPr>
          <w:szCs w:val="22"/>
        </w:rPr>
        <w:t>.</w:t>
      </w:r>
      <w:r>
        <w:rPr>
          <w:rStyle w:val="FootnoteReference"/>
          <w:szCs w:val="22"/>
        </w:rPr>
        <w:footnoteReference w:id="9"/>
      </w:r>
      <w:r w:rsidRPr="008D1A12">
        <w:rPr>
          <w:szCs w:val="22"/>
        </w:rPr>
        <w:t xml:space="preserve">   </w:t>
      </w:r>
    </w:p>
    <w:p w:rsidR="006E286A" w:rsidP="006E286A">
      <w:pPr>
        <w:ind w:firstLine="720"/>
        <w:rPr>
          <w:szCs w:val="22"/>
        </w:rPr>
      </w:pPr>
    </w:p>
    <w:p w:rsidR="006E286A" w:rsidP="006E286A">
      <w:pPr>
        <w:ind w:firstLine="720"/>
        <w:rPr>
          <w:szCs w:val="22"/>
        </w:rPr>
      </w:pPr>
      <w:r>
        <w:rPr>
          <w:szCs w:val="22"/>
        </w:rPr>
        <w:t xml:space="preserve">The rules adopted in the </w:t>
      </w:r>
      <w:r w:rsidRPr="00237B5F">
        <w:rPr>
          <w:i/>
          <w:szCs w:val="22"/>
        </w:rPr>
        <w:t>Report and Order</w:t>
      </w:r>
      <w:r>
        <w:rPr>
          <w:szCs w:val="22"/>
        </w:rPr>
        <w:t xml:space="preserve"> will take effect on January 6, 2020, with the exception of rules containing information collection </w:t>
      </w:r>
      <w:r w:rsidRPr="003B2326">
        <w:rPr>
          <w:szCs w:val="22"/>
        </w:rPr>
        <w:t xml:space="preserve">requirements that </w:t>
      </w:r>
      <w:r>
        <w:rPr>
          <w:szCs w:val="22"/>
        </w:rPr>
        <w:t xml:space="preserve">must be approved </w:t>
      </w:r>
      <w:r w:rsidRPr="003B2326">
        <w:rPr>
          <w:szCs w:val="22"/>
        </w:rPr>
        <w:t xml:space="preserve">by the Office of </w:t>
      </w:r>
      <w:r w:rsidRPr="003B2326">
        <w:rPr>
          <w:szCs w:val="22"/>
        </w:rPr>
        <w:t>Management and Budget (OMB) under the Paperwork Reduction Act</w:t>
      </w:r>
      <w:r>
        <w:rPr>
          <w:szCs w:val="22"/>
        </w:rPr>
        <w:t xml:space="preserve"> (PRA).</w:t>
      </w:r>
      <w:r>
        <w:rPr>
          <w:rStyle w:val="FootnoteReference"/>
          <w:szCs w:val="22"/>
        </w:rPr>
        <w:footnoteReference w:id="10"/>
      </w:r>
      <w:r>
        <w:rPr>
          <w:szCs w:val="22"/>
        </w:rPr>
        <w:t xml:space="preserve">  Rules containing information collection requirements subject to OMB approval will </w:t>
      </w:r>
      <w:r w:rsidRPr="003B2326">
        <w:rPr>
          <w:szCs w:val="22"/>
        </w:rPr>
        <w:t xml:space="preserve">become effective after the </w:t>
      </w:r>
      <w:r>
        <w:rPr>
          <w:szCs w:val="22"/>
        </w:rPr>
        <w:t xml:space="preserve">Bureau </w:t>
      </w:r>
      <w:r w:rsidRPr="003B2326">
        <w:rPr>
          <w:szCs w:val="22"/>
        </w:rPr>
        <w:t xml:space="preserve">publishes a notice in the </w:t>
      </w:r>
      <w:r w:rsidRPr="002D5C70">
        <w:rPr>
          <w:i/>
          <w:szCs w:val="22"/>
        </w:rPr>
        <w:t>Federal Register</w:t>
      </w:r>
      <w:r w:rsidRPr="003B2326">
        <w:rPr>
          <w:szCs w:val="22"/>
        </w:rPr>
        <w:t xml:space="preserve"> announcing </w:t>
      </w:r>
      <w:r>
        <w:rPr>
          <w:szCs w:val="22"/>
        </w:rPr>
        <w:t xml:space="preserve">OMB </w:t>
      </w:r>
      <w:r w:rsidRPr="003B2326">
        <w:rPr>
          <w:szCs w:val="22"/>
        </w:rPr>
        <w:t>approval and the relevant effective date.</w:t>
      </w:r>
      <w:r>
        <w:rPr>
          <w:rStyle w:val="FootnoteReference"/>
          <w:szCs w:val="22"/>
        </w:rPr>
        <w:footnoteReference w:id="11"/>
      </w:r>
    </w:p>
    <w:p w:rsidR="006E286A" w:rsidP="006E286A">
      <w:pPr>
        <w:ind w:firstLine="720"/>
        <w:rPr>
          <w:i/>
          <w:szCs w:val="22"/>
        </w:rPr>
      </w:pPr>
    </w:p>
    <w:p w:rsidR="006E286A" w:rsidRPr="00C11AE4" w:rsidP="006E286A">
      <w:pPr>
        <w:pStyle w:val="Paranum0"/>
        <w:numPr>
          <w:ilvl w:val="0"/>
          <w:numId w:val="0"/>
        </w:numPr>
        <w:ind w:firstLine="720"/>
        <w:jc w:val="left"/>
        <w:rPr>
          <w:szCs w:val="22"/>
        </w:rPr>
      </w:pPr>
      <w:r w:rsidRPr="00C11AE4">
        <w:rPr>
          <w:szCs w:val="22"/>
        </w:rPr>
        <w:t>For further information regarding this proceeding, contact J</w:t>
      </w:r>
      <w:r>
        <w:rPr>
          <w:szCs w:val="22"/>
        </w:rPr>
        <w:t xml:space="preserve">ohn Evanoff, Deputy Division Chief, Policy and Licensing Division, Public Safety and Homeland Security Bureau, </w:t>
      </w:r>
      <w:hyperlink r:id="rId5" w:history="1">
        <w:r w:rsidRPr="00227FC1">
          <w:rPr>
            <w:rStyle w:val="Hyperlink"/>
            <w:szCs w:val="22"/>
          </w:rPr>
          <w:t>John.Evanoff@fcc.gov</w:t>
        </w:r>
      </w:hyperlink>
      <w:r>
        <w:rPr>
          <w:szCs w:val="22"/>
        </w:rPr>
        <w:t>, at (</w:t>
      </w:r>
      <w:r w:rsidRPr="00C11AE4">
        <w:rPr>
          <w:szCs w:val="22"/>
        </w:rPr>
        <w:t>202</w:t>
      </w:r>
      <w:r>
        <w:rPr>
          <w:szCs w:val="22"/>
        </w:rPr>
        <w:t xml:space="preserve">) </w:t>
      </w:r>
      <w:r w:rsidRPr="00C11AE4">
        <w:rPr>
          <w:szCs w:val="22"/>
        </w:rPr>
        <w:t>418-</w:t>
      </w:r>
      <w:r>
        <w:rPr>
          <w:szCs w:val="22"/>
        </w:rPr>
        <w:t>0848</w:t>
      </w:r>
      <w:r w:rsidRPr="00C11AE4">
        <w:rPr>
          <w:szCs w:val="22"/>
        </w:rPr>
        <w:t>.</w:t>
      </w:r>
    </w:p>
    <w:p w:rsidR="006E286A" w:rsidP="006E286A">
      <w:pPr>
        <w:ind w:left="540"/>
        <w:jc w:val="center"/>
        <w:rPr>
          <w:sz w:val="20"/>
        </w:rPr>
      </w:pPr>
    </w:p>
    <w:p w:rsidR="006E286A" w:rsidP="006E286A">
      <w:pPr>
        <w:ind w:left="540"/>
        <w:jc w:val="center"/>
        <w:rPr>
          <w:sz w:val="20"/>
        </w:rPr>
      </w:pPr>
    </w:p>
    <w:p w:rsidR="006E286A" w:rsidRPr="00C11AE4" w:rsidP="006E286A">
      <w:pPr>
        <w:tabs>
          <w:tab w:val="left" w:pos="4320"/>
        </w:tabs>
        <w:jc w:val="center"/>
        <w:rPr>
          <w:sz w:val="20"/>
        </w:rPr>
      </w:pPr>
      <w:r w:rsidRPr="00C11AE4">
        <w:rPr>
          <w:sz w:val="20"/>
        </w:rPr>
        <w:t>--FCC--</w:t>
      </w:r>
    </w:p>
    <w:p w:rsidR="00F96F63" w:rsidRPr="00930ECF" w:rsidP="00F96F63">
      <w:pPr>
        <w:rPr>
          <w:sz w:val="24"/>
        </w:rPr>
      </w:pPr>
    </w:p>
    <w:bookmarkEnd w:id="0"/>
    <w:p w:rsidR="00F96F63" w:rsidP="00F96F63">
      <w:pPr>
        <w:rPr>
          <w:sz w:val="24"/>
        </w:rPr>
      </w:pPr>
    </w:p>
    <w:p w:rsidR="00930ECF" w:rsidRPr="00930ECF" w:rsidP="00F96F63">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E286A">
      <w:r>
        <w:separator/>
      </w:r>
    </w:p>
  </w:footnote>
  <w:footnote w:type="continuationSeparator" w:id="1">
    <w:p w:rsidR="006E286A">
      <w:pPr>
        <w:rPr>
          <w:sz w:val="20"/>
        </w:rPr>
      </w:pPr>
      <w:r>
        <w:rPr>
          <w:sz w:val="20"/>
        </w:rPr>
        <w:t xml:space="preserve">(Continued from previous page)  </w:t>
      </w:r>
      <w:r>
        <w:rPr>
          <w:sz w:val="20"/>
        </w:rPr>
        <w:separator/>
      </w:r>
    </w:p>
  </w:footnote>
  <w:footnote w:type="continuationNotice" w:id="2">
    <w:p w:rsidR="006E286A" w:rsidP="00910F12">
      <w:pPr>
        <w:jc w:val="right"/>
        <w:rPr>
          <w:sz w:val="20"/>
        </w:rPr>
      </w:pPr>
      <w:r>
        <w:rPr>
          <w:sz w:val="20"/>
        </w:rPr>
        <w:t>(continued….)</w:t>
      </w:r>
    </w:p>
  </w:footnote>
  <w:footnote w:id="3">
    <w:p w:rsidR="006E286A" w:rsidRPr="00C14E4D" w:rsidP="006E286A">
      <w:pPr>
        <w:pStyle w:val="FootnoteText"/>
      </w:pPr>
      <w:r w:rsidRPr="00C14E4D">
        <w:rPr>
          <w:rStyle w:val="FootnoteReference"/>
        </w:rPr>
        <w:footnoteRef/>
      </w:r>
      <w:r w:rsidRPr="00C14E4D">
        <w:t xml:space="preserve"> Kari’s Law Act of 2017, Pub. L. No. 115-127, 132 Stat. 326 (2018) (codified at 47 U.S.C. §</w:t>
      </w:r>
      <w:r>
        <w:t> </w:t>
      </w:r>
      <w:r w:rsidRPr="00C14E4D">
        <w:t>623) (Kari’s Law</w:t>
      </w:r>
      <w:r>
        <w:t>).</w:t>
      </w:r>
    </w:p>
  </w:footnote>
  <w:footnote w:id="4">
    <w:p w:rsidR="006E286A" w:rsidRPr="00C14E4D" w:rsidP="006E286A">
      <w:pPr>
        <w:pStyle w:val="FootnoteText"/>
      </w:pPr>
      <w:r w:rsidRPr="00C14E4D">
        <w:rPr>
          <w:rStyle w:val="FootnoteReference"/>
        </w:rPr>
        <w:footnoteRef/>
      </w:r>
      <w:r w:rsidRPr="00C14E4D">
        <w:t xml:space="preserve"> Section 506 of the Repack Airwaves Yielding Better Access for Users of Modern Services Act of 2018 (RAY BAUM’S Act), Pub. L. No. 115-141, 132 Stat. 348, 1095 (codified at 47 U.S.C. §</w:t>
      </w:r>
      <w:r>
        <w:t> </w:t>
      </w:r>
      <w:r w:rsidRPr="00C14E4D">
        <w:t>615 note).</w:t>
      </w:r>
    </w:p>
  </w:footnote>
  <w:footnote w:id="5">
    <w:p w:rsidR="006E286A" w:rsidP="006E286A">
      <w:pPr>
        <w:pStyle w:val="FootnoteText"/>
      </w:pPr>
      <w:r>
        <w:rPr>
          <w:rStyle w:val="FootnoteReference"/>
        </w:rPr>
        <w:footnoteRef/>
      </w:r>
      <w:r>
        <w:t xml:space="preserve"> </w:t>
      </w:r>
      <w:bookmarkStart w:id="2" w:name="_Hlk26191362"/>
      <w:r w:rsidRPr="00BC4749">
        <w:rPr>
          <w:i/>
        </w:rPr>
        <w:t>Implementing Kari’s Law and Section 506 of RAY BAUM’S Act; Inquiry Concerning 911 Access, Routing, and Location in Enterprise Communications Systems; Amending the Definition of Interconnected VoIP Service in Section 9.3 of the Commission’s Rules</w:t>
      </w:r>
      <w:r w:rsidRPr="00BC4749">
        <w:t xml:space="preserve">, PS Docket Nos. 18-261 and 17-239, GN Docket No. 11-117, Report and Order, </w:t>
      </w:r>
      <w:r>
        <w:t xml:space="preserve">34 FCC </w:t>
      </w:r>
      <w:r>
        <w:t>Rcd</w:t>
      </w:r>
      <w:r>
        <w:t xml:space="preserve"> 6607 </w:t>
      </w:r>
      <w:r w:rsidRPr="00BC4749">
        <w:t>(2019)</w:t>
      </w:r>
      <w:r>
        <w:t xml:space="preserve"> (</w:t>
      </w:r>
      <w:r w:rsidRPr="00157DFA">
        <w:rPr>
          <w:i/>
        </w:rPr>
        <w:t>Report and Order</w:t>
      </w:r>
      <w:r>
        <w:t xml:space="preserve">), corrected by </w:t>
      </w:r>
      <w:r w:rsidRPr="00BC4749">
        <w:rPr>
          <w:i/>
        </w:rPr>
        <w:t>Implementing Kari’s Law and Section 506 of RAY BAUM’S Act; Inquiry Concerning 911 Access, Routing, and Location in Enterprise Communications Systems; Amending the Definition of Interconnected VoIP Service in Section 9.3 of the Commission’s Rules</w:t>
      </w:r>
      <w:r w:rsidRPr="00BC4749">
        <w:t xml:space="preserve">, PS Docket Nos. 18-261 and 17-239, GN Docket No. 11-117, </w:t>
      </w:r>
      <w:r>
        <w:rPr>
          <w:szCs w:val="22"/>
        </w:rPr>
        <w:t>Erratum, DA 19-1217 (PSHSB Dec. 2, 2019) (</w:t>
      </w:r>
      <w:r w:rsidRPr="00062C82">
        <w:rPr>
          <w:i/>
          <w:szCs w:val="22"/>
        </w:rPr>
        <w:t>Erratum</w:t>
      </w:r>
      <w:r>
        <w:rPr>
          <w:szCs w:val="22"/>
        </w:rPr>
        <w:t>)</w:t>
      </w:r>
      <w:r w:rsidRPr="00BC4749">
        <w:t>.</w:t>
      </w:r>
      <w:bookmarkEnd w:id="2"/>
    </w:p>
  </w:footnote>
  <w:footnote w:id="6">
    <w:p w:rsidR="006E286A" w:rsidP="006E286A">
      <w:pPr>
        <w:pStyle w:val="FootnoteText"/>
      </w:pPr>
      <w:r>
        <w:rPr>
          <w:rStyle w:val="FootnoteReference"/>
        </w:rPr>
        <w:footnoteRef/>
      </w:r>
      <w:r>
        <w:t xml:space="preserve"> </w:t>
      </w:r>
      <w:r w:rsidRPr="00237B7D">
        <w:rPr>
          <w:i/>
        </w:rPr>
        <w:t xml:space="preserve">See </w:t>
      </w:r>
      <w:r w:rsidRPr="00AA7353">
        <w:rPr>
          <w:i/>
        </w:rPr>
        <w:t>Report and Order</w:t>
      </w:r>
      <w:r>
        <w:t xml:space="preserve">, 34 FCC </w:t>
      </w:r>
      <w:r>
        <w:t>Rcd</w:t>
      </w:r>
      <w:r>
        <w:t xml:space="preserve"> at</w:t>
      </w:r>
      <w:r w:rsidRPr="008D1A12">
        <w:rPr>
          <w:i/>
        </w:rPr>
        <w:t xml:space="preserve"> </w:t>
      </w:r>
      <w:r>
        <w:t>6612-55, paras. 14-136</w:t>
      </w:r>
      <w:r w:rsidRPr="00BC4749">
        <w:t>.</w:t>
      </w:r>
    </w:p>
  </w:footnote>
  <w:footnote w:id="7">
    <w:p w:rsidR="006E286A" w:rsidP="006E286A">
      <w:pPr>
        <w:pStyle w:val="FootnoteText"/>
      </w:pPr>
      <w:r>
        <w:rPr>
          <w:rStyle w:val="FootnoteReference"/>
        </w:rPr>
        <w:footnoteRef/>
      </w:r>
      <w:r>
        <w:t xml:space="preserve"> </w:t>
      </w:r>
      <w:r w:rsidRPr="00237B7D">
        <w:rPr>
          <w:i/>
        </w:rPr>
        <w:t>See i</w:t>
      </w:r>
      <w:r w:rsidRPr="00F37F40">
        <w:rPr>
          <w:i/>
        </w:rPr>
        <w:t>d</w:t>
      </w:r>
      <w:r>
        <w:t xml:space="preserve">. at 6655-98, paras. 137-232. </w:t>
      </w:r>
    </w:p>
  </w:footnote>
  <w:footnote w:id="8">
    <w:p w:rsidR="006E286A" w:rsidP="006E286A">
      <w:pPr>
        <w:pStyle w:val="FootnoteText"/>
      </w:pPr>
      <w:r>
        <w:rPr>
          <w:rStyle w:val="FootnoteReference"/>
        </w:rPr>
        <w:footnoteRef/>
      </w:r>
      <w:r>
        <w:t xml:space="preserve"> </w:t>
      </w:r>
      <w:r w:rsidRPr="00237B7D">
        <w:rPr>
          <w:i/>
        </w:rPr>
        <w:t>See i</w:t>
      </w:r>
      <w:r w:rsidRPr="00F37F40">
        <w:rPr>
          <w:i/>
        </w:rPr>
        <w:t>d</w:t>
      </w:r>
      <w:r>
        <w:t>. at 6698-6702, paras. 233-40.</w:t>
      </w:r>
    </w:p>
  </w:footnote>
  <w:footnote w:id="9">
    <w:p w:rsidR="006E286A" w:rsidRPr="00FF435F" w:rsidP="006E286A">
      <w:pPr>
        <w:pStyle w:val="FootnoteText"/>
        <w:tabs>
          <w:tab w:val="left" w:pos="0"/>
        </w:tabs>
        <w:ind w:right="450"/>
      </w:pPr>
      <w:r w:rsidRPr="00691D5D">
        <w:rPr>
          <w:rStyle w:val="FootnoteReference"/>
        </w:rPr>
        <w:footnoteRef/>
      </w:r>
      <w:r>
        <w:t xml:space="preserve"> </w:t>
      </w:r>
      <w:r w:rsidRPr="00691D5D">
        <w:t xml:space="preserve">84 Fed. Reg. </w:t>
      </w:r>
      <w:r>
        <w:t>66716</w:t>
      </w:r>
      <w:r w:rsidRPr="00691D5D">
        <w:t xml:space="preserve"> (</w:t>
      </w:r>
      <w:r>
        <w:t xml:space="preserve">Dec. 5, </w:t>
      </w:r>
      <w:r w:rsidRPr="00691D5D">
        <w:t>201</w:t>
      </w:r>
      <w:r>
        <w:t>9</w:t>
      </w:r>
      <w:r w:rsidRPr="00691D5D">
        <w:t>)</w:t>
      </w:r>
      <w:r>
        <w:t>.</w:t>
      </w:r>
    </w:p>
  </w:footnote>
  <w:footnote w:id="10">
    <w:p w:rsidR="006E286A" w:rsidP="006E286A">
      <w:pPr>
        <w:pStyle w:val="FootnoteText"/>
      </w:pPr>
      <w:r>
        <w:rPr>
          <w:rStyle w:val="FootnoteReference"/>
        </w:rPr>
        <w:footnoteRef/>
      </w:r>
      <w:r>
        <w:t xml:space="preserve"> </w:t>
      </w:r>
      <w:bookmarkStart w:id="3" w:name="_Hlk26192214"/>
      <w:r>
        <w:rPr>
          <w:szCs w:val="22"/>
        </w:rPr>
        <w:t xml:space="preserve">The Commission in the </w:t>
      </w:r>
      <w:r w:rsidRPr="00237B5F">
        <w:rPr>
          <w:i/>
          <w:szCs w:val="22"/>
        </w:rPr>
        <w:t xml:space="preserve">Report and Order </w:t>
      </w:r>
      <w:r>
        <w:rPr>
          <w:szCs w:val="22"/>
        </w:rPr>
        <w:t>noted that the r</w:t>
      </w:r>
      <w:r w:rsidRPr="00237B5F">
        <w:rPr>
          <w:szCs w:val="22"/>
        </w:rPr>
        <w:t xml:space="preserve">equirements in </w:t>
      </w:r>
      <w:r w:rsidRPr="00AF5BCE">
        <w:rPr>
          <w:rFonts w:ascii="TimesNewRomanPSMT" w:hAnsi="TimesNewRomanPSMT" w:cs="TimesNewRomanPSMT"/>
          <w:szCs w:val="22"/>
        </w:rPr>
        <w:t xml:space="preserve">Sections </w:t>
      </w:r>
      <w:r w:rsidRPr="000F2F5F">
        <w:rPr>
          <w:szCs w:val="22"/>
        </w:rPr>
        <w:t>9.8</w:t>
      </w:r>
      <w:r>
        <w:rPr>
          <w:szCs w:val="22"/>
        </w:rPr>
        <w:t>(a)</w:t>
      </w:r>
      <w:r w:rsidRPr="000F2F5F">
        <w:rPr>
          <w:szCs w:val="22"/>
        </w:rPr>
        <w:t xml:space="preserve">; </w:t>
      </w:r>
      <w:r w:rsidRPr="000F2F5F">
        <w:t>9.10(q)(10)(v); 9.11(b)(2)(ii)</w:t>
      </w:r>
      <w:r>
        <w:t>, (</w:t>
      </w:r>
      <w:r w:rsidRPr="000F2F5F">
        <w:t xml:space="preserve">iv); 9.11(b)(4); </w:t>
      </w:r>
      <w:r w:rsidRPr="000F2F5F">
        <w:rPr>
          <w:szCs w:val="22"/>
        </w:rPr>
        <w:t>9.11(b)(5)</w:t>
      </w:r>
      <w:r>
        <w:rPr>
          <w:szCs w:val="22"/>
        </w:rPr>
        <w:t xml:space="preserve">(ii), </w:t>
      </w:r>
      <w:r w:rsidRPr="000F2F5F">
        <w:rPr>
          <w:szCs w:val="22"/>
        </w:rPr>
        <w:t>(i</w:t>
      </w:r>
      <w:r>
        <w:rPr>
          <w:szCs w:val="22"/>
        </w:rPr>
        <w:t>ii</w:t>
      </w:r>
      <w:r w:rsidRPr="000F2F5F">
        <w:rPr>
          <w:szCs w:val="22"/>
        </w:rPr>
        <w:t xml:space="preserve">); </w:t>
      </w:r>
      <w:r w:rsidRPr="000F2F5F">
        <w:t>9.14(d)(2)</w:t>
      </w:r>
      <w:r>
        <w:t xml:space="preserve">(ii), </w:t>
      </w:r>
      <w:r w:rsidRPr="000F2F5F">
        <w:t>(iii)</w:t>
      </w:r>
      <w:r>
        <w:t xml:space="preserve">, and </w:t>
      </w:r>
      <w:r w:rsidRPr="000F2F5F">
        <w:t>(v); 9.14(d)(4); 9.14(e)(2)(ii)</w:t>
      </w:r>
      <w:r>
        <w:t xml:space="preserve">, </w:t>
      </w:r>
      <w:r w:rsidRPr="000F2F5F">
        <w:t>(iv); 9.14(e)(4)</w:t>
      </w:r>
      <w:r>
        <w:t>;</w:t>
      </w:r>
      <w:r w:rsidRPr="007F5660">
        <w:rPr>
          <w:szCs w:val="22"/>
        </w:rPr>
        <w:t xml:space="preserve"> </w:t>
      </w:r>
      <w:r>
        <w:rPr>
          <w:szCs w:val="22"/>
        </w:rPr>
        <w:t>and 9.16(b)(3</w:t>
      </w:r>
      <w:r w:rsidRPr="009E73C4">
        <w:rPr>
          <w:szCs w:val="22"/>
        </w:rPr>
        <w:t>)(i)</w:t>
      </w:r>
      <w:r>
        <w:rPr>
          <w:szCs w:val="22"/>
        </w:rPr>
        <w:t>,</w:t>
      </w:r>
      <w:r w:rsidRPr="009E73C4">
        <w:rPr>
          <w:szCs w:val="22"/>
        </w:rPr>
        <w:t xml:space="preserve"> (ii)</w:t>
      </w:r>
      <w:r>
        <w:rPr>
          <w:szCs w:val="22"/>
        </w:rPr>
        <w:t>,</w:t>
      </w:r>
      <w:r w:rsidRPr="009E73C4">
        <w:rPr>
          <w:szCs w:val="22"/>
        </w:rPr>
        <w:t xml:space="preserve"> and (iii)</w:t>
      </w:r>
      <w:r>
        <w:rPr>
          <w:szCs w:val="22"/>
        </w:rPr>
        <w:t xml:space="preserve"> contain new or modified information collections that require review by OMB under the PRA. </w:t>
      </w:r>
      <w:bookmarkEnd w:id="3"/>
      <w:r>
        <w:rPr>
          <w:szCs w:val="22"/>
        </w:rPr>
        <w:t xml:space="preserve"> </w:t>
      </w:r>
      <w:r w:rsidRPr="00F37F40">
        <w:rPr>
          <w:i/>
          <w:szCs w:val="22"/>
        </w:rPr>
        <w:t xml:space="preserve">See </w:t>
      </w:r>
      <w:r w:rsidRPr="00237B5F">
        <w:rPr>
          <w:i/>
        </w:rPr>
        <w:t>Report and Order</w:t>
      </w:r>
      <w:r>
        <w:t xml:space="preserve">, 34 FCC </w:t>
      </w:r>
      <w:r>
        <w:t>Rcd</w:t>
      </w:r>
      <w:r>
        <w:t xml:space="preserve"> at 6703, para. 246</w:t>
      </w:r>
      <w:r w:rsidRPr="00B06EBE">
        <w:rPr>
          <w:szCs w:val="22"/>
        </w:rPr>
        <w:t>;</w:t>
      </w:r>
      <w:r w:rsidRPr="00F37F40">
        <w:rPr>
          <w:i/>
          <w:szCs w:val="22"/>
        </w:rPr>
        <w:t xml:space="preserve"> see also</w:t>
      </w:r>
      <w:r>
        <w:rPr>
          <w:szCs w:val="22"/>
        </w:rPr>
        <w:t xml:space="preserve"> </w:t>
      </w:r>
      <w:r w:rsidRPr="00324F0E">
        <w:rPr>
          <w:i/>
          <w:szCs w:val="22"/>
        </w:rPr>
        <w:t>Erratum</w:t>
      </w:r>
      <w:r>
        <w:rPr>
          <w:szCs w:val="22"/>
        </w:rPr>
        <w:t>.</w:t>
      </w:r>
      <w:r>
        <w:t xml:space="preserve"> </w:t>
      </w:r>
    </w:p>
  </w:footnote>
  <w:footnote w:id="11">
    <w:p w:rsidR="006E286A" w:rsidP="006E286A">
      <w:pPr>
        <w:pStyle w:val="FootnoteText"/>
      </w:pPr>
      <w:r>
        <w:rPr>
          <w:rStyle w:val="FootnoteReference"/>
        </w:rPr>
        <w:footnoteRef/>
      </w:r>
      <w:r>
        <w:t xml:space="preserve"> </w:t>
      </w:r>
      <w:r w:rsidRPr="007569B4">
        <w:rPr>
          <w:i/>
          <w:szCs w:val="22"/>
        </w:rPr>
        <w:t xml:space="preserve">See </w:t>
      </w:r>
      <w:r w:rsidRPr="00237B5F">
        <w:rPr>
          <w:i/>
        </w:rPr>
        <w:t>Report and Order</w:t>
      </w:r>
      <w:r>
        <w:t xml:space="preserve">, 34 FCC </w:t>
      </w:r>
      <w:r>
        <w:t>Rcd</w:t>
      </w:r>
      <w:r>
        <w:t xml:space="preserve"> at 6703, para. 246.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6E286A">
      <w:rPr>
        <w:b/>
      </w:rPr>
      <w:t>DA 19-1236</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844.8pt,56.7pt" to="1312.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86A"/>
    <w:rsid w:val="000072CE"/>
    <w:rsid w:val="00013A8B"/>
    <w:rsid w:val="00021445"/>
    <w:rsid w:val="00036039"/>
    <w:rsid w:val="00037F90"/>
    <w:rsid w:val="00062C82"/>
    <w:rsid w:val="000875BF"/>
    <w:rsid w:val="00096D8C"/>
    <w:rsid w:val="000C0B65"/>
    <w:rsid w:val="000E3D42"/>
    <w:rsid w:val="000E5884"/>
    <w:rsid w:val="000F2F5F"/>
    <w:rsid w:val="00122BD5"/>
    <w:rsid w:val="00157DFA"/>
    <w:rsid w:val="001979D9"/>
    <w:rsid w:val="001D6BCF"/>
    <w:rsid w:val="001E01CA"/>
    <w:rsid w:val="002060D9"/>
    <w:rsid w:val="002111B2"/>
    <w:rsid w:val="00226822"/>
    <w:rsid w:val="00227FC1"/>
    <w:rsid w:val="00237B5F"/>
    <w:rsid w:val="00237B7D"/>
    <w:rsid w:val="00260594"/>
    <w:rsid w:val="00285017"/>
    <w:rsid w:val="002A2D2E"/>
    <w:rsid w:val="002D5C70"/>
    <w:rsid w:val="00324F0E"/>
    <w:rsid w:val="0033066F"/>
    <w:rsid w:val="00343749"/>
    <w:rsid w:val="00357D50"/>
    <w:rsid w:val="003925DC"/>
    <w:rsid w:val="003B0550"/>
    <w:rsid w:val="003B2326"/>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607BA5"/>
    <w:rsid w:val="00626EB6"/>
    <w:rsid w:val="006353A3"/>
    <w:rsid w:val="00655D03"/>
    <w:rsid w:val="00683F84"/>
    <w:rsid w:val="00691D5D"/>
    <w:rsid w:val="006A6A81"/>
    <w:rsid w:val="006E26AF"/>
    <w:rsid w:val="006E286A"/>
    <w:rsid w:val="006F7393"/>
    <w:rsid w:val="0070224F"/>
    <w:rsid w:val="007115F7"/>
    <w:rsid w:val="007569B4"/>
    <w:rsid w:val="00785689"/>
    <w:rsid w:val="0079754B"/>
    <w:rsid w:val="007A1E6D"/>
    <w:rsid w:val="007F5660"/>
    <w:rsid w:val="00822CE0"/>
    <w:rsid w:val="00837C62"/>
    <w:rsid w:val="00841AB1"/>
    <w:rsid w:val="008964A9"/>
    <w:rsid w:val="008C22FD"/>
    <w:rsid w:val="008D1A12"/>
    <w:rsid w:val="00910F12"/>
    <w:rsid w:val="00926503"/>
    <w:rsid w:val="00930ECF"/>
    <w:rsid w:val="009838BC"/>
    <w:rsid w:val="009E73C4"/>
    <w:rsid w:val="00A45F4F"/>
    <w:rsid w:val="00A600A9"/>
    <w:rsid w:val="00A866AC"/>
    <w:rsid w:val="00AA55B7"/>
    <w:rsid w:val="00AA5B9E"/>
    <w:rsid w:val="00AA7353"/>
    <w:rsid w:val="00AB2407"/>
    <w:rsid w:val="00AB53DF"/>
    <w:rsid w:val="00AF5BCE"/>
    <w:rsid w:val="00B06EBE"/>
    <w:rsid w:val="00B07E5C"/>
    <w:rsid w:val="00B326E3"/>
    <w:rsid w:val="00B811F7"/>
    <w:rsid w:val="00BA5DC6"/>
    <w:rsid w:val="00BA6196"/>
    <w:rsid w:val="00BC4749"/>
    <w:rsid w:val="00BC6D8C"/>
    <w:rsid w:val="00C11AE4"/>
    <w:rsid w:val="00C14E4D"/>
    <w:rsid w:val="00C16AF2"/>
    <w:rsid w:val="00C34006"/>
    <w:rsid w:val="00C426B1"/>
    <w:rsid w:val="00C82B6B"/>
    <w:rsid w:val="00C90D6A"/>
    <w:rsid w:val="00CC72B6"/>
    <w:rsid w:val="00D0218D"/>
    <w:rsid w:val="00D216CD"/>
    <w:rsid w:val="00DA2529"/>
    <w:rsid w:val="00DB130A"/>
    <w:rsid w:val="00DC10A1"/>
    <w:rsid w:val="00DC655F"/>
    <w:rsid w:val="00DD7EBD"/>
    <w:rsid w:val="00DF62B6"/>
    <w:rsid w:val="00E07225"/>
    <w:rsid w:val="00E155B7"/>
    <w:rsid w:val="00E5409F"/>
    <w:rsid w:val="00EC0185"/>
    <w:rsid w:val="00F021FA"/>
    <w:rsid w:val="00F37F40"/>
    <w:rsid w:val="00F57ACA"/>
    <w:rsid w:val="00F62E97"/>
    <w:rsid w:val="00F64209"/>
    <w:rsid w:val="00F93BF5"/>
    <w:rsid w:val="00F96F63"/>
    <w:rsid w:val="00FF435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3BEA7A1-F99D-4B2A-9F8F-6312DD79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86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uiPriority w:val="99"/>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customStyle="1" w:styleId="Paranum0">
    <w:name w:val="Paranum"/>
    <w:basedOn w:val="Normal"/>
    <w:rsid w:val="006E286A"/>
    <w:pPr>
      <w:numPr>
        <w:numId w:val="7"/>
      </w:numPr>
      <w:tabs>
        <w:tab w:val="clear" w:pos="1080"/>
      </w:tabs>
      <w:spacing w:after="220"/>
      <w:jc w:val="both"/>
    </w:pPr>
    <w:rPr>
      <w:snapToGrid/>
      <w:kern w:val="0"/>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uiPriority w:val="99"/>
    <w:locked/>
    <w:rsid w:val="006E2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hn.Evanoff@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