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434C2" w:rsidRPr="00ED4BE3" w:rsidP="00A434C2" w14:paraId="323D4DFA" w14:textId="77777777">
      <w:pPr>
        <w:pStyle w:val="StyleBoldCentered"/>
      </w:pPr>
      <w:r w:rsidRPr="00ED4BE3">
        <w:t>Before the</w:t>
      </w:r>
    </w:p>
    <w:p w:rsidR="00A434C2" w:rsidP="00A434C2" w14:paraId="74E531AE" w14:textId="77777777">
      <w:pPr>
        <w:pStyle w:val="StyleBoldCentered"/>
      </w:pPr>
      <w:r>
        <w:t>Federal Communications Commission</w:t>
      </w:r>
    </w:p>
    <w:p w:rsidR="00A434C2" w:rsidP="00A434C2" w14:paraId="17AFD374" w14:textId="77777777">
      <w:pPr>
        <w:pStyle w:val="StyleBoldCentered"/>
      </w:pPr>
      <w:r>
        <w:t>Washington, D.C. 20554</w:t>
      </w:r>
    </w:p>
    <w:p w:rsidR="00A434C2" w:rsidP="00A434C2" w14:paraId="4F4FCAB4" w14:textId="77777777"/>
    <w:p w:rsidR="00A434C2" w:rsidP="00A434C2" w14:paraId="432032C2" w14:textId="77777777"/>
    <w:tbl>
      <w:tblPr>
        <w:tblW w:w="0" w:type="auto"/>
        <w:tblLayout w:type="fixed"/>
        <w:tblLook w:val="0000"/>
      </w:tblPr>
      <w:tblGrid>
        <w:gridCol w:w="4698"/>
        <w:gridCol w:w="630"/>
        <w:gridCol w:w="4248"/>
      </w:tblGrid>
      <w:tr w14:paraId="4868159E" w14:textId="77777777">
        <w:tblPrEx>
          <w:tblW w:w="0" w:type="auto"/>
          <w:tblLayout w:type="fixed"/>
          <w:tblLook w:val="0000"/>
        </w:tblPrEx>
        <w:tc>
          <w:tcPr>
            <w:tcW w:w="4698" w:type="dxa"/>
          </w:tcPr>
          <w:p w:rsidR="00A434C2" w14:paraId="45480E60" w14:textId="77777777">
            <w:pPr>
              <w:tabs>
                <w:tab w:val="center" w:pos="4680"/>
              </w:tabs>
              <w:suppressAutoHyphens/>
              <w:rPr>
                <w:spacing w:val="-2"/>
              </w:rPr>
            </w:pPr>
            <w:r>
              <w:rPr>
                <w:spacing w:val="-2"/>
              </w:rPr>
              <w:t>In the Matter of</w:t>
            </w:r>
          </w:p>
          <w:p w:rsidR="00A434C2" w14:paraId="785C40CE" w14:textId="77777777">
            <w:pPr>
              <w:tabs>
                <w:tab w:val="center" w:pos="4680"/>
              </w:tabs>
              <w:suppressAutoHyphens/>
              <w:rPr>
                <w:spacing w:val="-2"/>
              </w:rPr>
            </w:pPr>
          </w:p>
          <w:p w:rsidR="00AE1159" w:rsidP="00A434C2" w14:paraId="062F0711" w14:textId="77777777">
            <w:pPr>
              <w:tabs>
                <w:tab w:val="center" w:pos="4680"/>
              </w:tabs>
              <w:suppressAutoHyphens/>
              <w:rPr>
                <w:spacing w:val="-2"/>
              </w:rPr>
            </w:pPr>
            <w:r>
              <w:rPr>
                <w:spacing w:val="-2"/>
              </w:rPr>
              <w:t xml:space="preserve">Establishing the Digital Opportunity Data </w:t>
            </w:r>
            <w:r w:rsidR="00836875">
              <w:rPr>
                <w:spacing w:val="-2"/>
              </w:rPr>
              <w:t>Collection</w:t>
            </w:r>
            <w:r>
              <w:rPr>
                <w:spacing w:val="-2"/>
              </w:rPr>
              <w:t xml:space="preserve"> </w:t>
            </w:r>
          </w:p>
          <w:p w:rsidR="00AE1159" w:rsidP="00A434C2" w14:paraId="552EBDC3" w14:textId="77777777">
            <w:pPr>
              <w:tabs>
                <w:tab w:val="center" w:pos="4680"/>
              </w:tabs>
              <w:suppressAutoHyphens/>
              <w:rPr>
                <w:spacing w:val="-2"/>
              </w:rPr>
            </w:pPr>
          </w:p>
          <w:p w:rsidR="00A434C2" w:rsidRPr="007115F7" w:rsidP="00A434C2" w14:paraId="7D32D095" w14:textId="77777777">
            <w:pPr>
              <w:tabs>
                <w:tab w:val="center" w:pos="4680"/>
              </w:tabs>
              <w:suppressAutoHyphens/>
              <w:rPr>
                <w:spacing w:val="-2"/>
              </w:rPr>
            </w:pPr>
            <w:r>
              <w:rPr>
                <w:spacing w:val="-2"/>
              </w:rPr>
              <w:t xml:space="preserve">Modernizing the FCC Form 477 Data Program </w:t>
            </w:r>
          </w:p>
        </w:tc>
        <w:tc>
          <w:tcPr>
            <w:tcW w:w="630" w:type="dxa"/>
          </w:tcPr>
          <w:p w:rsidR="00A434C2" w14:paraId="2178CFCE" w14:textId="77777777">
            <w:pPr>
              <w:tabs>
                <w:tab w:val="center" w:pos="4680"/>
              </w:tabs>
              <w:suppressAutoHyphens/>
              <w:rPr>
                <w:b/>
                <w:spacing w:val="-2"/>
              </w:rPr>
            </w:pPr>
            <w:r>
              <w:rPr>
                <w:b/>
                <w:spacing w:val="-2"/>
              </w:rPr>
              <w:t>)</w:t>
            </w:r>
          </w:p>
          <w:p w:rsidR="00A434C2" w14:paraId="32C8C610" w14:textId="77777777">
            <w:pPr>
              <w:tabs>
                <w:tab w:val="center" w:pos="4680"/>
              </w:tabs>
              <w:suppressAutoHyphens/>
              <w:rPr>
                <w:b/>
                <w:spacing w:val="-2"/>
              </w:rPr>
            </w:pPr>
            <w:r>
              <w:rPr>
                <w:b/>
                <w:spacing w:val="-2"/>
              </w:rPr>
              <w:t>)</w:t>
            </w:r>
          </w:p>
          <w:p w:rsidR="00A434C2" w14:paraId="5B631E71" w14:textId="77777777">
            <w:pPr>
              <w:tabs>
                <w:tab w:val="center" w:pos="4680"/>
              </w:tabs>
              <w:suppressAutoHyphens/>
              <w:rPr>
                <w:b/>
                <w:spacing w:val="-2"/>
              </w:rPr>
            </w:pPr>
            <w:r>
              <w:rPr>
                <w:b/>
                <w:spacing w:val="-2"/>
              </w:rPr>
              <w:t>)</w:t>
            </w:r>
          </w:p>
          <w:p w:rsidR="00A434C2" w14:paraId="0493AB99" w14:textId="77777777">
            <w:pPr>
              <w:tabs>
                <w:tab w:val="center" w:pos="4680"/>
              </w:tabs>
              <w:suppressAutoHyphens/>
              <w:rPr>
                <w:b/>
                <w:spacing w:val="-2"/>
              </w:rPr>
            </w:pPr>
            <w:r>
              <w:rPr>
                <w:b/>
                <w:spacing w:val="-2"/>
              </w:rPr>
              <w:t>)</w:t>
            </w:r>
          </w:p>
          <w:p w:rsidR="00A434C2" w14:paraId="302AB831" w14:textId="77777777">
            <w:pPr>
              <w:tabs>
                <w:tab w:val="center" w:pos="4680"/>
              </w:tabs>
              <w:suppressAutoHyphens/>
              <w:rPr>
                <w:b/>
                <w:spacing w:val="-2"/>
              </w:rPr>
            </w:pPr>
            <w:r>
              <w:rPr>
                <w:b/>
                <w:spacing w:val="-2"/>
              </w:rPr>
              <w:t>)</w:t>
            </w:r>
          </w:p>
          <w:p w:rsidR="00A434C2" w14:paraId="71E8FEB3" w14:textId="77777777">
            <w:pPr>
              <w:tabs>
                <w:tab w:val="center" w:pos="4680"/>
              </w:tabs>
              <w:suppressAutoHyphens/>
              <w:rPr>
                <w:b/>
                <w:spacing w:val="-2"/>
              </w:rPr>
            </w:pPr>
            <w:r>
              <w:rPr>
                <w:b/>
                <w:spacing w:val="-2"/>
              </w:rPr>
              <w:t>)</w:t>
            </w:r>
          </w:p>
          <w:p w:rsidR="00836875" w14:paraId="127FFD22" w14:textId="77777777">
            <w:pPr>
              <w:tabs>
                <w:tab w:val="center" w:pos="4680"/>
              </w:tabs>
              <w:suppressAutoHyphens/>
              <w:rPr>
                <w:spacing w:val="-2"/>
              </w:rPr>
            </w:pPr>
            <w:r>
              <w:rPr>
                <w:b/>
                <w:spacing w:val="-2"/>
              </w:rPr>
              <w:t>)</w:t>
            </w:r>
          </w:p>
        </w:tc>
        <w:tc>
          <w:tcPr>
            <w:tcW w:w="4248" w:type="dxa"/>
          </w:tcPr>
          <w:p w:rsidR="00A434C2" w14:paraId="531ECE9A" w14:textId="77777777">
            <w:pPr>
              <w:tabs>
                <w:tab w:val="center" w:pos="4680"/>
              </w:tabs>
              <w:suppressAutoHyphens/>
              <w:rPr>
                <w:spacing w:val="-2"/>
              </w:rPr>
            </w:pPr>
          </w:p>
          <w:p w:rsidR="00A434C2" w14:paraId="5FE8CE33" w14:textId="77777777">
            <w:pPr>
              <w:pStyle w:val="TOAHeading"/>
              <w:tabs>
                <w:tab w:val="center" w:pos="4680"/>
                <w:tab w:val="clear" w:pos="9360"/>
              </w:tabs>
              <w:rPr>
                <w:spacing w:val="-2"/>
              </w:rPr>
            </w:pPr>
          </w:p>
          <w:p w:rsidR="00A434C2" w14:paraId="013B55B8" w14:textId="77777777">
            <w:pPr>
              <w:tabs>
                <w:tab w:val="center" w:pos="4680"/>
              </w:tabs>
              <w:suppressAutoHyphens/>
              <w:rPr>
                <w:spacing w:val="-2"/>
              </w:rPr>
            </w:pPr>
            <w:r>
              <w:rPr>
                <w:spacing w:val="-2"/>
              </w:rPr>
              <w:t>WC</w:t>
            </w:r>
            <w:r>
              <w:rPr>
                <w:spacing w:val="-2"/>
              </w:rPr>
              <w:t xml:space="preserve"> Docket No. </w:t>
            </w:r>
            <w:r>
              <w:rPr>
                <w:spacing w:val="-2"/>
              </w:rPr>
              <w:t>19-195</w:t>
            </w:r>
          </w:p>
          <w:p w:rsidR="00836875" w14:paraId="5C54297E" w14:textId="77777777">
            <w:pPr>
              <w:tabs>
                <w:tab w:val="center" w:pos="4680"/>
              </w:tabs>
              <w:suppressAutoHyphens/>
              <w:rPr>
                <w:spacing w:val="-2"/>
              </w:rPr>
            </w:pPr>
          </w:p>
          <w:p w:rsidR="00AE1159" w14:paraId="23C8A2B7" w14:textId="77777777">
            <w:pPr>
              <w:tabs>
                <w:tab w:val="center" w:pos="4680"/>
              </w:tabs>
              <w:suppressAutoHyphens/>
              <w:rPr>
                <w:spacing w:val="-2"/>
              </w:rPr>
            </w:pPr>
          </w:p>
          <w:p w:rsidR="00AE1159" w14:paraId="6317008C" w14:textId="77777777">
            <w:pPr>
              <w:tabs>
                <w:tab w:val="center" w:pos="4680"/>
              </w:tabs>
              <w:suppressAutoHyphens/>
              <w:rPr>
                <w:spacing w:val="-2"/>
              </w:rPr>
            </w:pPr>
            <w:r>
              <w:rPr>
                <w:spacing w:val="-2"/>
              </w:rPr>
              <w:t>WC Docket No. 11-10</w:t>
            </w:r>
          </w:p>
          <w:p w:rsidR="00A434C2" w14:paraId="047CF24D" w14:textId="77777777">
            <w:pPr>
              <w:tabs>
                <w:tab w:val="center" w:pos="4680"/>
              </w:tabs>
              <w:suppressAutoHyphens/>
              <w:rPr>
                <w:spacing w:val="-2"/>
              </w:rPr>
            </w:pPr>
          </w:p>
        </w:tc>
      </w:tr>
    </w:tbl>
    <w:p w:rsidR="00A434C2" w:rsidP="00A434C2" w14:paraId="5C12173A" w14:textId="77777777"/>
    <w:p w:rsidR="00A434C2" w:rsidP="00A434C2" w14:paraId="3D11FB31" w14:textId="00984DD5">
      <w:pPr>
        <w:pStyle w:val="StyleBoldCentered"/>
      </w:pPr>
      <w:r>
        <w:t>ORDER</w:t>
      </w:r>
    </w:p>
    <w:p w:rsidR="00A434C2" w14:paraId="75DE4896" w14:textId="77777777">
      <w:pPr>
        <w:tabs>
          <w:tab w:val="left" w:pos="-720"/>
        </w:tabs>
        <w:suppressAutoHyphens/>
        <w:spacing w:line="227" w:lineRule="auto"/>
        <w:rPr>
          <w:spacing w:val="-2"/>
        </w:rPr>
      </w:pPr>
    </w:p>
    <w:p w:rsidR="00A434C2" w:rsidP="00A434C2" w14:paraId="6B938EC3" w14:textId="08F90D22">
      <w:pPr>
        <w:tabs>
          <w:tab w:val="left" w:pos="720"/>
          <w:tab w:val="right" w:pos="9360"/>
        </w:tabs>
        <w:suppressAutoHyphens/>
        <w:spacing w:line="227" w:lineRule="auto"/>
        <w:rPr>
          <w:spacing w:val="-2"/>
        </w:rPr>
      </w:pPr>
      <w:r>
        <w:rPr>
          <w:b/>
          <w:spacing w:val="-2"/>
        </w:rPr>
        <w:t>Adopted:</w:t>
      </w:r>
      <w:r w:rsidR="003235D3">
        <w:rPr>
          <w:b/>
          <w:spacing w:val="-2"/>
        </w:rPr>
        <w:t xml:space="preserve"> </w:t>
      </w:r>
      <w:r>
        <w:rPr>
          <w:b/>
          <w:spacing w:val="-2"/>
        </w:rPr>
        <w:t xml:space="preserve"> </w:t>
      </w:r>
      <w:r w:rsidR="003235D3">
        <w:rPr>
          <w:b/>
          <w:spacing w:val="-2"/>
        </w:rPr>
        <w:t>December 6, 2019</w:t>
      </w:r>
      <w:r>
        <w:rPr>
          <w:b/>
          <w:spacing w:val="-2"/>
        </w:rPr>
        <w:t xml:space="preserve"> </w:t>
      </w:r>
      <w:r>
        <w:rPr>
          <w:b/>
          <w:spacing w:val="-2"/>
        </w:rPr>
        <w:tab/>
        <w:t xml:space="preserve">Released:  </w:t>
      </w:r>
      <w:r w:rsidR="003235D3">
        <w:rPr>
          <w:b/>
          <w:spacing w:val="-2"/>
        </w:rPr>
        <w:t>December 6, 2019</w:t>
      </w:r>
    </w:p>
    <w:p w:rsidR="00A434C2" w14:paraId="16D8BAD0" w14:textId="77777777"/>
    <w:p w:rsidR="00A434C2" w14:paraId="13838DAA" w14:textId="77777777">
      <w:pPr>
        <w:rPr>
          <w:spacing w:val="-2"/>
        </w:rPr>
      </w:pPr>
      <w:r>
        <w:t xml:space="preserve">By the </w:t>
      </w:r>
      <w:r>
        <w:rPr>
          <w:spacing w:val="-2"/>
        </w:rPr>
        <w:t>Managing Director:</w:t>
      </w:r>
    </w:p>
    <w:p w:rsidR="00A434C2" w14:paraId="38DE6CE7" w14:textId="77777777">
      <w:pPr>
        <w:rPr>
          <w:spacing w:val="-2"/>
        </w:rPr>
      </w:pPr>
    </w:p>
    <w:p w:rsidR="00A434C2" w:rsidP="00A434C2" w14:paraId="4804B1F5" w14:textId="77777777">
      <w:pPr>
        <w:pStyle w:val="Heading1"/>
      </w:pPr>
      <w:r>
        <w:t>Introduction</w:t>
      </w:r>
    </w:p>
    <w:p w:rsidR="00A434C2" w:rsidP="00A434C2" w14:paraId="772BEE40" w14:textId="363FE270">
      <w:pPr>
        <w:pStyle w:val="ParaNum"/>
      </w:pPr>
      <w:r>
        <w:t>In this Order, the Managing Director makes non-substantive revision</w:t>
      </w:r>
      <w:r w:rsidR="006C75ED">
        <w:t>s</w:t>
      </w:r>
      <w:r>
        <w:t xml:space="preserve"> to </w:t>
      </w:r>
      <w:r w:rsidR="00AE1159">
        <w:t xml:space="preserve">parts 1, 20, and 43 </w:t>
      </w:r>
      <w:r>
        <w:t xml:space="preserve">of the </w:t>
      </w:r>
      <w:r w:rsidR="00AE1159">
        <w:t xml:space="preserve">Commission’s rules </w:t>
      </w:r>
      <w:r w:rsidR="006C75ED">
        <w:t xml:space="preserve">by eliminating a redundant and obsolete provision and revising other </w:t>
      </w:r>
      <w:r w:rsidR="006E33C6">
        <w:t xml:space="preserve">related </w:t>
      </w:r>
      <w:r w:rsidR="006C75ED">
        <w:t xml:space="preserve">provisions </w:t>
      </w:r>
      <w:r w:rsidR="006E33C6">
        <w:t xml:space="preserve">of the Commission’s rules </w:t>
      </w:r>
      <w:r w:rsidR="006C75ED">
        <w:t>for consistency</w:t>
      </w:r>
      <w:r w:rsidR="006E33C6">
        <w:t xml:space="preserve">, in conformance with the Commission’s recent </w:t>
      </w:r>
      <w:r w:rsidR="006E33C6">
        <w:rPr>
          <w:i/>
        </w:rPr>
        <w:t xml:space="preserve">Report and Order </w:t>
      </w:r>
      <w:r w:rsidR="006E33C6">
        <w:t>adopted in the above-referenced proceedings</w:t>
      </w:r>
      <w:r>
        <w:t>.</w:t>
      </w:r>
      <w:r>
        <w:rPr>
          <w:rStyle w:val="FootnoteReference"/>
        </w:rPr>
        <w:footnoteReference w:id="3"/>
      </w:r>
      <w:r>
        <w:t xml:space="preserve">  </w:t>
      </w:r>
      <w:r w:rsidR="00D44421">
        <w:t>Both section</w:t>
      </w:r>
      <w:r w:rsidR="00872062">
        <w:t>s</w:t>
      </w:r>
      <w:r w:rsidR="00D44421">
        <w:t xml:space="preserve"> </w:t>
      </w:r>
      <w:r w:rsidR="00872062">
        <w:t xml:space="preserve">1.7002 and </w:t>
      </w:r>
      <w:r w:rsidR="00D44421">
        <w:t xml:space="preserve">43.01(d) </w:t>
      </w:r>
      <w:r w:rsidR="00872062">
        <w:t xml:space="preserve">of the Commission’s rules establish requirements </w:t>
      </w:r>
      <w:r w:rsidR="00315614">
        <w:t xml:space="preserve">regarding </w:t>
      </w:r>
      <w:r w:rsidR="00D44421">
        <w:t>the frequency and content of FCC Form 477 filings.</w:t>
      </w:r>
      <w:r>
        <w:rPr>
          <w:rStyle w:val="FootnoteReference"/>
        </w:rPr>
        <w:footnoteReference w:id="4"/>
      </w:r>
      <w:r w:rsidR="00D44421">
        <w:t xml:space="preserve">  </w:t>
      </w:r>
      <w:r w:rsidR="00983C48">
        <w:t xml:space="preserve">We </w:t>
      </w:r>
      <w:r w:rsidR="006E33C6">
        <w:t>eliminate this potentially confusing redundancy</w:t>
      </w:r>
      <w:r w:rsidR="00983C48">
        <w:t xml:space="preserve"> by </w:t>
      </w:r>
      <w:r w:rsidR="002F63AD">
        <w:t xml:space="preserve">deleting </w:t>
      </w:r>
      <w:r w:rsidR="00983C48">
        <w:t xml:space="preserve">section 43.01(d).  In turn, </w:t>
      </w:r>
      <w:r w:rsidR="002F63AD">
        <w:t xml:space="preserve">the deletion of paragraph (d) </w:t>
      </w:r>
      <w:r w:rsidR="00983C48">
        <w:t xml:space="preserve">of section 43.01 </w:t>
      </w:r>
      <w:r w:rsidR="002F63AD">
        <w:t xml:space="preserve">requires that we amend paragraph (b) of </w:t>
      </w:r>
      <w:r w:rsidR="004A100F">
        <w:t xml:space="preserve">section 43.01, </w:t>
      </w:r>
      <w:r w:rsidR="00FB2F5B">
        <w:t xml:space="preserve">to remove the </w:t>
      </w:r>
      <w:r w:rsidR="00983C48">
        <w:t xml:space="preserve"> cross-reference to </w:t>
      </w:r>
      <w:r w:rsidR="002F63AD">
        <w:t xml:space="preserve">the deleted </w:t>
      </w:r>
      <w:r w:rsidR="00983C48">
        <w:t>paragraph</w:t>
      </w:r>
      <w:r w:rsidR="006E33C6">
        <w:t xml:space="preserve"> (d)</w:t>
      </w:r>
      <w:r w:rsidR="00983C48">
        <w:t>.</w:t>
      </w:r>
      <w:r>
        <w:rPr>
          <w:rStyle w:val="FootnoteReference"/>
        </w:rPr>
        <w:footnoteReference w:id="5"/>
      </w:r>
      <w:r w:rsidR="00983C48">
        <w:t xml:space="preserve">  In addition, </w:t>
      </w:r>
      <w:r w:rsidR="00872062">
        <w:t>section</w:t>
      </w:r>
      <w:r w:rsidR="00983C48">
        <w:t xml:space="preserve"> </w:t>
      </w:r>
      <w:r w:rsidR="008A7E2C">
        <w:t xml:space="preserve">20.15(b)(1) </w:t>
      </w:r>
      <w:r w:rsidR="002F63AD">
        <w:t xml:space="preserve">of the rules contains </w:t>
      </w:r>
      <w:r w:rsidR="00983C48">
        <w:t xml:space="preserve">references </w:t>
      </w:r>
      <w:r w:rsidR="00983649">
        <w:t xml:space="preserve">to </w:t>
      </w:r>
      <w:r w:rsidR="00872062">
        <w:t>section</w:t>
      </w:r>
      <w:r w:rsidR="00983C48">
        <w:t>s 1.7001 and</w:t>
      </w:r>
      <w:r w:rsidR="00872062">
        <w:t xml:space="preserve"> 43.11</w:t>
      </w:r>
      <w:r w:rsidR="00983C48">
        <w:t xml:space="preserve"> that are inconsistent with </w:t>
      </w:r>
      <w:r w:rsidR="00872062">
        <w:t>the Commission</w:t>
      </w:r>
      <w:r w:rsidR="00983C48">
        <w:t>’s</w:t>
      </w:r>
      <w:r w:rsidR="00872062">
        <w:t xml:space="preserve"> recent</w:t>
      </w:r>
      <w:r w:rsidR="00983C48">
        <w:t xml:space="preserve"> </w:t>
      </w:r>
      <w:r w:rsidR="002F63AD">
        <w:t xml:space="preserve">amendment of </w:t>
      </w:r>
      <w:r w:rsidR="00983C48">
        <w:t xml:space="preserve">section 1.7001 and </w:t>
      </w:r>
      <w:r w:rsidR="00721292">
        <w:t xml:space="preserve">its </w:t>
      </w:r>
      <w:r w:rsidR="00983C48">
        <w:t>repeal of section 43.11</w:t>
      </w:r>
      <w:r w:rsidR="00872062">
        <w:t>.</w:t>
      </w:r>
      <w:r>
        <w:rPr>
          <w:rStyle w:val="FootnoteReference"/>
        </w:rPr>
        <w:footnoteReference w:id="6"/>
      </w:r>
      <w:r w:rsidR="00872062">
        <w:t xml:space="preserve">  Accordingly, this Order </w:t>
      </w:r>
      <w:r w:rsidR="002F63AD">
        <w:t xml:space="preserve">deletes </w:t>
      </w:r>
      <w:r w:rsidR="00872062">
        <w:t>section 43.01</w:t>
      </w:r>
      <w:r w:rsidR="002F63AD">
        <w:t>(d)</w:t>
      </w:r>
      <w:r w:rsidR="00F57DAD">
        <w:t>,</w:t>
      </w:r>
      <w:r w:rsidR="00872062">
        <w:t xml:space="preserve"> </w:t>
      </w:r>
      <w:r w:rsidR="00B9661B">
        <w:t xml:space="preserve">revises </w:t>
      </w:r>
      <w:r w:rsidR="006C75ED">
        <w:t xml:space="preserve">sections </w:t>
      </w:r>
      <w:r w:rsidR="00983649">
        <w:t>20.15(b)(1) and 43.01(b)</w:t>
      </w:r>
      <w:r>
        <w:t xml:space="preserve"> for conformity with th</w:t>
      </w:r>
      <w:r w:rsidR="002F63AD">
        <w:t xml:space="preserve">ese rule </w:t>
      </w:r>
      <w:r>
        <w:t>amendments</w:t>
      </w:r>
      <w:r w:rsidR="00F57DAD">
        <w:t>, and corrects an err</w:t>
      </w:r>
      <w:r w:rsidR="002F4C6E">
        <w:t>or</w:t>
      </w:r>
      <w:r w:rsidR="00F57DAD">
        <w:t xml:space="preserve"> in section 1.7001</w:t>
      </w:r>
      <w:r w:rsidR="002439F0">
        <w:t xml:space="preserve"> (a)(2)(iv).</w:t>
      </w:r>
    </w:p>
    <w:p w:rsidR="00A434C2" w:rsidP="00A434C2" w14:paraId="6B5FFCD1" w14:textId="77777777">
      <w:pPr>
        <w:pStyle w:val="ParaNum"/>
      </w:pPr>
      <w:r>
        <w:t xml:space="preserve">Pursuant to section 0.231(b) of the </w:t>
      </w:r>
      <w:r w:rsidR="003C26A4">
        <w:t xml:space="preserve">Commission’s </w:t>
      </w:r>
      <w:r>
        <w:t>rules, the Managing Director “</w:t>
      </w:r>
      <w:r w:rsidRPr="00725DFF">
        <w:t>is delegated authority to make nonsubstantive, editor</w:t>
      </w:r>
      <w:r>
        <w:t>ial revisions of the Commission’</w:t>
      </w:r>
      <w:r w:rsidRPr="00725DFF">
        <w:t>s rules and regulations upon approval of the bureau or staff office primarily responsible for the particular part or section involved.</w:t>
      </w:r>
      <w:r>
        <w:t>”</w:t>
      </w:r>
      <w:r>
        <w:rPr>
          <w:rStyle w:val="FootnoteReference"/>
        </w:rPr>
        <w:footnoteReference w:id="7"/>
      </w:r>
      <w:r>
        <w:t xml:space="preserve">  </w:t>
      </w:r>
      <w:bookmarkStart w:id="0" w:name="_Hlk518917997"/>
      <w:r>
        <w:t xml:space="preserve">The changes effected by this Order are intended only to </w:t>
      </w:r>
      <w:r w:rsidR="003C26A4">
        <w:t>eliminate a redundant and obsolete provision in the Commission’s rules</w:t>
      </w:r>
      <w:r>
        <w:t xml:space="preserve"> and to revise other rules for conformance with this revision</w:t>
      </w:r>
      <w:r w:rsidR="003C26A4">
        <w:t>.  Th</w:t>
      </w:r>
      <w:r>
        <w:t>ese</w:t>
      </w:r>
      <w:r w:rsidR="003C26A4">
        <w:t xml:space="preserve"> change</w:t>
      </w:r>
      <w:r>
        <w:t>s</w:t>
      </w:r>
      <w:r w:rsidR="003C26A4">
        <w:t xml:space="preserve"> </w:t>
      </w:r>
      <w:bookmarkEnd w:id="0"/>
      <w:r>
        <w:t xml:space="preserve">should </w:t>
      </w:r>
      <w:r w:rsidR="003C26A4">
        <w:t xml:space="preserve">not </w:t>
      </w:r>
      <w:r>
        <w:t xml:space="preserve">be construed to change </w:t>
      </w:r>
      <w:r w:rsidR="003C26A4">
        <w:t xml:space="preserve">any </w:t>
      </w:r>
      <w:r>
        <w:t>substantive requirements.</w:t>
      </w:r>
    </w:p>
    <w:p w:rsidR="00A434C2" w:rsidP="00A434C2" w14:paraId="5C72C999" w14:textId="77777777">
      <w:pPr>
        <w:pStyle w:val="ParaNum"/>
      </w:pPr>
      <w:r>
        <w:t xml:space="preserve">This Order has been coordinated with and approved by the chiefs of all Commission Bureaus and Offices primarily responsible for the rules involved. </w:t>
      </w:r>
    </w:p>
    <w:p w:rsidR="00A434C2" w:rsidP="00A434C2" w14:paraId="3AACCD2C" w14:textId="77777777">
      <w:pPr>
        <w:pStyle w:val="Heading1"/>
      </w:pPr>
      <w:r>
        <w:t>Procedural Matters</w:t>
      </w:r>
    </w:p>
    <w:p w:rsidR="00A434C2" w:rsidP="00A434C2" w14:paraId="1247DB9E" w14:textId="77777777">
      <w:pPr>
        <w:pStyle w:val="ParaNum"/>
      </w:pPr>
      <w:r w:rsidRPr="0058747A">
        <w:rPr>
          <w:i/>
        </w:rPr>
        <w:t>Regulatory Flexibility Act.</w:t>
      </w:r>
      <w:r>
        <w:t xml:space="preserve">  </w:t>
      </w:r>
      <w:r w:rsidRPr="0058747A">
        <w:t xml:space="preserve">Because we adopt this Order without notice and comment, the Regulatory Flexibility </w:t>
      </w:r>
      <w:r>
        <w:t>Act (RFA) does not apply.</w:t>
      </w:r>
      <w:r>
        <w:rPr>
          <w:rStyle w:val="FootnoteReference"/>
        </w:rPr>
        <w:footnoteReference w:id="8"/>
      </w:r>
    </w:p>
    <w:p w:rsidR="00A434C2" w:rsidP="00A434C2" w14:paraId="69C0EC93" w14:textId="77777777">
      <w:pPr>
        <w:pStyle w:val="ParaNum"/>
      </w:pPr>
      <w:r>
        <w:rPr>
          <w:i/>
        </w:rPr>
        <w:t>Paperwork Reduction Act.</w:t>
      </w:r>
      <w:r>
        <w:t xml:space="preserve">  </w:t>
      </w:r>
      <w:r w:rsidRPr="0058747A">
        <w:t xml:space="preserve">The Order does not contain new or modified information collection requirements subject to the Paperwork Reduction Act of 1995 (PRA), Public Law 104-13. </w:t>
      </w:r>
      <w:r>
        <w:t xml:space="preserve"> </w:t>
      </w:r>
      <w:r w:rsidRPr="0058747A">
        <w:t>In addition, therefore, it does not contain any new or modified “information collection burden for small business concerns with fewer than 25 employees,” pursuant to the Small Business Paperwork Relief Act of 2002</w:t>
      </w:r>
      <w:r>
        <w:t>.</w:t>
      </w:r>
      <w:r>
        <w:rPr>
          <w:rStyle w:val="FootnoteReference"/>
        </w:rPr>
        <w:footnoteReference w:id="9"/>
      </w:r>
    </w:p>
    <w:p w:rsidR="00A434C2" w:rsidP="00A434C2" w14:paraId="2940BBBD" w14:textId="77777777">
      <w:pPr>
        <w:pStyle w:val="ParaNum"/>
      </w:pPr>
      <w:r>
        <w:rPr>
          <w:i/>
        </w:rPr>
        <w:t>Congressional Review Act.</w:t>
      </w:r>
      <w:r>
        <w:t xml:space="preserve">  Because this Order affects only rules of agency organization, procedure, or practice and does not substantially affect the rights or obligations of non-agency parties, it is not subject to the Congressional Review Act.</w:t>
      </w:r>
      <w:r>
        <w:rPr>
          <w:rStyle w:val="FootnoteReference"/>
        </w:rPr>
        <w:footnoteReference w:id="10"/>
      </w:r>
    </w:p>
    <w:p w:rsidR="00A434C2" w:rsidP="00A434C2" w14:paraId="336F1090" w14:textId="77777777">
      <w:pPr>
        <w:pStyle w:val="Heading1"/>
      </w:pPr>
      <w:r>
        <w:t>Ordering Clauses</w:t>
      </w:r>
    </w:p>
    <w:p w:rsidR="00A434C2" w:rsidP="00A434C2" w14:paraId="46DB220E" w14:textId="77777777">
      <w:pPr>
        <w:pStyle w:val="ParaNum"/>
      </w:pPr>
      <w:r>
        <w:t xml:space="preserve">Accordingly, IT IS ORDERED that, pursuant to the authority contained in sections 4(i), 4(j), and 5 of the Communications Act of 1934, as amended, 47 U.S.C. §§ 154(i), 154(j), 155, and section 0.231(b) of the </w:t>
      </w:r>
      <w:r w:rsidR="0008490A">
        <w:t xml:space="preserve">Commission’s </w:t>
      </w:r>
      <w:r>
        <w:t>rules, 47 CFR § 0.231(b), this Order IS ADOPTED, effective upon publication in the Federal Register.</w:t>
      </w:r>
    </w:p>
    <w:p w:rsidR="00A434C2" w:rsidRPr="00D80EB8" w:rsidP="00A434C2" w14:paraId="5FB64056" w14:textId="77777777">
      <w:pPr>
        <w:pStyle w:val="ParaNum"/>
      </w:pPr>
      <w:r>
        <w:t xml:space="preserve">IT IS FURTHER ORDERED that title 47 of the Code of Federal Regulations IS AMENDED as set forth in the Appendix hereto.  </w:t>
      </w:r>
    </w:p>
    <w:p w:rsidR="00A434C2" w:rsidP="00A434C2" w14:paraId="6DCF077E" w14:textId="77777777">
      <w:pPr>
        <w:pStyle w:val="ParaNum"/>
        <w:numPr>
          <w:ilvl w:val="0"/>
          <w:numId w:val="0"/>
        </w:numPr>
        <w:ind w:firstLine="720"/>
      </w:pPr>
    </w:p>
    <w:p w:rsidR="00A434C2" w:rsidRPr="002A29D2" w:rsidP="00A434C2" w14:paraId="3A5F6E53" w14:textId="77777777">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A434C2" w:rsidP="00A434C2" w14:paraId="7A18423C" w14:textId="77777777">
      <w:pPr>
        <w:pStyle w:val="Heading1"/>
        <w:numPr>
          <w:ilvl w:val="0"/>
          <w:numId w:val="0"/>
        </w:numPr>
        <w:spacing w:after="0"/>
        <w:rPr>
          <w:rFonts w:ascii="Times New Roman" w:hAnsi="Times New Roman"/>
          <w:b w:val="0"/>
          <w:caps w:val="0"/>
          <w:spacing w:val="-2"/>
        </w:rPr>
      </w:pPr>
    </w:p>
    <w:p w:rsidR="00A434C2" w:rsidP="00A434C2" w14:paraId="0FB20112" w14:textId="77777777">
      <w:pPr>
        <w:pStyle w:val="ParaNum"/>
        <w:numPr>
          <w:ilvl w:val="0"/>
          <w:numId w:val="0"/>
        </w:numPr>
        <w:spacing w:after="0"/>
      </w:pPr>
    </w:p>
    <w:p w:rsidR="00A434C2" w:rsidP="00A434C2" w14:paraId="3ADFBA06" w14:textId="77777777">
      <w:pPr>
        <w:pStyle w:val="ParaNum"/>
        <w:numPr>
          <w:ilvl w:val="0"/>
          <w:numId w:val="0"/>
        </w:numPr>
        <w:spacing w:after="0"/>
      </w:pPr>
    </w:p>
    <w:p w:rsidR="00A434C2" w:rsidP="00A434C2" w14:paraId="33F051A5" w14:textId="77777777">
      <w:pPr>
        <w:pStyle w:val="ParaNum"/>
        <w:numPr>
          <w:ilvl w:val="0"/>
          <w:numId w:val="0"/>
        </w:numPr>
        <w:spacing w:after="0"/>
      </w:pPr>
      <w:r>
        <w:tab/>
      </w:r>
      <w:r>
        <w:tab/>
      </w:r>
      <w:r>
        <w:tab/>
      </w:r>
      <w:r>
        <w:tab/>
      </w:r>
      <w:r>
        <w:tab/>
      </w:r>
      <w:r>
        <w:tab/>
        <w:t>Mark Stephens</w:t>
      </w:r>
    </w:p>
    <w:p w:rsidR="00A434C2" w:rsidP="00A434C2" w14:paraId="2578FC23" w14:textId="77777777">
      <w:pPr>
        <w:pStyle w:val="ParaNum"/>
        <w:numPr>
          <w:ilvl w:val="0"/>
          <w:numId w:val="0"/>
        </w:numPr>
        <w:spacing w:after="0"/>
      </w:pPr>
      <w:r>
        <w:tab/>
      </w:r>
      <w:r>
        <w:tab/>
      </w:r>
      <w:r>
        <w:tab/>
      </w:r>
      <w:r>
        <w:tab/>
      </w:r>
      <w:r>
        <w:tab/>
      </w:r>
      <w:r>
        <w:tab/>
        <w:t>Managing Director</w:t>
      </w:r>
    </w:p>
    <w:p w:rsidR="005413A9" w:rsidP="005413A9" w14:paraId="2D6D9259" w14:textId="36B71170">
      <w:pPr>
        <w:pStyle w:val="ParaNum"/>
        <w:numPr>
          <w:ilvl w:val="0"/>
          <w:numId w:val="0"/>
        </w:numPr>
        <w:spacing w:after="0"/>
        <w:ind w:left="4320"/>
      </w:pPr>
    </w:p>
    <w:p w:rsidR="004A100F" w:rsidP="005413A9" w14:paraId="2824CE08" w14:textId="2700C24E">
      <w:pPr>
        <w:pStyle w:val="ParaNum"/>
        <w:numPr>
          <w:ilvl w:val="0"/>
          <w:numId w:val="0"/>
        </w:numPr>
        <w:spacing w:after="0"/>
        <w:ind w:left="4320"/>
      </w:pPr>
    </w:p>
    <w:p w:rsidR="004A100F" w:rsidP="005413A9" w14:paraId="632AE30E" w14:textId="77777777">
      <w:pPr>
        <w:pStyle w:val="ParaNum"/>
        <w:numPr>
          <w:ilvl w:val="0"/>
          <w:numId w:val="0"/>
        </w:numPr>
        <w:spacing w:after="0"/>
        <w:ind w:left="4320"/>
      </w:pPr>
    </w:p>
    <w:p w:rsidR="00A434C2" w:rsidP="005413A9" w14:paraId="5F942CAF" w14:textId="77777777">
      <w:pPr>
        <w:pStyle w:val="ParaNum"/>
        <w:numPr>
          <w:ilvl w:val="0"/>
          <w:numId w:val="0"/>
        </w:numPr>
        <w:spacing w:after="0"/>
        <w:ind w:left="4320"/>
      </w:pPr>
      <w:r>
        <w:t>Approved by:</w:t>
      </w:r>
    </w:p>
    <w:p w:rsidR="005413A9" w:rsidP="005413A9" w14:paraId="528312EF" w14:textId="77777777">
      <w:pPr>
        <w:pStyle w:val="ParaNum"/>
        <w:numPr>
          <w:ilvl w:val="0"/>
          <w:numId w:val="0"/>
        </w:numPr>
        <w:spacing w:after="0"/>
        <w:ind w:left="4320"/>
      </w:pPr>
    </w:p>
    <w:p w:rsidR="005413A9" w:rsidRPr="00FC3595" w:rsidP="005413A9" w14:paraId="097A411B" w14:textId="10B01AD9">
      <w:pPr>
        <w:pStyle w:val="ParaNum"/>
        <w:numPr>
          <w:ilvl w:val="0"/>
          <w:numId w:val="0"/>
        </w:numPr>
        <w:spacing w:after="0"/>
        <w:ind w:left="4320"/>
      </w:pPr>
      <w:r w:rsidRPr="00FC3595">
        <w:t>Donald K. Stockdale</w:t>
      </w:r>
      <w:r w:rsidR="007001F4">
        <w:t>, Jr.</w:t>
      </w:r>
    </w:p>
    <w:p w:rsidR="005413A9" w:rsidRPr="00FC3595" w:rsidP="005413A9" w14:paraId="322059F6" w14:textId="77777777">
      <w:pPr>
        <w:pStyle w:val="ParaNum"/>
        <w:numPr>
          <w:ilvl w:val="0"/>
          <w:numId w:val="0"/>
        </w:numPr>
        <w:spacing w:after="0"/>
        <w:ind w:left="4320"/>
      </w:pPr>
      <w:r w:rsidRPr="00FC3595">
        <w:t>Chief</w:t>
      </w:r>
    </w:p>
    <w:p w:rsidR="005413A9" w:rsidRPr="00FC3595" w:rsidP="005413A9" w14:paraId="1E281234" w14:textId="77777777">
      <w:pPr>
        <w:pStyle w:val="ParaNum"/>
        <w:numPr>
          <w:ilvl w:val="0"/>
          <w:numId w:val="0"/>
        </w:numPr>
        <w:spacing w:after="0"/>
        <w:ind w:left="4320"/>
      </w:pPr>
      <w:r w:rsidRPr="00FC3595">
        <w:t xml:space="preserve">Wireless Telecommunications Bureau </w:t>
      </w:r>
    </w:p>
    <w:p w:rsidR="005413A9" w:rsidRPr="00FC3595" w:rsidP="005413A9" w14:paraId="024F1495" w14:textId="77777777">
      <w:pPr>
        <w:pStyle w:val="ParaNum"/>
        <w:numPr>
          <w:ilvl w:val="0"/>
          <w:numId w:val="0"/>
        </w:numPr>
        <w:spacing w:after="0"/>
        <w:ind w:left="4320"/>
      </w:pPr>
    </w:p>
    <w:p w:rsidR="005413A9" w:rsidRPr="00FC3595" w:rsidP="005413A9" w14:paraId="2ED55ABE" w14:textId="77777777">
      <w:pPr>
        <w:pStyle w:val="ParaNum"/>
        <w:numPr>
          <w:ilvl w:val="0"/>
          <w:numId w:val="0"/>
        </w:numPr>
        <w:spacing w:after="0"/>
        <w:ind w:left="4320"/>
      </w:pPr>
      <w:r w:rsidRPr="00FC3595">
        <w:t>Kris A. Monteith</w:t>
      </w:r>
    </w:p>
    <w:p w:rsidR="005413A9" w:rsidRPr="00FC3595" w:rsidP="005413A9" w14:paraId="4A06F0DC" w14:textId="77777777">
      <w:pPr>
        <w:pStyle w:val="ParaNum"/>
        <w:numPr>
          <w:ilvl w:val="0"/>
          <w:numId w:val="0"/>
        </w:numPr>
        <w:spacing w:after="0"/>
        <w:ind w:left="4320"/>
      </w:pPr>
      <w:r w:rsidRPr="00FC3595">
        <w:t>Chief</w:t>
      </w:r>
    </w:p>
    <w:p w:rsidR="005413A9" w:rsidP="005413A9" w14:paraId="0752FD7E" w14:textId="77777777">
      <w:pPr>
        <w:pStyle w:val="ParaNum"/>
        <w:numPr>
          <w:ilvl w:val="0"/>
          <w:numId w:val="0"/>
        </w:numPr>
        <w:spacing w:after="0"/>
        <w:ind w:left="4320"/>
      </w:pPr>
      <w:r w:rsidRPr="00FC3595">
        <w:t>Wireline Competition Bureau</w:t>
      </w:r>
    </w:p>
    <w:p w:rsidR="00983C48" w:rsidP="005413A9" w14:paraId="15D38EE3" w14:textId="77777777">
      <w:pPr>
        <w:pStyle w:val="ParaNum"/>
        <w:numPr>
          <w:ilvl w:val="0"/>
          <w:numId w:val="0"/>
        </w:numPr>
        <w:spacing w:after="0"/>
        <w:ind w:left="4320"/>
      </w:pPr>
    </w:p>
    <w:p w:rsidR="00983C48" w:rsidP="005413A9" w14:paraId="701D5235" w14:textId="77777777">
      <w:pPr>
        <w:pStyle w:val="ParaNum"/>
        <w:numPr>
          <w:ilvl w:val="0"/>
          <w:numId w:val="0"/>
        </w:numPr>
        <w:spacing w:after="0"/>
        <w:ind w:left="4320"/>
      </w:pPr>
      <w:r>
        <w:t>Giulia McHenry</w:t>
      </w:r>
    </w:p>
    <w:p w:rsidR="00983C48" w:rsidP="005413A9" w14:paraId="2FE7C0DA" w14:textId="77777777">
      <w:pPr>
        <w:pStyle w:val="ParaNum"/>
        <w:numPr>
          <w:ilvl w:val="0"/>
          <w:numId w:val="0"/>
        </w:numPr>
        <w:spacing w:after="0"/>
        <w:ind w:left="4320"/>
      </w:pPr>
      <w:r>
        <w:t>Acting Chief</w:t>
      </w:r>
    </w:p>
    <w:p w:rsidR="00A434C2" w:rsidP="00F57DAD" w14:paraId="68DE3FF0" w14:textId="77777777">
      <w:pPr>
        <w:pStyle w:val="ParaNum"/>
        <w:numPr>
          <w:ilvl w:val="0"/>
          <w:numId w:val="0"/>
        </w:numPr>
        <w:spacing w:after="0"/>
        <w:ind w:left="4320"/>
      </w:pPr>
      <w:r>
        <w:t>Office of Economics and Analytics</w:t>
      </w:r>
    </w:p>
    <w:p w:rsidR="00A434C2" w:rsidP="00A434C2" w14:paraId="3147C4BD" w14:textId="77777777">
      <w:pPr>
        <w:pStyle w:val="ParaNum"/>
        <w:numPr>
          <w:ilvl w:val="0"/>
          <w:numId w:val="0"/>
        </w:numPr>
        <w:ind w:firstLine="720"/>
        <w:sectPr w:rsidSect="00A434C2">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A434C2" w:rsidP="00A434C2" w14:paraId="29534560" w14:textId="77777777">
      <w:pPr>
        <w:pStyle w:val="AppendixHead"/>
        <w:ind w:left="0" w:firstLine="0"/>
        <w:outlineLvl w:val="0"/>
      </w:pPr>
      <w:r>
        <w:t>APPENDIX: Rule Changes</w:t>
      </w:r>
    </w:p>
    <w:p w:rsidR="00A434C2" w:rsidRPr="00D47813" w:rsidP="00A434C2" w14:paraId="7A994EFC" w14:textId="77777777">
      <w:pPr>
        <w:contextualSpacing/>
      </w:pPr>
    </w:p>
    <w:p w:rsidR="00F57DAD" w:rsidP="003C26A4" w14:paraId="667814F4" w14:textId="77777777">
      <w:pPr>
        <w:spacing w:after="240"/>
      </w:pPr>
      <w:r>
        <w:rPr>
          <w:b/>
          <w:bCs/>
        </w:rPr>
        <w:t xml:space="preserve">Part 1 – Practice and Procedure </w:t>
      </w:r>
    </w:p>
    <w:p w:rsidR="00F57DAD" w:rsidRPr="008A7E2C" w:rsidP="00F57DAD" w14:paraId="27C8B4C7" w14:textId="77777777">
      <w:pPr>
        <w:pStyle w:val="ParaNum"/>
        <w:numPr>
          <w:ilvl w:val="0"/>
          <w:numId w:val="14"/>
        </w:numPr>
      </w:pPr>
      <w:r w:rsidRPr="008A7E2C">
        <w:t xml:space="preserve">The authority citation for part </w:t>
      </w:r>
      <w:r>
        <w:t>1</w:t>
      </w:r>
      <w:r w:rsidRPr="008A7E2C">
        <w:t xml:space="preserve"> continues to read as follows:</w:t>
      </w:r>
    </w:p>
    <w:p w:rsidR="00F57DAD" w:rsidP="00F57DAD" w14:paraId="59CBEB7E" w14:textId="7D6BB077">
      <w:pPr>
        <w:pStyle w:val="RuleChange"/>
      </w:pPr>
      <w:r>
        <w:t>AUTHORITY:</w:t>
      </w:r>
      <w:r w:rsidRPr="00F57DAD">
        <w:t xml:space="preserve"> </w:t>
      </w:r>
      <w:r>
        <w:t xml:space="preserve">  47 U.S.C.</w:t>
      </w:r>
      <w:r w:rsidRPr="005F2DFE" w:rsidR="005F2DFE">
        <w:rPr>
          <w:lang w:bidi="he-IL"/>
        </w:rPr>
        <w:t xml:space="preserve"> </w:t>
      </w:r>
      <w:r w:rsidRPr="00EA183E" w:rsidR="005F2DFE">
        <w:rPr>
          <w:lang w:bidi="he-IL"/>
        </w:rPr>
        <w:t>chs</w:t>
      </w:r>
      <w:r w:rsidRPr="00EA183E" w:rsidR="005F2DFE">
        <w:rPr>
          <w:lang w:bidi="he-IL"/>
        </w:rPr>
        <w:t>. 2, 5, 9, 13; 28 U.S.C. 2461 note, unless otherwise noted.</w:t>
      </w:r>
      <w:bookmarkStart w:id="1" w:name="_GoBack"/>
      <w:bookmarkEnd w:id="1"/>
    </w:p>
    <w:p w:rsidR="00F57DAD" w:rsidP="00F57DAD" w14:paraId="7F161943" w14:textId="77777777">
      <w:pPr>
        <w:pStyle w:val="ParaNum"/>
        <w:numPr>
          <w:ilvl w:val="0"/>
          <w:numId w:val="14"/>
        </w:numPr>
      </w:pPr>
      <w:r>
        <w:t xml:space="preserve">Revise section 1.7001(a)(2)(iv) by striking “Wireless service” and inserting in its place “Wireless spectrum”. </w:t>
      </w:r>
    </w:p>
    <w:p w:rsidR="00B9661B" w:rsidP="003C26A4" w14:paraId="0DD40D0A" w14:textId="77777777">
      <w:pPr>
        <w:spacing w:after="240"/>
        <w:rPr>
          <w:b/>
          <w:bCs/>
        </w:rPr>
      </w:pPr>
      <w:r>
        <w:rPr>
          <w:b/>
          <w:bCs/>
        </w:rPr>
        <w:t xml:space="preserve">Part 20 – </w:t>
      </w:r>
      <w:r>
        <w:rPr>
          <w:b/>
          <w:bCs/>
        </w:rPr>
        <w:t>Commercial Mobile Services</w:t>
      </w:r>
    </w:p>
    <w:p w:rsidR="00B9661B" w:rsidRPr="008A7E2C" w:rsidP="008A7E2C" w14:paraId="1B04E91D" w14:textId="77777777">
      <w:pPr>
        <w:pStyle w:val="ParaNum"/>
        <w:numPr>
          <w:ilvl w:val="0"/>
          <w:numId w:val="14"/>
        </w:numPr>
      </w:pPr>
      <w:bookmarkStart w:id="2" w:name="_Hlk20481392"/>
      <w:r w:rsidRPr="008A7E2C">
        <w:t>The authority citation for part 20 continues to read as follows:</w:t>
      </w:r>
    </w:p>
    <w:p w:rsidR="00B9661B" w:rsidP="00B9661B" w14:paraId="266FC505" w14:textId="77777777">
      <w:pPr>
        <w:pStyle w:val="RuleChange"/>
      </w:pPr>
      <w:r>
        <w:t xml:space="preserve">AUTHORITY: </w:t>
      </w:r>
      <w:r w:rsidRPr="008A7E2C" w:rsidR="008A7E2C">
        <w:t xml:space="preserve">47 U.S.C. 151, 152(a) 154(i), 157, 160, 201, 214, 222, 251(e), 301, 302, 303, 303(b), 303(r), 307, 307(a), 309, 309(j)(3), 316, 316(a), 332, 610, 615, 615a, 615b, 615c, </w:t>
      </w:r>
      <w:r>
        <w:t>unless otherwise noted.</w:t>
      </w:r>
    </w:p>
    <w:p w:rsidR="00FD4AC4" w:rsidP="008A7E2C" w14:paraId="28E60F3C" w14:textId="77777777">
      <w:pPr>
        <w:pStyle w:val="ParaNum"/>
        <w:numPr>
          <w:ilvl w:val="0"/>
          <w:numId w:val="14"/>
        </w:numPr>
      </w:pPr>
      <w:r>
        <w:t xml:space="preserve">Revise </w:t>
      </w:r>
      <w:r>
        <w:t xml:space="preserve">section 20.15 by amending the first sentence of </w:t>
      </w:r>
      <w:r>
        <w:t xml:space="preserve">paragraph (b)(1) </w:t>
      </w:r>
      <w:r>
        <w:t>to read as follows:</w:t>
      </w:r>
    </w:p>
    <w:p w:rsidR="00690CAC" w:rsidRPr="008A7E2C" w:rsidP="006C75ED" w14:paraId="1CE3300A" w14:textId="77777777">
      <w:pPr>
        <w:pStyle w:val="ParaNum"/>
        <w:numPr>
          <w:ilvl w:val="0"/>
          <w:numId w:val="0"/>
        </w:numPr>
        <w:ind w:firstLine="720"/>
      </w:pPr>
      <w:r>
        <w:t xml:space="preserve">File with the Commission copies of contracts entered into with other carriers or comply with other reporting requirements, or with </w:t>
      </w:r>
      <w:r w:rsidRPr="006C75ED">
        <w:t>§§ 1.781</w:t>
      </w:r>
      <w:r>
        <w:t xml:space="preserve"> through </w:t>
      </w:r>
      <w:r w:rsidRPr="006C75ED">
        <w:t>1.814</w:t>
      </w:r>
      <w:r>
        <w:t xml:space="preserve"> and </w:t>
      </w:r>
      <w:r w:rsidRPr="006C75ED">
        <w:t>43.21</w:t>
      </w:r>
      <w:r>
        <w:t xml:space="preserve"> of this chapter; except that commercial radio service providers </w:t>
      </w:r>
      <w:r w:rsidRPr="008A7E2C" w:rsidR="008A7E2C">
        <w:t xml:space="preserve">that are facilities-based providers of broadband service or facilities-based providers of mobile telephony service, as described in § 1.7001(b)(1) and (3) of this chapter, are required to file reports pursuant to §§ 1.7000-1.7002 of </w:t>
      </w:r>
      <w:r w:rsidR="003F705E">
        <w:t>this chapter.</w:t>
      </w:r>
      <w:r>
        <w:t xml:space="preserve"> * * *</w:t>
      </w:r>
      <w:r w:rsidRPr="008A7E2C">
        <w:t xml:space="preserve"> </w:t>
      </w:r>
    </w:p>
    <w:bookmarkEnd w:id="2"/>
    <w:p w:rsidR="003C26A4" w:rsidRPr="003C26A4" w:rsidP="008A7E2C" w14:paraId="52B6AECC" w14:textId="77777777">
      <w:pPr>
        <w:spacing w:after="240"/>
      </w:pPr>
      <w:r>
        <w:rPr>
          <w:b/>
          <w:bCs/>
        </w:rPr>
        <w:t>Part 43 – Reports of Communications Common Carriers, Providers of International Services and Certain Affiliates</w:t>
      </w:r>
    </w:p>
    <w:p w:rsidR="00A434C2" w:rsidRPr="00B9661B" w:rsidP="008A7E2C" w14:paraId="455CA6AB" w14:textId="77777777">
      <w:pPr>
        <w:pStyle w:val="ParaNum"/>
        <w:numPr>
          <w:ilvl w:val="0"/>
          <w:numId w:val="14"/>
        </w:numPr>
      </w:pPr>
      <w:r w:rsidRPr="00B9661B">
        <w:t xml:space="preserve">The authority citation for </w:t>
      </w:r>
      <w:r w:rsidRPr="008A7E2C">
        <w:t>part 43</w:t>
      </w:r>
      <w:r w:rsidRPr="00B9661B">
        <w:t xml:space="preserve"> </w:t>
      </w:r>
      <w:r w:rsidRPr="00B9661B" w:rsidR="003C26A4">
        <w:t xml:space="preserve">continues </w:t>
      </w:r>
      <w:r w:rsidRPr="00B9661B">
        <w:t xml:space="preserve">to read as follows: </w:t>
      </w:r>
    </w:p>
    <w:p w:rsidR="00A434C2" w:rsidP="00A434C2" w14:paraId="0E72D0CE" w14:textId="77777777">
      <w:pPr>
        <w:pStyle w:val="RuleChange"/>
      </w:pPr>
      <w:r>
        <w:t xml:space="preserve">AUTHORITY: 47 U.S.C. 35–39, 154, 211, 219, 220; </w:t>
      </w:r>
      <w:r w:rsidRPr="00AD654C">
        <w:t xml:space="preserve">sec. 402(b)(2)(B), (c), </w:t>
      </w:r>
      <w:r>
        <w:t>P</w:t>
      </w:r>
      <w:r w:rsidRPr="00AD654C">
        <w:t xml:space="preserve">ub. L. 104-104, 110 Stat. </w:t>
      </w:r>
      <w:r>
        <w:t>129.</w:t>
      </w:r>
    </w:p>
    <w:p w:rsidR="00B9661B" w:rsidP="00B9661B" w14:paraId="65C12AC7" w14:textId="77777777">
      <w:pPr>
        <w:pStyle w:val="ParaNum"/>
      </w:pPr>
      <w:r>
        <w:t xml:space="preserve">Revise paragraph (b) of section 43.01 by striking the phrase “Except as provided in paragraphs (c) and (d) of this section” and inserting in its place “Except as provided in paragraph (c) of this section”. </w:t>
      </w:r>
    </w:p>
    <w:p w:rsidR="003C26A4" w:rsidP="00A434C2" w14:paraId="3E92FA1F" w14:textId="77777777">
      <w:pPr>
        <w:pStyle w:val="ParaNum"/>
      </w:pPr>
      <w:r>
        <w:t>Delete paragraph (d) of section 43.01.</w:t>
      </w:r>
    </w:p>
    <w:p w:rsidR="00A434C2" w:rsidRPr="008D3BB7" w:rsidP="00A434C2" w14:paraId="27924B55" w14:textId="77777777">
      <w:pPr>
        <w:pStyle w:val="ParaNum"/>
        <w:numPr>
          <w:ilvl w:val="0"/>
          <w:numId w:val="0"/>
        </w:numPr>
        <w:ind w:left="720"/>
      </w:pPr>
    </w:p>
    <w:sectPr w:rsidSect="00A434C2">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4C2" w:rsidP="00A434C2" w14:paraId="438E6A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34C2" w14:paraId="49A521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4C2" w:rsidP="00A434C2" w14:paraId="076EFE84" w14:textId="77777777">
    <w:pPr>
      <w:pStyle w:val="Footer"/>
      <w:framePr w:wrap="around" w:vAnchor="text" w:hAnchor="margin" w:xAlign="center" w:y="1"/>
    </w:pPr>
    <w:r>
      <w:fldChar w:fldCharType="begin"/>
    </w:r>
    <w:r>
      <w:instrText xml:space="preserve">PAGE  </w:instrText>
    </w:r>
    <w:r>
      <w:fldChar w:fldCharType="separate"/>
    </w:r>
    <w:r>
      <w:t>2</w:t>
    </w:r>
    <w:r>
      <w:fldChar w:fldCharType="end"/>
    </w:r>
  </w:p>
  <w:p w:rsidR="00A434C2" w14:paraId="4826BA4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4C2" w14:paraId="5EDB8F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14D4" w14:paraId="4F7E158D" w14:textId="77777777">
      <w:r>
        <w:separator/>
      </w:r>
    </w:p>
  </w:footnote>
  <w:footnote w:type="continuationSeparator" w:id="1">
    <w:p w:rsidR="00A314D4" w:rsidP="00A434C2" w14:paraId="2FBAFA5C" w14:textId="77777777">
      <w:pPr>
        <w:spacing w:before="120"/>
        <w:rPr>
          <w:sz w:val="20"/>
        </w:rPr>
      </w:pPr>
      <w:r>
        <w:rPr>
          <w:sz w:val="20"/>
        </w:rPr>
        <w:t xml:space="preserve">(Continued from previous page)  </w:t>
      </w:r>
      <w:r>
        <w:rPr>
          <w:sz w:val="20"/>
        </w:rPr>
        <w:separator/>
      </w:r>
    </w:p>
  </w:footnote>
  <w:footnote w:type="continuationNotice" w:id="2">
    <w:p w:rsidR="00A314D4" w:rsidP="00A434C2" w14:paraId="71596864" w14:textId="77777777">
      <w:pPr>
        <w:jc w:val="right"/>
        <w:rPr>
          <w:sz w:val="20"/>
        </w:rPr>
      </w:pPr>
      <w:r>
        <w:rPr>
          <w:sz w:val="20"/>
        </w:rPr>
        <w:t>(continued….)</w:t>
      </w:r>
    </w:p>
  </w:footnote>
  <w:footnote w:id="3">
    <w:p w:rsidR="00AE1159" w14:paraId="3D9C2542" w14:textId="77777777">
      <w:pPr>
        <w:pStyle w:val="FootnoteText"/>
      </w:pPr>
      <w:r>
        <w:rPr>
          <w:rStyle w:val="FootnoteReference"/>
        </w:rPr>
        <w:footnoteRef/>
      </w:r>
      <w:r>
        <w:t xml:space="preserve"> </w:t>
      </w:r>
      <w:r w:rsidR="0008490A">
        <w:rPr>
          <w:i/>
          <w:iCs/>
        </w:rPr>
        <w:t>Establishing the Digital Opportunity Data Collection; Modernizing the FCC Form 477 Data Program</w:t>
      </w:r>
      <w:r w:rsidR="0008490A">
        <w:t xml:space="preserve">, Report and Order and Second Further Notice of Proposed Rulemaking, WC Docket Nos. 19-195 and 11-10, FCC 19-79 (released Aug. 6, 2019); </w:t>
      </w:r>
      <w:r w:rsidR="0008490A">
        <w:rPr>
          <w:i/>
          <w:iCs/>
        </w:rPr>
        <w:t>Establishing the Digital Opportunity Data Collection</w:t>
      </w:r>
      <w:r w:rsidR="00D45B59">
        <w:rPr>
          <w:i/>
          <w:iCs/>
        </w:rPr>
        <w:t xml:space="preserve"> and</w:t>
      </w:r>
      <w:r w:rsidR="0008490A">
        <w:rPr>
          <w:i/>
          <w:iCs/>
        </w:rPr>
        <w:t xml:space="preserve"> Modernizing the FCC Form 477 Data Program</w:t>
      </w:r>
      <w:r w:rsidR="0008490A">
        <w:t>, Final Rule, 84 FR 43705 (Aug. 22, 2019).</w:t>
      </w:r>
    </w:p>
  </w:footnote>
  <w:footnote w:id="4">
    <w:p w:rsidR="00872062" w14:paraId="2A4E3556" w14:textId="77777777">
      <w:pPr>
        <w:pStyle w:val="FootnoteText"/>
      </w:pPr>
      <w:r>
        <w:rPr>
          <w:rStyle w:val="FootnoteReference"/>
        </w:rPr>
        <w:footnoteRef/>
      </w:r>
      <w:r>
        <w:t xml:space="preserve"> 47 CFR §§ 1.7002, 43.01(d).</w:t>
      </w:r>
    </w:p>
  </w:footnote>
  <w:footnote w:id="5">
    <w:p w:rsidR="00983C48" w14:paraId="1560EE59" w14:textId="77777777">
      <w:pPr>
        <w:pStyle w:val="FootnoteText"/>
      </w:pPr>
      <w:r>
        <w:rPr>
          <w:rStyle w:val="FootnoteReference"/>
        </w:rPr>
        <w:footnoteRef/>
      </w:r>
      <w:r>
        <w:t xml:space="preserve"> 47 CFR §§ 43.01(b), (d)</w:t>
      </w:r>
      <w:r w:rsidR="002F63AD">
        <w:t>.</w:t>
      </w:r>
    </w:p>
  </w:footnote>
  <w:footnote w:id="6">
    <w:p w:rsidR="00872062" w:rsidRPr="00872062" w14:paraId="42A49876" w14:textId="77777777">
      <w:pPr>
        <w:pStyle w:val="FootnoteText"/>
      </w:pPr>
      <w:r>
        <w:rPr>
          <w:rStyle w:val="FootnoteReference"/>
        </w:rPr>
        <w:footnoteRef/>
      </w:r>
      <w:r>
        <w:t xml:space="preserve"> </w:t>
      </w:r>
      <w:r w:rsidR="00983649">
        <w:t>47 CFR §§ 1.7001, 20.15(b)(1)</w:t>
      </w:r>
      <w:r w:rsidR="002F63AD">
        <w:t>, 43.11</w:t>
      </w:r>
      <w:r w:rsidR="001A5526">
        <w:t>.</w:t>
      </w:r>
      <w:r w:rsidR="00983649">
        <w:rPr>
          <w:i/>
          <w:iCs/>
        </w:rPr>
        <w:t xml:space="preserve"> </w:t>
      </w:r>
    </w:p>
  </w:footnote>
  <w:footnote w:id="7">
    <w:p w:rsidR="00A434C2" w14:paraId="3F79AF53" w14:textId="77777777">
      <w:pPr>
        <w:pStyle w:val="FootnoteText"/>
      </w:pPr>
      <w:r>
        <w:rPr>
          <w:rStyle w:val="FootnoteReference"/>
        </w:rPr>
        <w:footnoteRef/>
      </w:r>
      <w:r>
        <w:t xml:space="preserve"> 47 CFR § 0.231(b).</w:t>
      </w:r>
    </w:p>
  </w:footnote>
  <w:footnote w:id="8">
    <w:p w:rsidR="00A434C2" w:rsidP="00A434C2" w14:paraId="3A47CF6E" w14:textId="77777777">
      <w:pPr>
        <w:pStyle w:val="FootnoteText"/>
      </w:pPr>
      <w:r>
        <w:rPr>
          <w:rStyle w:val="FootnoteReference"/>
        </w:rPr>
        <w:footnoteRef/>
      </w:r>
      <w:r>
        <w:t xml:space="preserve"> 5 U.S.C. § 604.</w:t>
      </w:r>
    </w:p>
  </w:footnote>
  <w:footnote w:id="9">
    <w:p w:rsidR="00A434C2" w14:paraId="6FED855A" w14:textId="77777777">
      <w:pPr>
        <w:pStyle w:val="FootnoteText"/>
      </w:pPr>
      <w:r>
        <w:rPr>
          <w:rStyle w:val="FootnoteReference"/>
        </w:rPr>
        <w:footnoteRef/>
      </w:r>
      <w:r>
        <w:t xml:space="preserve"> 44 U.S.C. § 3506(c)(4).</w:t>
      </w:r>
    </w:p>
  </w:footnote>
  <w:footnote w:id="10">
    <w:p w:rsidR="00A434C2" w14:paraId="0621B819" w14:textId="77777777">
      <w:pPr>
        <w:pStyle w:val="FootnoteText"/>
      </w:pPr>
      <w:r>
        <w:rPr>
          <w:rStyle w:val="FootnoteReference"/>
        </w:rPr>
        <w:footnoteRef/>
      </w:r>
      <w:r>
        <w:t xml:space="preserve"> 5 U.S.C. § 804(3)(C).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4C2" w:rsidP="00A434C2" w14:paraId="154C9A0F" w14:textId="333BF83A">
    <w:pPr>
      <w:pStyle w:val="Header"/>
      <w:rPr>
        <w:b w:val="0"/>
      </w:rPr>
    </w:pPr>
    <w:r>
      <w:tab/>
      <w:t>Federal Communications Commission</w:t>
    </w:r>
    <w:r>
      <w:tab/>
    </w:r>
    <w:r>
      <w:rPr>
        <w:spacing w:val="-2"/>
      </w:rPr>
      <w:t xml:space="preserve">DA </w:t>
    </w:r>
    <w:r w:rsidR="00D44421">
      <w:rPr>
        <w:spacing w:val="-2"/>
      </w:rPr>
      <w:t>19-</w:t>
    </w:r>
    <w:r w:rsidR="00E51799">
      <w:rPr>
        <w:spacing w:val="-2"/>
      </w:rPr>
      <w:t>1240</w:t>
    </w:r>
  </w:p>
  <w:p w:rsidR="00A434C2" w14:paraId="36BEEA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434C2" w14:paraId="5530207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4C2" w:rsidP="00A434C2" w14:paraId="240156A1" w14:textId="7BC3F67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D44421">
      <w:rPr>
        <w:spacing w:val="-2"/>
      </w:rPr>
      <w:t>19-</w:t>
    </w:r>
    <w:r w:rsidR="00E51799">
      <w:rPr>
        <w:spacing w:val="-2"/>
      </w:rPr>
      <w:t>1240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5F7A5CA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F866E84"/>
    <w:lvl w:ilvl="0">
      <w:start w:val="1"/>
      <w:numFmt w:val="decimal"/>
      <w:pStyle w:val="ParaNum"/>
      <w:lvlText w:val="%1."/>
      <w:lvlJc w:val="left"/>
      <w:pPr>
        <w:tabs>
          <w:tab w:val="num" w:pos="1080"/>
        </w:tabs>
        <w:ind w:left="0" w:firstLine="72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lvlOverride w:ilvl="0">
      <w:startOverride w:val="1"/>
    </w:lvlOverride>
  </w:num>
  <w:num w:numId="10">
    <w:abstractNumId w:val="5"/>
  </w:num>
  <w:num w:numId="11">
    <w:abstractNumId w:val="5"/>
  </w:num>
  <w:num w:numId="12">
    <w:abstractNumId w:val="5"/>
  </w:num>
  <w:num w:numId="13">
    <w:abstractNumId w:val="5"/>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D2"/>
    <w:rsid w:val="000075D1"/>
    <w:rsid w:val="0008490A"/>
    <w:rsid w:val="000956C8"/>
    <w:rsid w:val="000E6BDE"/>
    <w:rsid w:val="001A5526"/>
    <w:rsid w:val="002439F0"/>
    <w:rsid w:val="002A29D2"/>
    <w:rsid w:val="002F4C6E"/>
    <w:rsid w:val="002F63AD"/>
    <w:rsid w:val="00315614"/>
    <w:rsid w:val="003235D3"/>
    <w:rsid w:val="003B3BD0"/>
    <w:rsid w:val="003C26A4"/>
    <w:rsid w:val="003F705E"/>
    <w:rsid w:val="004A100F"/>
    <w:rsid w:val="004C12AE"/>
    <w:rsid w:val="00512CDE"/>
    <w:rsid w:val="005413A9"/>
    <w:rsid w:val="0058747A"/>
    <w:rsid w:val="005F2DFE"/>
    <w:rsid w:val="0063550E"/>
    <w:rsid w:val="00676082"/>
    <w:rsid w:val="00690CAC"/>
    <w:rsid w:val="006C75ED"/>
    <w:rsid w:val="006E33C6"/>
    <w:rsid w:val="007001F4"/>
    <w:rsid w:val="007115F7"/>
    <w:rsid w:val="00721292"/>
    <w:rsid w:val="00725DFF"/>
    <w:rsid w:val="00836875"/>
    <w:rsid w:val="00872062"/>
    <w:rsid w:val="008809CF"/>
    <w:rsid w:val="008A7E2C"/>
    <w:rsid w:val="008D3BB7"/>
    <w:rsid w:val="009162B9"/>
    <w:rsid w:val="00983649"/>
    <w:rsid w:val="00983C48"/>
    <w:rsid w:val="009C734C"/>
    <w:rsid w:val="009D7FD2"/>
    <w:rsid w:val="00A17ECF"/>
    <w:rsid w:val="00A314D4"/>
    <w:rsid w:val="00A434C2"/>
    <w:rsid w:val="00AD654C"/>
    <w:rsid w:val="00AE1159"/>
    <w:rsid w:val="00B27AAA"/>
    <w:rsid w:val="00B70741"/>
    <w:rsid w:val="00B9661B"/>
    <w:rsid w:val="00C67A1F"/>
    <w:rsid w:val="00D15B6F"/>
    <w:rsid w:val="00D44421"/>
    <w:rsid w:val="00D45B59"/>
    <w:rsid w:val="00D47813"/>
    <w:rsid w:val="00D80EB8"/>
    <w:rsid w:val="00DC2FBF"/>
    <w:rsid w:val="00E51799"/>
    <w:rsid w:val="00EA183E"/>
    <w:rsid w:val="00ED4BE3"/>
    <w:rsid w:val="00F57DAD"/>
    <w:rsid w:val="00F61938"/>
    <w:rsid w:val="00F91D3F"/>
    <w:rsid w:val="00FB2F5B"/>
    <w:rsid w:val="00FC3595"/>
    <w:rsid w:val="00FD4AC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0943F7D7-6AEE-444B-B488-93934B9B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171A44"/>
    <w:pPr>
      <w:widowControl/>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link w:val="StyleBoldCenteredChar"/>
    <w:rsid w:val="00ED4BE3"/>
    <w:pPr>
      <w:jc w:val="center"/>
    </w:pPr>
    <w:rPr>
      <w:rFonts w:ascii="Times New Roman Bold" w:hAnsi="Times New Roman Bold"/>
      <w:b/>
      <w:bCs/>
      <w:szCs w:val="22"/>
    </w:rPr>
  </w:style>
  <w:style w:type="character" w:styleId="Hyperlink">
    <w:name w:val="Hyperlink"/>
    <w:rsid w:val="002A2D2E"/>
    <w:rPr>
      <w:color w:val="0000FF"/>
      <w:u w:val="single"/>
    </w:rPr>
  </w:style>
  <w:style w:type="paragraph" w:customStyle="1" w:styleId="RuleChange">
    <w:name w:val="RuleChange"/>
    <w:basedOn w:val="ParaNum"/>
    <w:link w:val="RuleChangeChar"/>
    <w:qFormat/>
    <w:rsid w:val="003F4181"/>
    <w:pPr>
      <w:numPr>
        <w:numId w:val="0"/>
      </w:numPr>
      <w:spacing w:before="120" w:after="240"/>
      <w:ind w:left="720"/>
    </w:pPr>
  </w:style>
  <w:style w:type="character" w:customStyle="1" w:styleId="ParaNumChar">
    <w:name w:val="ParaNum Char"/>
    <w:basedOn w:val="DefaultParagraphFont"/>
    <w:link w:val="ParaNum"/>
    <w:rsid w:val="00171A44"/>
    <w:rPr>
      <w:snapToGrid w:val="0"/>
      <w:kern w:val="28"/>
      <w:sz w:val="22"/>
    </w:rPr>
  </w:style>
  <w:style w:type="character" w:customStyle="1" w:styleId="RuleChangeChar">
    <w:name w:val="RuleChange Char"/>
    <w:basedOn w:val="ParaNumChar"/>
    <w:link w:val="RuleChange"/>
    <w:rsid w:val="003F4181"/>
    <w:rPr>
      <w:snapToGrid w:val="0"/>
      <w:kern w:val="28"/>
      <w:sz w:val="22"/>
    </w:rPr>
  </w:style>
  <w:style w:type="paragraph" w:customStyle="1" w:styleId="AppendixHead">
    <w:name w:val="AppendixHead"/>
    <w:basedOn w:val="StyleBoldCentered"/>
    <w:link w:val="AppendixHeadChar"/>
    <w:autoRedefine/>
    <w:qFormat/>
    <w:rsid w:val="00D47813"/>
    <w:pPr>
      <w:tabs>
        <w:tab w:val="left" w:pos="720"/>
      </w:tabs>
      <w:ind w:left="720" w:hanging="720"/>
    </w:pPr>
  </w:style>
  <w:style w:type="character" w:customStyle="1" w:styleId="StyleBoldCenteredChar">
    <w:name w:val="Style Bold Centered Char"/>
    <w:basedOn w:val="DefaultParagraphFont"/>
    <w:link w:val="StyleBoldCentered"/>
    <w:rsid w:val="00D47813"/>
    <w:rPr>
      <w:rFonts w:ascii="Times New Roman Bold" w:hAnsi="Times New Roman Bold"/>
      <w:b/>
      <w:bCs/>
      <w:snapToGrid w:val="0"/>
      <w:kern w:val="28"/>
      <w:sz w:val="22"/>
      <w:szCs w:val="22"/>
    </w:rPr>
  </w:style>
  <w:style w:type="character" w:customStyle="1" w:styleId="AppendixHeadChar">
    <w:name w:val="AppendixHead Char"/>
    <w:basedOn w:val="StyleBoldCenteredChar"/>
    <w:link w:val="AppendixHead"/>
    <w:rsid w:val="00D47813"/>
    <w:rPr>
      <w:rFonts w:ascii="Times New Roman Bold" w:hAnsi="Times New Roman Bold"/>
      <w:b/>
      <w:bCs/>
      <w:snapToGrid w:val="0"/>
      <w:kern w:val="28"/>
      <w:sz w:val="22"/>
      <w:szCs w:val="22"/>
    </w:rPr>
  </w:style>
  <w:style w:type="character" w:customStyle="1" w:styleId="UnresolvedMention1">
    <w:name w:val="Unresolved Mention1"/>
    <w:basedOn w:val="DefaultParagraphFont"/>
    <w:uiPriority w:val="99"/>
    <w:semiHidden/>
    <w:unhideWhenUsed/>
    <w:rsid w:val="00BB1018"/>
    <w:rPr>
      <w:color w:val="808080"/>
      <w:shd w:val="clear" w:color="auto" w:fill="E6E6E6"/>
    </w:rPr>
  </w:style>
  <w:style w:type="character" w:styleId="CommentReference">
    <w:name w:val="annotation reference"/>
    <w:basedOn w:val="DefaultParagraphFont"/>
    <w:rsid w:val="000101F2"/>
    <w:rPr>
      <w:sz w:val="16"/>
      <w:szCs w:val="16"/>
    </w:rPr>
  </w:style>
  <w:style w:type="paragraph" w:styleId="CommentText">
    <w:name w:val="annotation text"/>
    <w:basedOn w:val="Normal"/>
    <w:link w:val="CommentTextChar"/>
    <w:rsid w:val="000101F2"/>
    <w:rPr>
      <w:sz w:val="20"/>
    </w:rPr>
  </w:style>
  <w:style w:type="character" w:customStyle="1" w:styleId="CommentTextChar">
    <w:name w:val="Comment Text Char"/>
    <w:basedOn w:val="DefaultParagraphFont"/>
    <w:link w:val="CommentText"/>
    <w:rsid w:val="000101F2"/>
    <w:rPr>
      <w:snapToGrid w:val="0"/>
      <w:kern w:val="28"/>
    </w:rPr>
  </w:style>
  <w:style w:type="paragraph" w:styleId="CommentSubject">
    <w:name w:val="annotation subject"/>
    <w:basedOn w:val="CommentText"/>
    <w:next w:val="CommentText"/>
    <w:link w:val="CommentSubjectChar"/>
    <w:rsid w:val="000101F2"/>
    <w:rPr>
      <w:b/>
      <w:bCs/>
    </w:rPr>
  </w:style>
  <w:style w:type="character" w:customStyle="1" w:styleId="CommentSubjectChar">
    <w:name w:val="Comment Subject Char"/>
    <w:basedOn w:val="CommentTextChar"/>
    <w:link w:val="CommentSubject"/>
    <w:rsid w:val="000101F2"/>
    <w:rPr>
      <w:b/>
      <w:bCs/>
      <w:snapToGrid w:val="0"/>
      <w:kern w:val="28"/>
    </w:rPr>
  </w:style>
  <w:style w:type="paragraph" w:styleId="BalloonText">
    <w:name w:val="Balloon Text"/>
    <w:basedOn w:val="Normal"/>
    <w:link w:val="BalloonTextChar"/>
    <w:rsid w:val="000101F2"/>
    <w:rPr>
      <w:rFonts w:ascii="Segoe UI" w:hAnsi="Segoe UI" w:cs="Segoe UI"/>
      <w:sz w:val="18"/>
      <w:szCs w:val="18"/>
    </w:rPr>
  </w:style>
  <w:style w:type="character" w:customStyle="1" w:styleId="BalloonTextChar">
    <w:name w:val="Balloon Text Char"/>
    <w:basedOn w:val="DefaultParagraphFont"/>
    <w:link w:val="BalloonText"/>
    <w:rsid w:val="000101F2"/>
    <w:rPr>
      <w:rFonts w:ascii="Segoe UI" w:hAnsi="Segoe UI" w:cs="Segoe UI"/>
      <w:snapToGrid w:val="0"/>
      <w:kern w:val="28"/>
      <w:sz w:val="18"/>
      <w:szCs w:val="18"/>
    </w:rPr>
  </w:style>
  <w:style w:type="character" w:styleId="FollowedHyperlink">
    <w:name w:val="FollowedHyperlink"/>
    <w:basedOn w:val="DefaultParagraphFont"/>
    <w:rsid w:val="008F56ED"/>
    <w:rPr>
      <w:color w:val="954F72" w:themeColor="followedHyperlink"/>
      <w:u w:val="single"/>
    </w:rPr>
  </w:style>
  <w:style w:type="paragraph" w:styleId="Revision">
    <w:name w:val="Revision"/>
    <w:hidden/>
    <w:uiPriority w:val="99"/>
    <w:semiHidden/>
    <w:rsid w:val="00FC2A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