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B20363" w:rsidP="0091723E">
      <w:pPr>
        <w:spacing w:before="120" w:after="240"/>
        <w:contextualSpacing/>
        <w:rPr>
          <w:b/>
          <w:sz w:val="24"/>
        </w:rPr>
      </w:pPr>
      <w:bookmarkStart w:id="0" w:name="_GoBack"/>
      <w:bookmarkEnd w:id="0"/>
    </w:p>
    <w:p w:rsidR="00013A8B" w:rsidRPr="00883762" w:rsidP="00013A8B">
      <w:pPr>
        <w:jc w:val="right"/>
        <w:rPr>
          <w:b/>
          <w:szCs w:val="22"/>
        </w:rPr>
      </w:pPr>
      <w:r>
        <w:rPr>
          <w:b/>
          <w:szCs w:val="22"/>
        </w:rPr>
        <w:t>DA 19-1244</w:t>
      </w:r>
    </w:p>
    <w:p w:rsidR="00013A8B" w:rsidRPr="00883762" w:rsidP="00013A8B">
      <w:pPr>
        <w:spacing w:before="60"/>
        <w:jc w:val="right"/>
        <w:rPr>
          <w:b/>
          <w:szCs w:val="22"/>
        </w:rPr>
      </w:pPr>
      <w:r w:rsidRPr="00883762">
        <w:rPr>
          <w:b/>
          <w:szCs w:val="22"/>
        </w:rPr>
        <w:t xml:space="preserve">Released:  </w:t>
      </w:r>
      <w:r w:rsidR="003B385B">
        <w:rPr>
          <w:b/>
          <w:szCs w:val="22"/>
        </w:rPr>
        <w:t>December 9, 2019</w:t>
      </w:r>
    </w:p>
    <w:p w:rsidR="00013A8B" w:rsidRPr="00883762" w:rsidP="00013A8B">
      <w:pPr>
        <w:jc w:val="right"/>
        <w:rPr>
          <w:szCs w:val="22"/>
        </w:rPr>
      </w:pPr>
    </w:p>
    <w:p w:rsidR="00013A8B" w:rsidRPr="00883762" w:rsidP="00013A8B">
      <w:pPr>
        <w:spacing w:after="240"/>
        <w:jc w:val="center"/>
        <w:rPr>
          <w:rFonts w:ascii="Times New Roman Bold" w:hAnsi="Times New Roman Bold"/>
          <w:b/>
          <w:caps/>
          <w:szCs w:val="22"/>
        </w:rPr>
      </w:pPr>
      <w:r w:rsidRPr="00883762">
        <w:rPr>
          <w:rFonts w:ascii="Times New Roman Bold" w:hAnsi="Times New Roman Bold"/>
          <w:b/>
          <w:caps/>
          <w:szCs w:val="22"/>
        </w:rPr>
        <w:t xml:space="preserve">PUBLIC SAFETY AND HOMELAND SECURITY BUREAU </w:t>
      </w:r>
      <w:r w:rsidR="00522508">
        <w:rPr>
          <w:rFonts w:ascii="Times New Roman Bold" w:hAnsi="Times New Roman Bold"/>
          <w:b/>
          <w:caps/>
          <w:szCs w:val="22"/>
        </w:rPr>
        <w:t>ANNOUNCES</w:t>
      </w:r>
      <w:r w:rsidRPr="00883762">
        <w:rPr>
          <w:rFonts w:ascii="Times New Roman Bold" w:hAnsi="Times New Roman Bold"/>
          <w:b/>
          <w:caps/>
          <w:szCs w:val="22"/>
        </w:rPr>
        <w:t xml:space="preserve"> INITIAL FINDINGS REGARDING 2019 NATIONWIDE TEST OF EMERGENCY ALERT SYSTEM</w:t>
      </w:r>
    </w:p>
    <w:p w:rsidR="00883762" w:rsidRPr="00883762" w:rsidP="00883762">
      <w:pPr>
        <w:jc w:val="center"/>
        <w:rPr>
          <w:b/>
          <w:szCs w:val="22"/>
        </w:rPr>
      </w:pPr>
      <w:r w:rsidRPr="00883762">
        <w:rPr>
          <w:b/>
          <w:szCs w:val="22"/>
        </w:rPr>
        <w:t>PS Docket No. 15-94</w:t>
      </w:r>
    </w:p>
    <w:p w:rsidR="00F96F63" w:rsidRPr="00883762" w:rsidP="00F96F63">
      <w:pPr>
        <w:rPr>
          <w:szCs w:val="22"/>
        </w:rPr>
      </w:pPr>
      <w:bookmarkStart w:id="1" w:name="TOChere"/>
    </w:p>
    <w:bookmarkEnd w:id="1"/>
    <w:p w:rsidR="00F96F63" w:rsidP="00F75A9A">
      <w:pPr>
        <w:pStyle w:val="ParaNum"/>
        <w:numPr>
          <w:ilvl w:val="0"/>
          <w:numId w:val="0"/>
        </w:numPr>
        <w:ind w:firstLine="720"/>
      </w:pPr>
      <w:r>
        <w:t>T</w:t>
      </w:r>
      <w:r w:rsidRPr="00883762">
        <w:t>he Federal Emergency Management Agency (FEMA), in coordination with the Federal Communications Commission (</w:t>
      </w:r>
      <w:r>
        <w:t xml:space="preserve">FCC or </w:t>
      </w:r>
      <w:r w:rsidRPr="00883762">
        <w:t xml:space="preserve">Commission), </w:t>
      </w:r>
      <w:r>
        <w:t xml:space="preserve">conducted a nationwide test of the EAS at 2:20 p.m. Eastern Daylight Time (EDT) </w:t>
      </w:r>
      <w:r w:rsidRPr="00883762">
        <w:t>on August 7, 2019.</w:t>
      </w:r>
      <w:r>
        <w:rPr>
          <w:rStyle w:val="FootnoteReference"/>
          <w:szCs w:val="22"/>
        </w:rPr>
        <w:footnoteReference w:id="3"/>
      </w:r>
      <w:r w:rsidRPr="00883762">
        <w:t xml:space="preserve">  </w:t>
      </w:r>
      <w:r w:rsidRPr="00883762" w:rsidR="00883762">
        <w:t xml:space="preserve">This Public Notice provides an initial overview of the 2019 nationwide Emergency Alert System (EAS) test </w:t>
      </w:r>
      <w:r w:rsidR="00883762">
        <w:t>results.</w:t>
      </w:r>
      <w:r>
        <w:rPr>
          <w:rStyle w:val="FootnoteReference"/>
          <w:szCs w:val="22"/>
        </w:rPr>
        <w:footnoteReference w:id="4"/>
      </w:r>
      <w:r>
        <w:t xml:space="preserve">  </w:t>
      </w:r>
      <w:r w:rsidR="00522508">
        <w:t>FEMA disseminated the</w:t>
      </w:r>
      <w:r w:rsidR="00E7308D">
        <w:t xml:space="preserve"> live test using</w:t>
      </w:r>
      <w:r w:rsidR="004550B3">
        <w:t xml:space="preserve"> </w:t>
      </w:r>
      <w:r w:rsidR="00522508">
        <w:t>the</w:t>
      </w:r>
      <w:r w:rsidR="00E7308D">
        <w:t xml:space="preserve"> hierarchical, broadcast-based distribution system, otherwise known as the “daisy chain,”</w:t>
      </w:r>
      <w:r>
        <w:rPr>
          <w:rStyle w:val="FootnoteReference"/>
        </w:rPr>
        <w:footnoteReference w:id="5"/>
      </w:r>
      <w:r w:rsidR="00E7308D">
        <w:t xml:space="preserve"> to assess whether the national EAS would perform as designed, if activated, and </w:t>
      </w:r>
      <w:r w:rsidR="00522508">
        <w:t xml:space="preserve">to </w:t>
      </w:r>
      <w:r w:rsidR="00E7308D">
        <w:t>help to ensure the reliability and effectiveness of broadcast-based alerting as a failsafe to our national emergency communications infrastructure.</w:t>
      </w:r>
      <w:r>
        <w:rPr>
          <w:rStyle w:val="FootnoteReference"/>
          <w:szCs w:val="22"/>
        </w:rPr>
        <w:footnoteReference w:id="6"/>
      </w:r>
      <w:r w:rsidR="004D398F">
        <w:t xml:space="preserve">  All EAS Participants were required to participate in the nationwide test.</w:t>
      </w:r>
      <w:r>
        <w:rPr>
          <w:rStyle w:val="FootnoteReference"/>
          <w:szCs w:val="22"/>
        </w:rPr>
        <w:footnoteReference w:id="7"/>
      </w:r>
    </w:p>
    <w:p w:rsidR="00C8646C" w:rsidP="00F75A9A">
      <w:pPr>
        <w:pStyle w:val="ParaNum"/>
        <w:numPr>
          <w:ilvl w:val="0"/>
          <w:numId w:val="0"/>
        </w:numPr>
        <w:ind w:firstLine="720"/>
      </w:pPr>
    </w:p>
    <w:p w:rsidR="00C8646C" w:rsidP="00F75A9A">
      <w:pPr>
        <w:pStyle w:val="ParaNum"/>
        <w:numPr>
          <w:ilvl w:val="0"/>
          <w:numId w:val="0"/>
        </w:numPr>
        <w:ind w:firstLine="720"/>
      </w:pPr>
    </w:p>
    <w:p w:rsidR="00930ECF" w:rsidP="00F75A9A">
      <w:pPr>
        <w:pStyle w:val="ParaNum"/>
        <w:numPr>
          <w:ilvl w:val="0"/>
          <w:numId w:val="0"/>
        </w:numPr>
        <w:ind w:firstLine="720"/>
      </w:pPr>
      <w:r>
        <w:t>EAS Participants nationwide were required to submit identifying information in Form One of the EAS Test Reporting System (ETRS) on or prior to July 3, 2019</w:t>
      </w:r>
      <w:r w:rsidR="00F04A86">
        <w:t>,</w:t>
      </w:r>
      <w:r>
        <w:rPr>
          <w:rStyle w:val="FootnoteReference"/>
          <w:szCs w:val="22"/>
        </w:rPr>
        <w:footnoteReference w:id="8"/>
      </w:r>
      <w:r w:rsidR="00F04A86">
        <w:t xml:space="preserve"> and </w:t>
      </w:r>
      <w:r>
        <w:t>“day of test” results indicat</w:t>
      </w:r>
      <w:r w:rsidR="00F04A86">
        <w:t>ing</w:t>
      </w:r>
      <w:r>
        <w:t xml:space="preserve"> whether they successfully received </w:t>
      </w:r>
      <w:r w:rsidR="00F04A86">
        <w:t xml:space="preserve">(Table 1) </w:t>
      </w:r>
      <w:r>
        <w:t xml:space="preserve">and retransmitted </w:t>
      </w:r>
      <w:r w:rsidR="00F04A86">
        <w:t xml:space="preserve">(Table 2) </w:t>
      </w:r>
      <w:r>
        <w:t>the test alert on August 7, 2019.</w:t>
      </w:r>
      <w:r>
        <w:rPr>
          <w:rStyle w:val="FootnoteReference"/>
          <w:szCs w:val="22"/>
        </w:rPr>
        <w:footnoteReference w:id="9"/>
      </w:r>
      <w:r>
        <w:t xml:space="preserve">  </w:t>
      </w:r>
      <w:r w:rsidR="00F04A86">
        <w:t xml:space="preserve">Finally, </w:t>
      </w:r>
      <w:r>
        <w:t xml:space="preserve">EAS Participants were required to file Form Three, </w:t>
      </w:r>
      <w:r w:rsidR="00F04A86">
        <w:t xml:space="preserve">specifying </w:t>
      </w:r>
      <w:r>
        <w:t xml:space="preserve">how they received the alert and identified any complications they experienced during the test, on or before </w:t>
      </w:r>
      <w:r w:rsidR="00816FDE">
        <w:t>September 23, 2019.</w:t>
      </w:r>
      <w:r>
        <w:rPr>
          <w:rStyle w:val="FootnoteReference"/>
          <w:szCs w:val="22"/>
        </w:rPr>
        <w:footnoteReference w:id="10"/>
      </w:r>
      <w:r w:rsidR="00816FDE">
        <w:t xml:space="preserve">  Because individual filings in the ETRS are presumptively confidential, the following observations are based on aggregated, anonymized data derived from these filings.</w:t>
      </w:r>
      <w:r>
        <w:rPr>
          <w:rStyle w:val="FootnoteReference"/>
          <w:szCs w:val="22"/>
        </w:rPr>
        <w:footnoteReference w:id="11"/>
      </w:r>
    </w:p>
    <w:p w:rsidR="00DF5238" w:rsidP="00F75A9A">
      <w:pPr>
        <w:pStyle w:val="ParaNum"/>
        <w:numPr>
          <w:ilvl w:val="0"/>
          <w:numId w:val="0"/>
        </w:numPr>
        <w:ind w:firstLine="720"/>
      </w:pPr>
      <w:r>
        <w:t>Initial test data indicate that the majority of EAS Participants successfully received and retransmitted the National Periodic Test (NPT) code used for the test.</w:t>
      </w:r>
    </w:p>
    <w:p w:rsidR="00AA589C" w:rsidP="00DC231D">
      <w:pPr>
        <w:numPr>
          <w:ilvl w:val="0"/>
          <w:numId w:val="7"/>
        </w:numPr>
        <w:spacing w:after="240"/>
        <w:rPr>
          <w:szCs w:val="22"/>
        </w:rPr>
      </w:pPr>
      <w:r>
        <w:rPr>
          <w:szCs w:val="22"/>
        </w:rPr>
        <w:t>19,6</w:t>
      </w:r>
      <w:r w:rsidR="00DC48C7">
        <w:rPr>
          <w:szCs w:val="22"/>
        </w:rPr>
        <w:t>07</w:t>
      </w:r>
      <w:r w:rsidR="00DF5238">
        <w:rPr>
          <w:szCs w:val="22"/>
        </w:rPr>
        <w:t xml:space="preserve"> radio and television broadcasters, cable systems, Internet Protocol Television (IPTV) providers, wireline video systems, and other EAS Participants in all 50 states and the United States territories filed their receipt and retransmission results in the ETRS after the nationwide EAS test.</w:t>
      </w:r>
      <w:r w:rsidR="003A40E4">
        <w:rPr>
          <w:rStyle w:val="FootnoteReference"/>
          <w:szCs w:val="22"/>
        </w:rPr>
        <w:t xml:space="preserve"> </w:t>
      </w:r>
    </w:p>
    <w:p w:rsidR="00DF5238" w:rsidP="00DC231D">
      <w:pPr>
        <w:numPr>
          <w:ilvl w:val="0"/>
          <w:numId w:val="7"/>
        </w:numPr>
        <w:spacing w:after="240"/>
        <w:rPr>
          <w:szCs w:val="22"/>
        </w:rPr>
      </w:pPr>
      <w:r>
        <w:rPr>
          <w:szCs w:val="22"/>
        </w:rPr>
        <w:t>8</w:t>
      </w:r>
      <w:r w:rsidR="004122F4">
        <w:rPr>
          <w:szCs w:val="22"/>
        </w:rPr>
        <w:t>4.3</w:t>
      </w:r>
      <w:r>
        <w:rPr>
          <w:szCs w:val="22"/>
        </w:rPr>
        <w:t>% of test participants successfully received the test alert.</w:t>
      </w:r>
      <w:r>
        <w:rPr>
          <w:rStyle w:val="FootnoteReference"/>
          <w:szCs w:val="22"/>
        </w:rPr>
        <w:footnoteReference w:id="12"/>
      </w:r>
    </w:p>
    <w:p w:rsidR="00522508" w:rsidRPr="00DC231D" w:rsidP="00DC231D">
      <w:pPr>
        <w:pStyle w:val="ListParagraph"/>
        <w:numPr>
          <w:ilvl w:val="0"/>
          <w:numId w:val="7"/>
        </w:numPr>
        <w:spacing w:after="240" w:line="240" w:lineRule="auto"/>
        <w:contextualSpacing w:val="0"/>
      </w:pPr>
      <w:r>
        <w:rPr>
          <w:rFonts w:ascii="Times New Roman" w:hAnsi="Times New Roman"/>
        </w:rPr>
        <w:t xml:space="preserve">Of the test participants that reported successfully receiving the test alert, </w:t>
      </w:r>
      <w:r w:rsidRPr="003E7055">
        <w:rPr>
          <w:rFonts w:ascii="Times New Roman" w:hAnsi="Times New Roman"/>
        </w:rPr>
        <w:t>4</w:t>
      </w:r>
      <w:r w:rsidR="00470B4C">
        <w:rPr>
          <w:rFonts w:ascii="Times New Roman" w:hAnsi="Times New Roman"/>
        </w:rPr>
        <w:t>9</w:t>
      </w:r>
      <w:r w:rsidR="00FF5C9A">
        <w:rPr>
          <w:rFonts w:ascii="Times New Roman" w:hAnsi="Times New Roman"/>
        </w:rPr>
        <w:t>.0</w:t>
      </w:r>
      <w:r w:rsidRPr="003E7055">
        <w:rPr>
          <w:rFonts w:ascii="Times New Roman" w:hAnsi="Times New Roman"/>
        </w:rPr>
        <w:t xml:space="preserve">% </w:t>
      </w:r>
      <w:r>
        <w:rPr>
          <w:rFonts w:ascii="Times New Roman" w:hAnsi="Times New Roman"/>
        </w:rPr>
        <w:t>reported monitoring three or more over-the-air sources.</w:t>
      </w:r>
      <w:r>
        <w:rPr>
          <w:rStyle w:val="FootnoteReference"/>
        </w:rPr>
        <w:footnoteReference w:id="13"/>
      </w:r>
    </w:p>
    <w:p w:rsidR="00DC231D" w:rsidP="00DC231D">
      <w:pPr>
        <w:numPr>
          <w:ilvl w:val="0"/>
          <w:numId w:val="7"/>
        </w:numPr>
        <w:spacing w:after="240"/>
        <w:rPr>
          <w:szCs w:val="22"/>
        </w:rPr>
      </w:pPr>
      <w:r>
        <w:rPr>
          <w:szCs w:val="22"/>
        </w:rPr>
        <w:t>81.5% of test participants successfully retransmitted the test alert.</w:t>
      </w:r>
    </w:p>
    <w:p w:rsidR="00DC231D" w:rsidP="00DC231D">
      <w:pPr>
        <w:pStyle w:val="ListParagraph"/>
        <w:numPr>
          <w:ilvl w:val="0"/>
          <w:numId w:val="7"/>
        </w:numPr>
        <w:spacing w:after="240" w:line="240" w:lineRule="auto"/>
        <w:contextualSpacing w:val="0"/>
        <w:rPr>
          <w:rFonts w:ascii="Times New Roman" w:hAnsi="Times New Roman"/>
        </w:rPr>
      </w:pPr>
      <w:r>
        <w:rPr>
          <w:rFonts w:ascii="Times New Roman" w:hAnsi="Times New Roman"/>
        </w:rPr>
        <w:t>69.0% of test participants that filed Form Three reported no complications in receiving the test alert.  12.2% of test participants that filed Form Three reported audio quality issues with receipt.</w:t>
      </w:r>
    </w:p>
    <w:p w:rsidR="00DC231D" w:rsidRPr="00DC231D" w:rsidP="00DC231D">
      <w:pPr>
        <w:pStyle w:val="ListParagraph"/>
        <w:numPr>
          <w:ilvl w:val="0"/>
          <w:numId w:val="7"/>
        </w:numPr>
        <w:spacing w:after="240" w:line="240" w:lineRule="auto"/>
        <w:contextualSpacing w:val="0"/>
        <w:rPr>
          <w:rFonts w:ascii="Times New Roman" w:hAnsi="Times New Roman"/>
        </w:rPr>
      </w:pPr>
      <w:r>
        <w:rPr>
          <w:rFonts w:ascii="Times New Roman" w:hAnsi="Times New Roman"/>
        </w:rPr>
        <w:t>74.4% of test participants that filed Form Three reported no complications in retransmitting the test alert.  6.9% of test participants that filed Form Three reported “other” issues with retransmission.</w:t>
      </w:r>
    </w:p>
    <w:p w:rsidR="00DF5238" w:rsidRPr="00AA1076" w:rsidP="00285F89">
      <w:pPr>
        <w:pStyle w:val="ParaNum"/>
        <w:keepNext/>
        <w:keepLines/>
        <w:numPr>
          <w:ilvl w:val="0"/>
          <w:numId w:val="0"/>
        </w:numPr>
        <w:ind w:left="720"/>
        <w:rPr>
          <w:b/>
        </w:rPr>
      </w:pPr>
      <w:r w:rsidRPr="000D3BAB">
        <w:rPr>
          <w:b/>
        </w:rPr>
        <w:t>Table 1.</w:t>
      </w:r>
      <w:r w:rsidRPr="00AA1076">
        <w:rPr>
          <w:b/>
        </w:rPr>
        <w:t xml:space="preserve">  </w:t>
      </w:r>
      <w:r>
        <w:rPr>
          <w:b/>
        </w:rPr>
        <w:t xml:space="preserve">Alert Receipt by </w:t>
      </w:r>
      <w:r w:rsidRPr="00AA1076">
        <w:rPr>
          <w:b/>
        </w:rPr>
        <w:t>Participant Type</w:t>
      </w:r>
    </w:p>
    <w:tbl>
      <w:tblPr>
        <w:tblW w:w="6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0"/>
        <w:gridCol w:w="1440"/>
        <w:gridCol w:w="1170"/>
        <w:gridCol w:w="1170"/>
      </w:tblGrid>
      <w:tr w:rsidTr="00285F89">
        <w:tblPrEx>
          <w:tblW w:w="6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512"/>
          <w:jc w:val="center"/>
        </w:trPr>
        <w:tc>
          <w:tcPr>
            <w:tcW w:w="2250" w:type="dxa"/>
            <w:vMerge w:val="restart"/>
            <w:shd w:val="clear" w:color="auto" w:fill="BFBFBF"/>
            <w:noWrap/>
            <w:vAlign w:val="bottom"/>
          </w:tcPr>
          <w:p w:rsidR="00117A98" w:rsidRPr="00193819" w:rsidP="00937ED6">
            <w:pPr>
              <w:keepNext/>
              <w:keepLines/>
              <w:spacing w:after="120"/>
              <w:jc w:val="center"/>
              <w:rPr>
                <w:b/>
                <w:color w:val="000000"/>
                <w:sz w:val="20"/>
              </w:rPr>
            </w:pPr>
            <w:r w:rsidRPr="00193819">
              <w:rPr>
                <w:b/>
                <w:color w:val="000000"/>
                <w:sz w:val="20"/>
              </w:rPr>
              <w:t>EAS Participant Type</w:t>
            </w:r>
          </w:p>
        </w:tc>
        <w:tc>
          <w:tcPr>
            <w:tcW w:w="1440" w:type="dxa"/>
            <w:vMerge w:val="restart"/>
            <w:shd w:val="clear" w:color="auto" w:fill="BFBFBF"/>
            <w:vAlign w:val="bottom"/>
          </w:tcPr>
          <w:p w:rsidR="00117A98" w:rsidRPr="00193819" w:rsidP="00937ED6">
            <w:pPr>
              <w:keepNext/>
              <w:keepLines/>
              <w:spacing w:after="120"/>
              <w:jc w:val="center"/>
              <w:rPr>
                <w:b/>
                <w:color w:val="000000"/>
                <w:sz w:val="20"/>
              </w:rPr>
            </w:pPr>
            <w:r>
              <w:rPr>
                <w:b/>
                <w:color w:val="000000"/>
                <w:sz w:val="20"/>
              </w:rPr>
              <w:t xml:space="preserve">2019 </w:t>
            </w:r>
            <w:r w:rsidRPr="00193819">
              <w:rPr>
                <w:b/>
                <w:color w:val="000000"/>
                <w:sz w:val="20"/>
              </w:rPr>
              <w:t>Test Participants</w:t>
            </w:r>
          </w:p>
        </w:tc>
        <w:tc>
          <w:tcPr>
            <w:tcW w:w="2340" w:type="dxa"/>
            <w:gridSpan w:val="2"/>
            <w:tcBorders>
              <w:bottom w:val="single" w:sz="4" w:space="0" w:color="auto"/>
            </w:tcBorders>
            <w:shd w:val="clear" w:color="auto" w:fill="BFBFBF"/>
            <w:vAlign w:val="bottom"/>
          </w:tcPr>
          <w:p w:rsidR="00117A98" w:rsidRPr="00193819" w:rsidP="00937ED6">
            <w:pPr>
              <w:keepNext/>
              <w:keepLines/>
              <w:spacing w:after="120"/>
              <w:jc w:val="center"/>
              <w:rPr>
                <w:b/>
                <w:color w:val="000000"/>
                <w:sz w:val="20"/>
              </w:rPr>
            </w:pPr>
            <w:r w:rsidRPr="00193819">
              <w:rPr>
                <w:b/>
                <w:color w:val="000000"/>
                <w:sz w:val="20"/>
              </w:rPr>
              <w:t>Successfully Re</w:t>
            </w:r>
            <w:r>
              <w:rPr>
                <w:b/>
                <w:color w:val="000000"/>
                <w:sz w:val="20"/>
              </w:rPr>
              <w:t>ceived</w:t>
            </w:r>
            <w:r w:rsidRPr="00193819">
              <w:rPr>
                <w:b/>
                <w:color w:val="000000"/>
                <w:sz w:val="20"/>
              </w:rPr>
              <w:t xml:space="preserve"> </w:t>
            </w:r>
            <w:r>
              <w:rPr>
                <w:b/>
                <w:color w:val="000000"/>
                <w:sz w:val="20"/>
              </w:rPr>
              <w:br/>
            </w:r>
            <w:r w:rsidRPr="00193819">
              <w:rPr>
                <w:b/>
                <w:color w:val="000000"/>
                <w:sz w:val="20"/>
              </w:rPr>
              <w:t>Alert</w:t>
            </w:r>
            <w:r>
              <w:rPr>
                <w:b/>
                <w:color w:val="000000"/>
                <w:sz w:val="20"/>
              </w:rPr>
              <w:t xml:space="preserve"> </w:t>
            </w:r>
          </w:p>
        </w:tc>
      </w:tr>
      <w:tr w:rsidTr="00285F89">
        <w:tblPrEx>
          <w:tblW w:w="6030" w:type="dxa"/>
          <w:jc w:val="center"/>
          <w:tblLayout w:type="fixed"/>
          <w:tblLook w:val="0000"/>
        </w:tblPrEx>
        <w:trPr>
          <w:trHeight w:val="377"/>
          <w:jc w:val="center"/>
        </w:trPr>
        <w:tc>
          <w:tcPr>
            <w:tcW w:w="2250" w:type="dxa"/>
            <w:vMerge/>
            <w:shd w:val="clear" w:color="auto" w:fill="BFBFBF"/>
            <w:vAlign w:val="bottom"/>
          </w:tcPr>
          <w:p w:rsidR="00117A98" w:rsidRPr="00193819" w:rsidP="00937ED6">
            <w:pPr>
              <w:keepNext/>
              <w:keepLines/>
              <w:spacing w:after="120"/>
              <w:jc w:val="right"/>
              <w:rPr>
                <w:bCs/>
                <w:color w:val="000000"/>
                <w:sz w:val="20"/>
              </w:rPr>
            </w:pPr>
          </w:p>
        </w:tc>
        <w:tc>
          <w:tcPr>
            <w:tcW w:w="1440" w:type="dxa"/>
            <w:vMerge/>
            <w:shd w:val="clear" w:color="auto" w:fill="BFBFBF"/>
            <w:vAlign w:val="bottom"/>
          </w:tcPr>
          <w:p w:rsidR="00117A98" w:rsidRPr="00193819" w:rsidP="00937ED6">
            <w:pPr>
              <w:keepNext/>
              <w:keepLines/>
              <w:spacing w:after="120"/>
              <w:jc w:val="center"/>
              <w:rPr>
                <w:bCs/>
                <w:color w:val="000000"/>
                <w:sz w:val="20"/>
              </w:rPr>
            </w:pPr>
          </w:p>
        </w:tc>
        <w:tc>
          <w:tcPr>
            <w:tcW w:w="1170" w:type="dxa"/>
            <w:shd w:val="clear" w:color="auto" w:fill="BFBFBF"/>
            <w:vAlign w:val="bottom"/>
          </w:tcPr>
          <w:p w:rsidR="00117A98" w:rsidRPr="00193819" w:rsidP="00937ED6">
            <w:pPr>
              <w:keepNext/>
              <w:keepLines/>
              <w:spacing w:after="120"/>
              <w:jc w:val="center"/>
              <w:rPr>
                <w:b/>
                <w:color w:val="000000"/>
                <w:sz w:val="20"/>
              </w:rPr>
            </w:pPr>
            <w:r w:rsidRPr="00193819">
              <w:rPr>
                <w:b/>
                <w:color w:val="000000"/>
                <w:sz w:val="20"/>
              </w:rPr>
              <w:t>#</w:t>
            </w:r>
          </w:p>
        </w:tc>
        <w:tc>
          <w:tcPr>
            <w:tcW w:w="1170" w:type="dxa"/>
            <w:shd w:val="clear" w:color="auto" w:fill="BFBFBF"/>
            <w:vAlign w:val="bottom"/>
          </w:tcPr>
          <w:p w:rsidR="00117A98" w:rsidRPr="00193819" w:rsidP="00937ED6">
            <w:pPr>
              <w:keepNext/>
              <w:keepLines/>
              <w:spacing w:after="120"/>
              <w:jc w:val="center"/>
              <w:rPr>
                <w:b/>
                <w:color w:val="000000"/>
                <w:sz w:val="20"/>
              </w:rPr>
            </w:pPr>
            <w:r w:rsidRPr="00193819">
              <w:rPr>
                <w:b/>
                <w:color w:val="000000"/>
                <w:sz w:val="20"/>
              </w:rPr>
              <w:t>%</w:t>
            </w:r>
          </w:p>
        </w:tc>
      </w:tr>
      <w:tr w:rsidTr="00285F89">
        <w:tblPrEx>
          <w:tblW w:w="6030" w:type="dxa"/>
          <w:jc w:val="center"/>
          <w:tblLayout w:type="fixed"/>
          <w:tblLook w:val="0000"/>
        </w:tblPrEx>
        <w:trPr>
          <w:trHeight w:val="253"/>
          <w:jc w:val="center"/>
        </w:trPr>
        <w:tc>
          <w:tcPr>
            <w:tcW w:w="2250" w:type="dxa"/>
            <w:vAlign w:val="bottom"/>
          </w:tcPr>
          <w:p w:rsidR="00117A98" w:rsidRPr="00193819" w:rsidP="00937ED6">
            <w:pPr>
              <w:keepNext/>
              <w:keepLines/>
              <w:spacing w:after="120"/>
              <w:jc w:val="right"/>
              <w:rPr>
                <w:color w:val="000000"/>
                <w:sz w:val="20"/>
              </w:rPr>
            </w:pPr>
            <w:r w:rsidRPr="00193819">
              <w:rPr>
                <w:color w:val="000000"/>
                <w:sz w:val="20"/>
              </w:rPr>
              <w:t>Radio Broadcasters</w:t>
            </w:r>
          </w:p>
        </w:tc>
        <w:tc>
          <w:tcPr>
            <w:tcW w:w="1440" w:type="dxa"/>
            <w:vAlign w:val="bottom"/>
          </w:tcPr>
          <w:p w:rsidR="00117A98" w:rsidRPr="00193819" w:rsidP="00937ED6">
            <w:pPr>
              <w:keepNext/>
              <w:keepLines/>
              <w:spacing w:after="120"/>
              <w:jc w:val="center"/>
              <w:rPr>
                <w:bCs/>
                <w:color w:val="000000"/>
                <w:sz w:val="20"/>
              </w:rPr>
            </w:pPr>
            <w:r>
              <w:rPr>
                <w:bCs/>
                <w:color w:val="000000"/>
                <w:sz w:val="20"/>
              </w:rPr>
              <w:t>13,940</w:t>
            </w:r>
          </w:p>
        </w:tc>
        <w:tc>
          <w:tcPr>
            <w:tcW w:w="1170" w:type="dxa"/>
            <w:vAlign w:val="bottom"/>
          </w:tcPr>
          <w:p w:rsidR="00117A98" w:rsidRPr="0046275F" w:rsidP="00937ED6">
            <w:pPr>
              <w:keepNext/>
              <w:keepLines/>
              <w:spacing w:after="120"/>
              <w:jc w:val="center"/>
              <w:rPr>
                <w:color w:val="000000"/>
                <w:sz w:val="20"/>
              </w:rPr>
            </w:pPr>
            <w:r>
              <w:rPr>
                <w:bCs/>
                <w:color w:val="000000"/>
                <w:sz w:val="20"/>
              </w:rPr>
              <w:t>11,782</w:t>
            </w:r>
          </w:p>
        </w:tc>
        <w:tc>
          <w:tcPr>
            <w:tcW w:w="1170" w:type="dxa"/>
            <w:vAlign w:val="bottom"/>
          </w:tcPr>
          <w:p w:rsidR="00117A98" w:rsidRPr="0046275F" w:rsidP="00937ED6">
            <w:pPr>
              <w:keepNext/>
              <w:keepLines/>
              <w:spacing w:after="120"/>
              <w:jc w:val="center"/>
              <w:rPr>
                <w:color w:val="000000"/>
                <w:sz w:val="20"/>
              </w:rPr>
            </w:pPr>
            <w:r>
              <w:rPr>
                <w:color w:val="000000"/>
                <w:sz w:val="20"/>
              </w:rPr>
              <w:t>84.5%</w:t>
            </w:r>
          </w:p>
        </w:tc>
      </w:tr>
      <w:tr w:rsidTr="00285F89">
        <w:tblPrEx>
          <w:tblW w:w="6030" w:type="dxa"/>
          <w:jc w:val="center"/>
          <w:tblLayout w:type="fixed"/>
          <w:tblLook w:val="0000"/>
        </w:tblPrEx>
        <w:trPr>
          <w:trHeight w:val="253"/>
          <w:jc w:val="center"/>
        </w:trPr>
        <w:tc>
          <w:tcPr>
            <w:tcW w:w="2250" w:type="dxa"/>
            <w:shd w:val="clear" w:color="auto" w:fill="FFFFFF"/>
            <w:vAlign w:val="bottom"/>
          </w:tcPr>
          <w:p w:rsidR="00117A98" w:rsidRPr="00193819" w:rsidP="00937ED6">
            <w:pPr>
              <w:keepNext/>
              <w:keepLines/>
              <w:spacing w:after="120"/>
              <w:jc w:val="right"/>
              <w:rPr>
                <w:bCs/>
                <w:color w:val="000000"/>
                <w:sz w:val="20"/>
              </w:rPr>
            </w:pPr>
            <w:r w:rsidRPr="00193819">
              <w:rPr>
                <w:color w:val="000000"/>
                <w:sz w:val="20"/>
              </w:rPr>
              <w:t>Television Broadcasters</w:t>
            </w:r>
          </w:p>
        </w:tc>
        <w:tc>
          <w:tcPr>
            <w:tcW w:w="1440" w:type="dxa"/>
            <w:shd w:val="clear" w:color="auto" w:fill="FFFFFF"/>
            <w:vAlign w:val="bottom"/>
          </w:tcPr>
          <w:p w:rsidR="00117A98" w:rsidRPr="00193819" w:rsidP="00937ED6">
            <w:pPr>
              <w:keepNext/>
              <w:keepLines/>
              <w:spacing w:after="120"/>
              <w:jc w:val="center"/>
              <w:rPr>
                <w:bCs/>
                <w:color w:val="000000"/>
                <w:sz w:val="20"/>
              </w:rPr>
            </w:pPr>
            <w:r>
              <w:rPr>
                <w:bCs/>
                <w:color w:val="000000"/>
                <w:sz w:val="20"/>
              </w:rPr>
              <w:t>2,717</w:t>
            </w:r>
          </w:p>
        </w:tc>
        <w:tc>
          <w:tcPr>
            <w:tcW w:w="1170" w:type="dxa"/>
            <w:shd w:val="clear" w:color="auto" w:fill="FFFFFF"/>
            <w:vAlign w:val="bottom"/>
          </w:tcPr>
          <w:p w:rsidR="00117A98" w:rsidRPr="00193819" w:rsidP="00937ED6">
            <w:pPr>
              <w:keepNext/>
              <w:keepLines/>
              <w:spacing w:after="120"/>
              <w:jc w:val="center"/>
              <w:rPr>
                <w:bCs/>
                <w:color w:val="000000"/>
                <w:sz w:val="20"/>
              </w:rPr>
            </w:pPr>
            <w:r>
              <w:rPr>
                <w:bCs/>
                <w:color w:val="000000"/>
                <w:sz w:val="20"/>
              </w:rPr>
              <w:t>2,189</w:t>
            </w:r>
          </w:p>
        </w:tc>
        <w:tc>
          <w:tcPr>
            <w:tcW w:w="1170" w:type="dxa"/>
            <w:shd w:val="clear" w:color="auto" w:fill="FFFFFF"/>
            <w:vAlign w:val="bottom"/>
          </w:tcPr>
          <w:p w:rsidR="00117A98" w:rsidRPr="00193819" w:rsidP="00937ED6">
            <w:pPr>
              <w:keepNext/>
              <w:keepLines/>
              <w:spacing w:after="120"/>
              <w:jc w:val="center"/>
              <w:rPr>
                <w:bCs/>
                <w:color w:val="000000"/>
                <w:sz w:val="20"/>
              </w:rPr>
            </w:pPr>
            <w:r>
              <w:rPr>
                <w:bCs/>
                <w:color w:val="000000"/>
                <w:sz w:val="20"/>
              </w:rPr>
              <w:t>80.6%</w:t>
            </w:r>
          </w:p>
        </w:tc>
      </w:tr>
      <w:tr w:rsidTr="00285F89">
        <w:tblPrEx>
          <w:tblW w:w="6030" w:type="dxa"/>
          <w:jc w:val="center"/>
          <w:tblLayout w:type="fixed"/>
          <w:tblLook w:val="0000"/>
        </w:tblPrEx>
        <w:trPr>
          <w:trHeight w:val="253"/>
          <w:jc w:val="center"/>
        </w:trPr>
        <w:tc>
          <w:tcPr>
            <w:tcW w:w="2250" w:type="dxa"/>
            <w:vAlign w:val="bottom"/>
          </w:tcPr>
          <w:p w:rsidR="00117A98" w:rsidRPr="00193819" w:rsidP="00937ED6">
            <w:pPr>
              <w:keepNext/>
              <w:keepLines/>
              <w:spacing w:after="120"/>
              <w:jc w:val="right"/>
              <w:rPr>
                <w:bCs/>
                <w:color w:val="000000"/>
                <w:sz w:val="20"/>
              </w:rPr>
            </w:pPr>
            <w:r w:rsidRPr="00193819">
              <w:rPr>
                <w:color w:val="000000"/>
                <w:sz w:val="20"/>
              </w:rPr>
              <w:t>Cable Systems</w:t>
            </w:r>
          </w:p>
        </w:tc>
        <w:tc>
          <w:tcPr>
            <w:tcW w:w="1440" w:type="dxa"/>
            <w:vAlign w:val="bottom"/>
          </w:tcPr>
          <w:p w:rsidR="00117A98" w:rsidRPr="00193819" w:rsidP="00937ED6">
            <w:pPr>
              <w:keepNext/>
              <w:keepLines/>
              <w:spacing w:after="120"/>
              <w:jc w:val="center"/>
              <w:rPr>
                <w:bCs/>
                <w:color w:val="000000"/>
                <w:sz w:val="20"/>
              </w:rPr>
            </w:pPr>
            <w:r>
              <w:rPr>
                <w:bCs/>
                <w:color w:val="000000"/>
                <w:sz w:val="20"/>
              </w:rPr>
              <w:t>2,626</w:t>
            </w:r>
          </w:p>
        </w:tc>
        <w:tc>
          <w:tcPr>
            <w:tcW w:w="1170" w:type="dxa"/>
            <w:vAlign w:val="bottom"/>
          </w:tcPr>
          <w:p w:rsidR="00117A98" w:rsidRPr="00193819" w:rsidP="00937ED6">
            <w:pPr>
              <w:keepNext/>
              <w:keepLines/>
              <w:spacing w:after="120"/>
              <w:jc w:val="center"/>
              <w:rPr>
                <w:bCs/>
                <w:color w:val="000000"/>
                <w:sz w:val="20"/>
              </w:rPr>
            </w:pPr>
            <w:r>
              <w:rPr>
                <w:bCs/>
                <w:color w:val="000000"/>
                <w:sz w:val="20"/>
              </w:rPr>
              <w:t>2,294</w:t>
            </w:r>
          </w:p>
        </w:tc>
        <w:tc>
          <w:tcPr>
            <w:tcW w:w="1170" w:type="dxa"/>
            <w:vAlign w:val="bottom"/>
          </w:tcPr>
          <w:p w:rsidR="00117A98" w:rsidRPr="00193819" w:rsidP="00937ED6">
            <w:pPr>
              <w:keepNext/>
              <w:keepLines/>
              <w:spacing w:after="120"/>
              <w:jc w:val="center"/>
              <w:rPr>
                <w:bCs/>
                <w:color w:val="000000"/>
                <w:sz w:val="20"/>
              </w:rPr>
            </w:pPr>
            <w:r>
              <w:rPr>
                <w:bCs/>
                <w:color w:val="000000"/>
                <w:sz w:val="20"/>
              </w:rPr>
              <w:t>87.4%</w:t>
            </w:r>
          </w:p>
        </w:tc>
      </w:tr>
      <w:tr w:rsidTr="00285F89">
        <w:tblPrEx>
          <w:tblW w:w="6030" w:type="dxa"/>
          <w:jc w:val="center"/>
          <w:tblLayout w:type="fixed"/>
          <w:tblLook w:val="0000"/>
        </w:tblPrEx>
        <w:trPr>
          <w:trHeight w:val="253"/>
          <w:jc w:val="center"/>
        </w:trPr>
        <w:tc>
          <w:tcPr>
            <w:tcW w:w="2250" w:type="dxa"/>
            <w:vAlign w:val="bottom"/>
          </w:tcPr>
          <w:p w:rsidR="00117A98" w:rsidRPr="00193819" w:rsidP="00937ED6">
            <w:pPr>
              <w:keepNext/>
              <w:keepLines/>
              <w:spacing w:after="120"/>
              <w:jc w:val="right"/>
              <w:rPr>
                <w:bCs/>
                <w:color w:val="000000"/>
                <w:sz w:val="20"/>
              </w:rPr>
            </w:pPr>
            <w:r>
              <w:rPr>
                <w:color w:val="000000"/>
                <w:sz w:val="20"/>
              </w:rPr>
              <w:t>IPTV Provider</w:t>
            </w:r>
            <w:r w:rsidRPr="00193819">
              <w:rPr>
                <w:color w:val="000000"/>
                <w:sz w:val="20"/>
              </w:rPr>
              <w:t xml:space="preserve"> </w:t>
            </w:r>
          </w:p>
        </w:tc>
        <w:tc>
          <w:tcPr>
            <w:tcW w:w="1440" w:type="dxa"/>
            <w:vAlign w:val="bottom"/>
          </w:tcPr>
          <w:p w:rsidR="00117A98" w:rsidRPr="00193819" w:rsidP="00937ED6">
            <w:pPr>
              <w:keepNext/>
              <w:keepLines/>
              <w:spacing w:after="120"/>
              <w:jc w:val="center"/>
              <w:rPr>
                <w:bCs/>
                <w:color w:val="000000"/>
                <w:sz w:val="20"/>
              </w:rPr>
            </w:pPr>
            <w:r>
              <w:rPr>
                <w:bCs/>
                <w:color w:val="000000"/>
                <w:sz w:val="20"/>
              </w:rPr>
              <w:t>254</w:t>
            </w:r>
          </w:p>
        </w:tc>
        <w:tc>
          <w:tcPr>
            <w:tcW w:w="1170" w:type="dxa"/>
            <w:vAlign w:val="bottom"/>
          </w:tcPr>
          <w:p w:rsidR="00117A98" w:rsidRPr="00193819" w:rsidP="00937ED6">
            <w:pPr>
              <w:keepNext/>
              <w:keepLines/>
              <w:spacing w:after="120"/>
              <w:jc w:val="center"/>
              <w:rPr>
                <w:bCs/>
                <w:color w:val="000000"/>
                <w:sz w:val="20"/>
              </w:rPr>
            </w:pPr>
            <w:r>
              <w:rPr>
                <w:bCs/>
                <w:color w:val="000000"/>
                <w:sz w:val="20"/>
              </w:rPr>
              <w:t>202</w:t>
            </w:r>
          </w:p>
        </w:tc>
        <w:tc>
          <w:tcPr>
            <w:tcW w:w="1170" w:type="dxa"/>
            <w:vAlign w:val="bottom"/>
          </w:tcPr>
          <w:p w:rsidR="00117A98" w:rsidRPr="00193819" w:rsidP="00937ED6">
            <w:pPr>
              <w:keepNext/>
              <w:keepLines/>
              <w:spacing w:after="120"/>
              <w:jc w:val="center"/>
              <w:rPr>
                <w:bCs/>
                <w:color w:val="000000"/>
                <w:sz w:val="20"/>
              </w:rPr>
            </w:pPr>
            <w:r>
              <w:rPr>
                <w:bCs/>
                <w:color w:val="000000"/>
                <w:sz w:val="20"/>
              </w:rPr>
              <w:t>79.5%</w:t>
            </w:r>
          </w:p>
        </w:tc>
      </w:tr>
      <w:tr w:rsidTr="00285F89">
        <w:tblPrEx>
          <w:tblW w:w="6030" w:type="dxa"/>
          <w:jc w:val="center"/>
          <w:tblLayout w:type="fixed"/>
          <w:tblLook w:val="0000"/>
        </w:tblPrEx>
        <w:trPr>
          <w:trHeight w:val="253"/>
          <w:jc w:val="center"/>
        </w:trPr>
        <w:tc>
          <w:tcPr>
            <w:tcW w:w="2250" w:type="dxa"/>
            <w:vAlign w:val="bottom"/>
          </w:tcPr>
          <w:p w:rsidR="00117A98" w:rsidRPr="00193819" w:rsidP="00937ED6">
            <w:pPr>
              <w:keepNext/>
              <w:keepLines/>
              <w:spacing w:after="120"/>
              <w:jc w:val="right"/>
              <w:rPr>
                <w:bCs/>
                <w:color w:val="000000"/>
                <w:sz w:val="20"/>
              </w:rPr>
            </w:pPr>
            <w:r w:rsidRPr="00193819">
              <w:rPr>
                <w:color w:val="000000"/>
                <w:sz w:val="20"/>
              </w:rPr>
              <w:t>Wireline Video System</w:t>
            </w:r>
          </w:p>
        </w:tc>
        <w:tc>
          <w:tcPr>
            <w:tcW w:w="1440" w:type="dxa"/>
            <w:vAlign w:val="bottom"/>
          </w:tcPr>
          <w:p w:rsidR="00117A98" w:rsidRPr="00193819" w:rsidP="00937ED6">
            <w:pPr>
              <w:keepNext/>
              <w:keepLines/>
              <w:spacing w:after="120"/>
              <w:jc w:val="center"/>
              <w:rPr>
                <w:bCs/>
                <w:color w:val="000000"/>
                <w:sz w:val="20"/>
              </w:rPr>
            </w:pPr>
            <w:r>
              <w:rPr>
                <w:bCs/>
                <w:color w:val="000000"/>
                <w:sz w:val="20"/>
              </w:rPr>
              <w:t>61</w:t>
            </w:r>
          </w:p>
        </w:tc>
        <w:tc>
          <w:tcPr>
            <w:tcW w:w="1170" w:type="dxa"/>
            <w:vAlign w:val="bottom"/>
          </w:tcPr>
          <w:p w:rsidR="00117A98" w:rsidRPr="00193819" w:rsidP="00937ED6">
            <w:pPr>
              <w:keepNext/>
              <w:keepLines/>
              <w:spacing w:after="120"/>
              <w:jc w:val="center"/>
              <w:rPr>
                <w:bCs/>
                <w:color w:val="000000"/>
                <w:sz w:val="20"/>
              </w:rPr>
            </w:pPr>
            <w:r>
              <w:rPr>
                <w:bCs/>
                <w:color w:val="000000"/>
                <w:sz w:val="20"/>
              </w:rPr>
              <w:t>57</w:t>
            </w:r>
          </w:p>
        </w:tc>
        <w:tc>
          <w:tcPr>
            <w:tcW w:w="1170" w:type="dxa"/>
            <w:vAlign w:val="bottom"/>
          </w:tcPr>
          <w:p w:rsidR="00117A98" w:rsidRPr="00193819" w:rsidP="00937ED6">
            <w:pPr>
              <w:keepNext/>
              <w:keepLines/>
              <w:spacing w:after="120"/>
              <w:jc w:val="center"/>
              <w:rPr>
                <w:bCs/>
                <w:color w:val="000000"/>
                <w:sz w:val="20"/>
              </w:rPr>
            </w:pPr>
            <w:r>
              <w:rPr>
                <w:bCs/>
                <w:color w:val="000000"/>
                <w:sz w:val="20"/>
              </w:rPr>
              <w:t>93.4%</w:t>
            </w:r>
          </w:p>
        </w:tc>
      </w:tr>
      <w:tr w:rsidTr="00285F89">
        <w:tblPrEx>
          <w:tblW w:w="6030" w:type="dxa"/>
          <w:jc w:val="center"/>
          <w:tblLayout w:type="fixed"/>
          <w:tblLook w:val="0000"/>
        </w:tblPrEx>
        <w:trPr>
          <w:trHeight w:val="170"/>
          <w:jc w:val="center"/>
        </w:trPr>
        <w:tc>
          <w:tcPr>
            <w:tcW w:w="2250" w:type="dxa"/>
            <w:vAlign w:val="bottom"/>
          </w:tcPr>
          <w:p w:rsidR="00117A98" w:rsidRPr="00193819" w:rsidP="00937ED6">
            <w:pPr>
              <w:keepNext/>
              <w:keepLines/>
              <w:spacing w:after="120"/>
              <w:jc w:val="right"/>
              <w:rPr>
                <w:bCs/>
                <w:color w:val="000000"/>
                <w:sz w:val="20"/>
              </w:rPr>
            </w:pPr>
            <w:r w:rsidRPr="00193819">
              <w:rPr>
                <w:color w:val="000000"/>
                <w:sz w:val="20"/>
              </w:rPr>
              <w:t>Other</w:t>
            </w:r>
            <w:r>
              <w:rPr>
                <w:rStyle w:val="FootnoteReference"/>
                <w:color w:val="000000"/>
                <w:sz w:val="20"/>
              </w:rPr>
              <w:footnoteReference w:id="14"/>
            </w:r>
          </w:p>
        </w:tc>
        <w:tc>
          <w:tcPr>
            <w:tcW w:w="1440" w:type="dxa"/>
            <w:vAlign w:val="bottom"/>
          </w:tcPr>
          <w:p w:rsidR="00117A98" w:rsidRPr="00193819" w:rsidP="00937ED6">
            <w:pPr>
              <w:keepNext/>
              <w:keepLines/>
              <w:spacing w:after="120"/>
              <w:jc w:val="center"/>
              <w:rPr>
                <w:bCs/>
                <w:color w:val="000000"/>
                <w:sz w:val="20"/>
              </w:rPr>
            </w:pPr>
            <w:r>
              <w:rPr>
                <w:bCs/>
                <w:color w:val="000000"/>
                <w:sz w:val="20"/>
              </w:rPr>
              <w:t>9</w:t>
            </w:r>
          </w:p>
        </w:tc>
        <w:tc>
          <w:tcPr>
            <w:tcW w:w="1170" w:type="dxa"/>
            <w:vAlign w:val="bottom"/>
          </w:tcPr>
          <w:p w:rsidR="00117A98" w:rsidRPr="00193819" w:rsidP="00937ED6">
            <w:pPr>
              <w:keepNext/>
              <w:keepLines/>
              <w:spacing w:after="120"/>
              <w:jc w:val="center"/>
              <w:rPr>
                <w:bCs/>
                <w:color w:val="000000"/>
                <w:sz w:val="20"/>
              </w:rPr>
            </w:pPr>
            <w:r>
              <w:rPr>
                <w:bCs/>
                <w:color w:val="000000"/>
                <w:sz w:val="20"/>
              </w:rPr>
              <w:t>8</w:t>
            </w:r>
          </w:p>
        </w:tc>
        <w:tc>
          <w:tcPr>
            <w:tcW w:w="1170" w:type="dxa"/>
            <w:vAlign w:val="bottom"/>
          </w:tcPr>
          <w:p w:rsidR="00117A98" w:rsidRPr="00193819" w:rsidP="00937ED6">
            <w:pPr>
              <w:keepNext/>
              <w:keepLines/>
              <w:spacing w:after="120"/>
              <w:jc w:val="center"/>
              <w:rPr>
                <w:bCs/>
                <w:color w:val="000000"/>
                <w:sz w:val="20"/>
              </w:rPr>
            </w:pPr>
            <w:r>
              <w:rPr>
                <w:bCs/>
                <w:color w:val="000000"/>
                <w:sz w:val="20"/>
              </w:rPr>
              <w:t>88.9%</w:t>
            </w:r>
          </w:p>
        </w:tc>
      </w:tr>
      <w:tr w:rsidTr="00285F89">
        <w:tblPrEx>
          <w:tblW w:w="6030" w:type="dxa"/>
          <w:jc w:val="center"/>
          <w:tblLayout w:type="fixed"/>
          <w:tblLook w:val="0000"/>
        </w:tblPrEx>
        <w:trPr>
          <w:trHeight w:val="143"/>
          <w:jc w:val="center"/>
        </w:trPr>
        <w:tc>
          <w:tcPr>
            <w:tcW w:w="2250" w:type="dxa"/>
            <w:shd w:val="clear" w:color="auto" w:fill="C0C0C0"/>
            <w:vAlign w:val="bottom"/>
          </w:tcPr>
          <w:p w:rsidR="00117A98" w:rsidRPr="00193819" w:rsidP="00937ED6">
            <w:pPr>
              <w:spacing w:after="120"/>
              <w:jc w:val="right"/>
              <w:rPr>
                <w:b/>
                <w:i/>
                <w:iCs/>
                <w:color w:val="000000"/>
                <w:sz w:val="20"/>
              </w:rPr>
            </w:pPr>
            <w:r w:rsidRPr="00193819">
              <w:rPr>
                <w:b/>
                <w:i/>
                <w:iCs/>
                <w:color w:val="000000"/>
                <w:sz w:val="20"/>
              </w:rPr>
              <w:t>All Total</w:t>
            </w:r>
          </w:p>
        </w:tc>
        <w:tc>
          <w:tcPr>
            <w:tcW w:w="1440" w:type="dxa"/>
            <w:shd w:val="clear" w:color="auto" w:fill="C0C0C0"/>
            <w:vAlign w:val="bottom"/>
          </w:tcPr>
          <w:p w:rsidR="00117A98" w:rsidRPr="00193819" w:rsidP="00937ED6">
            <w:pPr>
              <w:spacing w:after="120"/>
              <w:jc w:val="center"/>
              <w:rPr>
                <w:b/>
                <w:color w:val="000000"/>
                <w:sz w:val="20"/>
              </w:rPr>
            </w:pPr>
            <w:r>
              <w:rPr>
                <w:b/>
                <w:color w:val="000000"/>
                <w:sz w:val="20"/>
              </w:rPr>
              <w:t>19,607</w:t>
            </w:r>
          </w:p>
        </w:tc>
        <w:tc>
          <w:tcPr>
            <w:tcW w:w="1170" w:type="dxa"/>
            <w:shd w:val="clear" w:color="auto" w:fill="C0C0C0"/>
            <w:vAlign w:val="bottom"/>
          </w:tcPr>
          <w:p w:rsidR="00117A98" w:rsidRPr="00A72A7A" w:rsidP="00937ED6">
            <w:pPr>
              <w:keepNext/>
              <w:keepLines/>
              <w:spacing w:after="120"/>
              <w:jc w:val="center"/>
              <w:rPr>
                <w:b/>
                <w:bCs/>
                <w:color w:val="000000"/>
                <w:sz w:val="20"/>
              </w:rPr>
            </w:pPr>
            <w:r>
              <w:rPr>
                <w:b/>
                <w:bCs/>
                <w:color w:val="000000"/>
                <w:sz w:val="20"/>
              </w:rPr>
              <w:t>16,532</w:t>
            </w:r>
          </w:p>
        </w:tc>
        <w:tc>
          <w:tcPr>
            <w:tcW w:w="1170" w:type="dxa"/>
            <w:shd w:val="clear" w:color="auto" w:fill="C0C0C0"/>
            <w:vAlign w:val="bottom"/>
          </w:tcPr>
          <w:p w:rsidR="00117A98" w:rsidRPr="00A0560A" w:rsidP="00937ED6">
            <w:pPr>
              <w:keepNext/>
              <w:keepLines/>
              <w:spacing w:after="120"/>
              <w:jc w:val="center"/>
              <w:rPr>
                <w:b/>
                <w:bCs/>
                <w:color w:val="000000"/>
                <w:sz w:val="20"/>
              </w:rPr>
            </w:pPr>
            <w:r>
              <w:rPr>
                <w:b/>
                <w:bCs/>
                <w:color w:val="000000"/>
                <w:sz w:val="20"/>
              </w:rPr>
              <w:t>84.3%</w:t>
            </w:r>
          </w:p>
        </w:tc>
      </w:tr>
    </w:tbl>
    <w:p w:rsidR="00DF5238" w:rsidRPr="00E6217D" w:rsidP="004A298C">
      <w:pPr>
        <w:pStyle w:val="ListParagraph"/>
        <w:spacing w:after="0" w:line="240" w:lineRule="auto"/>
        <w:rPr>
          <w:rFonts w:ascii="Times New Roman" w:hAnsi="Times New Roman"/>
        </w:rPr>
      </w:pPr>
    </w:p>
    <w:p w:rsidR="000A15F2" w:rsidP="000A15F2">
      <w:pPr>
        <w:rPr>
          <w:szCs w:val="22"/>
        </w:rPr>
      </w:pPr>
    </w:p>
    <w:p w:rsidR="000A15F2" w:rsidRPr="00AA1076" w:rsidP="000A15F2">
      <w:pPr>
        <w:pStyle w:val="ParaNum"/>
        <w:keepNext/>
        <w:keepLines/>
        <w:numPr>
          <w:ilvl w:val="0"/>
          <w:numId w:val="0"/>
        </w:numPr>
        <w:ind w:left="720"/>
        <w:rPr>
          <w:b/>
        </w:rPr>
      </w:pPr>
      <w:r w:rsidRPr="000D3BAB">
        <w:rPr>
          <w:b/>
        </w:rPr>
        <w:t>Table 2</w:t>
      </w:r>
      <w:r w:rsidRPr="00AA1076">
        <w:rPr>
          <w:b/>
        </w:rPr>
        <w:t xml:space="preserve">.  </w:t>
      </w:r>
      <w:r>
        <w:rPr>
          <w:b/>
        </w:rPr>
        <w:t xml:space="preserve">Alert Retransmission by </w:t>
      </w:r>
      <w:r w:rsidRPr="00AA1076">
        <w:rPr>
          <w:b/>
        </w:rPr>
        <w:t>Participant Type</w:t>
      </w:r>
    </w:p>
    <w:tbl>
      <w:tblPr>
        <w:tblW w:w="6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1350"/>
        <w:gridCol w:w="1260"/>
        <w:gridCol w:w="1170"/>
      </w:tblGrid>
      <w:tr w:rsidTr="00285F89">
        <w:tblPrEx>
          <w:tblW w:w="6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266"/>
          <w:jc w:val="center"/>
        </w:trPr>
        <w:tc>
          <w:tcPr>
            <w:tcW w:w="2340" w:type="dxa"/>
            <w:vMerge w:val="restart"/>
            <w:shd w:val="clear" w:color="auto" w:fill="BFBFBF"/>
            <w:noWrap/>
            <w:vAlign w:val="bottom"/>
          </w:tcPr>
          <w:p w:rsidR="00117A98" w:rsidP="00937ED6">
            <w:pPr>
              <w:keepNext/>
              <w:keepLines/>
              <w:spacing w:after="120"/>
              <w:jc w:val="center"/>
              <w:rPr>
                <w:b/>
                <w:color w:val="000000"/>
                <w:sz w:val="20"/>
              </w:rPr>
            </w:pPr>
            <w:bookmarkStart w:id="3" w:name="_Hlk26283886"/>
          </w:p>
          <w:p w:rsidR="00117A98" w:rsidRPr="00193819" w:rsidP="00937ED6">
            <w:pPr>
              <w:keepNext/>
              <w:keepLines/>
              <w:spacing w:after="120"/>
              <w:jc w:val="center"/>
              <w:rPr>
                <w:b/>
                <w:color w:val="000000"/>
                <w:sz w:val="20"/>
              </w:rPr>
            </w:pPr>
            <w:r w:rsidRPr="00193819">
              <w:rPr>
                <w:b/>
                <w:color w:val="000000"/>
                <w:sz w:val="20"/>
              </w:rPr>
              <w:t>EAS Participant Type</w:t>
            </w:r>
          </w:p>
        </w:tc>
        <w:tc>
          <w:tcPr>
            <w:tcW w:w="1350" w:type="dxa"/>
            <w:vMerge w:val="restart"/>
            <w:shd w:val="clear" w:color="auto" w:fill="BFBFBF"/>
            <w:vAlign w:val="bottom"/>
          </w:tcPr>
          <w:p w:rsidR="00117A98" w:rsidRPr="00193819" w:rsidP="00937ED6">
            <w:pPr>
              <w:keepNext/>
              <w:keepLines/>
              <w:spacing w:after="120"/>
              <w:jc w:val="center"/>
              <w:rPr>
                <w:b/>
                <w:color w:val="000000"/>
                <w:sz w:val="20"/>
              </w:rPr>
            </w:pPr>
            <w:r>
              <w:rPr>
                <w:b/>
                <w:color w:val="000000"/>
                <w:sz w:val="20"/>
              </w:rPr>
              <w:t xml:space="preserve">2019 </w:t>
            </w:r>
            <w:r w:rsidRPr="00193819">
              <w:rPr>
                <w:b/>
                <w:color w:val="000000"/>
                <w:sz w:val="20"/>
              </w:rPr>
              <w:t>Test Participants</w:t>
            </w:r>
          </w:p>
        </w:tc>
        <w:tc>
          <w:tcPr>
            <w:tcW w:w="2430" w:type="dxa"/>
            <w:gridSpan w:val="2"/>
            <w:tcBorders>
              <w:bottom w:val="single" w:sz="4" w:space="0" w:color="auto"/>
            </w:tcBorders>
            <w:shd w:val="clear" w:color="auto" w:fill="BFBFBF"/>
            <w:vAlign w:val="bottom"/>
          </w:tcPr>
          <w:p w:rsidR="00117A98" w:rsidRPr="00193819" w:rsidP="00937ED6">
            <w:pPr>
              <w:keepNext/>
              <w:keepLines/>
              <w:spacing w:after="120"/>
              <w:jc w:val="center"/>
              <w:rPr>
                <w:b/>
                <w:color w:val="000000"/>
                <w:sz w:val="20"/>
              </w:rPr>
            </w:pPr>
            <w:r w:rsidRPr="00193819">
              <w:rPr>
                <w:b/>
                <w:color w:val="000000"/>
                <w:sz w:val="20"/>
              </w:rPr>
              <w:t xml:space="preserve">Successfully </w:t>
            </w:r>
            <w:r>
              <w:rPr>
                <w:b/>
                <w:color w:val="000000"/>
                <w:sz w:val="20"/>
              </w:rPr>
              <w:t>Retransmitted</w:t>
            </w:r>
            <w:r w:rsidRPr="00193819">
              <w:rPr>
                <w:b/>
                <w:color w:val="000000"/>
                <w:sz w:val="20"/>
              </w:rPr>
              <w:t xml:space="preserve"> </w:t>
            </w:r>
            <w:r>
              <w:rPr>
                <w:b/>
                <w:color w:val="000000"/>
                <w:sz w:val="20"/>
              </w:rPr>
              <w:br/>
            </w:r>
            <w:r w:rsidRPr="00193819">
              <w:rPr>
                <w:b/>
                <w:color w:val="000000"/>
                <w:sz w:val="20"/>
              </w:rPr>
              <w:t>Alert</w:t>
            </w:r>
          </w:p>
        </w:tc>
      </w:tr>
      <w:tr w:rsidTr="00285F89">
        <w:tblPrEx>
          <w:tblW w:w="6120" w:type="dxa"/>
          <w:jc w:val="center"/>
          <w:tblLayout w:type="fixed"/>
          <w:tblLook w:val="0000"/>
        </w:tblPrEx>
        <w:trPr>
          <w:trHeight w:val="233"/>
          <w:jc w:val="center"/>
        </w:trPr>
        <w:tc>
          <w:tcPr>
            <w:tcW w:w="2340" w:type="dxa"/>
            <w:vMerge/>
            <w:shd w:val="clear" w:color="auto" w:fill="BFBFBF"/>
            <w:vAlign w:val="bottom"/>
          </w:tcPr>
          <w:p w:rsidR="00117A98" w:rsidRPr="00193819" w:rsidP="00937ED6">
            <w:pPr>
              <w:keepNext/>
              <w:keepLines/>
              <w:spacing w:after="120"/>
              <w:jc w:val="right"/>
              <w:rPr>
                <w:bCs/>
                <w:color w:val="000000"/>
                <w:sz w:val="20"/>
              </w:rPr>
            </w:pPr>
          </w:p>
        </w:tc>
        <w:tc>
          <w:tcPr>
            <w:tcW w:w="1350" w:type="dxa"/>
            <w:vMerge/>
            <w:shd w:val="clear" w:color="auto" w:fill="BFBFBF"/>
            <w:vAlign w:val="bottom"/>
          </w:tcPr>
          <w:p w:rsidR="00117A98" w:rsidRPr="00193819" w:rsidP="00937ED6">
            <w:pPr>
              <w:keepNext/>
              <w:keepLines/>
              <w:spacing w:after="120"/>
              <w:jc w:val="center"/>
              <w:rPr>
                <w:bCs/>
                <w:color w:val="000000"/>
                <w:sz w:val="20"/>
              </w:rPr>
            </w:pPr>
          </w:p>
        </w:tc>
        <w:tc>
          <w:tcPr>
            <w:tcW w:w="1260" w:type="dxa"/>
            <w:shd w:val="clear" w:color="auto" w:fill="BFBFBF"/>
            <w:vAlign w:val="bottom"/>
          </w:tcPr>
          <w:p w:rsidR="00117A98" w:rsidRPr="00193819" w:rsidP="00937ED6">
            <w:pPr>
              <w:keepNext/>
              <w:keepLines/>
              <w:spacing w:after="120"/>
              <w:jc w:val="center"/>
              <w:rPr>
                <w:b/>
                <w:color w:val="000000"/>
                <w:sz w:val="20"/>
              </w:rPr>
            </w:pPr>
            <w:r w:rsidRPr="00193819">
              <w:rPr>
                <w:b/>
                <w:color w:val="000000"/>
                <w:sz w:val="20"/>
              </w:rPr>
              <w:t>#</w:t>
            </w:r>
          </w:p>
        </w:tc>
        <w:tc>
          <w:tcPr>
            <w:tcW w:w="1170" w:type="dxa"/>
            <w:shd w:val="clear" w:color="auto" w:fill="BFBFBF"/>
            <w:vAlign w:val="bottom"/>
          </w:tcPr>
          <w:p w:rsidR="00117A98" w:rsidRPr="00193819" w:rsidP="00937ED6">
            <w:pPr>
              <w:keepNext/>
              <w:keepLines/>
              <w:spacing w:after="120"/>
              <w:jc w:val="center"/>
              <w:rPr>
                <w:b/>
                <w:color w:val="000000"/>
                <w:sz w:val="20"/>
              </w:rPr>
            </w:pPr>
            <w:r w:rsidRPr="00193819">
              <w:rPr>
                <w:b/>
                <w:color w:val="000000"/>
                <w:sz w:val="20"/>
              </w:rPr>
              <w:t>%</w:t>
            </w:r>
          </w:p>
        </w:tc>
      </w:tr>
      <w:tr w:rsidTr="00285F89">
        <w:tblPrEx>
          <w:tblW w:w="6120" w:type="dxa"/>
          <w:jc w:val="center"/>
          <w:tblLayout w:type="fixed"/>
          <w:tblLook w:val="0000"/>
        </w:tblPrEx>
        <w:trPr>
          <w:trHeight w:val="323"/>
          <w:jc w:val="center"/>
        </w:trPr>
        <w:tc>
          <w:tcPr>
            <w:tcW w:w="2340" w:type="dxa"/>
            <w:vAlign w:val="bottom"/>
          </w:tcPr>
          <w:p w:rsidR="00117A98" w:rsidRPr="00193819" w:rsidP="00937ED6">
            <w:pPr>
              <w:keepNext/>
              <w:keepLines/>
              <w:spacing w:after="120"/>
              <w:jc w:val="right"/>
              <w:rPr>
                <w:color w:val="000000"/>
                <w:sz w:val="20"/>
              </w:rPr>
            </w:pPr>
            <w:r w:rsidRPr="00193819">
              <w:rPr>
                <w:color w:val="000000"/>
                <w:sz w:val="20"/>
              </w:rPr>
              <w:t>Radio Broadcasters</w:t>
            </w:r>
          </w:p>
        </w:tc>
        <w:tc>
          <w:tcPr>
            <w:tcW w:w="1350" w:type="dxa"/>
            <w:vAlign w:val="bottom"/>
          </w:tcPr>
          <w:p w:rsidR="00117A98" w:rsidRPr="00193819" w:rsidP="00937ED6">
            <w:pPr>
              <w:keepNext/>
              <w:keepLines/>
              <w:spacing w:after="120"/>
              <w:jc w:val="center"/>
              <w:rPr>
                <w:bCs/>
                <w:color w:val="000000"/>
                <w:sz w:val="20"/>
              </w:rPr>
            </w:pPr>
            <w:r>
              <w:rPr>
                <w:bCs/>
                <w:color w:val="000000"/>
                <w:sz w:val="20"/>
              </w:rPr>
              <w:t>13,940</w:t>
            </w:r>
          </w:p>
        </w:tc>
        <w:tc>
          <w:tcPr>
            <w:tcW w:w="1260" w:type="dxa"/>
            <w:vAlign w:val="bottom"/>
          </w:tcPr>
          <w:p w:rsidR="00117A98" w:rsidRPr="00543822" w:rsidP="00937ED6">
            <w:pPr>
              <w:keepNext/>
              <w:keepLines/>
              <w:spacing w:after="120"/>
              <w:jc w:val="center"/>
              <w:rPr>
                <w:color w:val="000000"/>
                <w:sz w:val="20"/>
              </w:rPr>
            </w:pPr>
            <w:r>
              <w:rPr>
                <w:color w:val="000000"/>
                <w:sz w:val="20"/>
              </w:rPr>
              <w:t>11,501</w:t>
            </w:r>
          </w:p>
        </w:tc>
        <w:tc>
          <w:tcPr>
            <w:tcW w:w="1170" w:type="dxa"/>
            <w:vAlign w:val="bottom"/>
          </w:tcPr>
          <w:p w:rsidR="00117A98" w:rsidRPr="00A0560A" w:rsidP="00937ED6">
            <w:pPr>
              <w:keepNext/>
              <w:keepLines/>
              <w:spacing w:after="120"/>
              <w:jc w:val="center"/>
              <w:rPr>
                <w:color w:val="000000"/>
                <w:sz w:val="20"/>
              </w:rPr>
            </w:pPr>
            <w:r>
              <w:rPr>
                <w:color w:val="000000"/>
                <w:sz w:val="20"/>
              </w:rPr>
              <w:t>82.5%</w:t>
            </w:r>
          </w:p>
        </w:tc>
      </w:tr>
      <w:tr w:rsidTr="00285F89">
        <w:tblPrEx>
          <w:tblW w:w="6120" w:type="dxa"/>
          <w:jc w:val="center"/>
          <w:tblLayout w:type="fixed"/>
          <w:tblLook w:val="0000"/>
        </w:tblPrEx>
        <w:trPr>
          <w:trHeight w:val="359"/>
          <w:jc w:val="center"/>
        </w:trPr>
        <w:tc>
          <w:tcPr>
            <w:tcW w:w="2340" w:type="dxa"/>
            <w:shd w:val="clear" w:color="auto" w:fill="FFFFFF"/>
            <w:vAlign w:val="bottom"/>
          </w:tcPr>
          <w:p w:rsidR="00117A98" w:rsidRPr="00193819" w:rsidP="00937ED6">
            <w:pPr>
              <w:keepNext/>
              <w:keepLines/>
              <w:spacing w:after="120"/>
              <w:jc w:val="right"/>
              <w:rPr>
                <w:bCs/>
                <w:color w:val="000000"/>
                <w:sz w:val="20"/>
              </w:rPr>
            </w:pPr>
            <w:r w:rsidRPr="00193819">
              <w:rPr>
                <w:color w:val="000000"/>
                <w:sz w:val="20"/>
              </w:rPr>
              <w:t>Television Broadcasters</w:t>
            </w:r>
          </w:p>
        </w:tc>
        <w:tc>
          <w:tcPr>
            <w:tcW w:w="1350" w:type="dxa"/>
            <w:shd w:val="clear" w:color="auto" w:fill="FFFFFF"/>
            <w:vAlign w:val="bottom"/>
          </w:tcPr>
          <w:p w:rsidR="00117A98" w:rsidRPr="00193819" w:rsidP="00937ED6">
            <w:pPr>
              <w:keepNext/>
              <w:keepLines/>
              <w:spacing w:after="120"/>
              <w:jc w:val="center"/>
              <w:rPr>
                <w:bCs/>
                <w:color w:val="000000"/>
                <w:sz w:val="20"/>
              </w:rPr>
            </w:pPr>
            <w:r>
              <w:rPr>
                <w:bCs/>
                <w:color w:val="000000"/>
                <w:sz w:val="20"/>
              </w:rPr>
              <w:t>2,717</w:t>
            </w:r>
          </w:p>
        </w:tc>
        <w:tc>
          <w:tcPr>
            <w:tcW w:w="1260" w:type="dxa"/>
            <w:shd w:val="clear" w:color="auto" w:fill="FFFFFF"/>
            <w:vAlign w:val="bottom"/>
          </w:tcPr>
          <w:p w:rsidR="00117A98" w:rsidRPr="00193819" w:rsidP="00937ED6">
            <w:pPr>
              <w:keepNext/>
              <w:keepLines/>
              <w:spacing w:after="120"/>
              <w:jc w:val="center"/>
              <w:rPr>
                <w:bCs/>
                <w:color w:val="000000"/>
                <w:sz w:val="20"/>
              </w:rPr>
            </w:pPr>
            <w:r>
              <w:rPr>
                <w:bCs/>
                <w:color w:val="000000"/>
                <w:sz w:val="20"/>
              </w:rPr>
              <w:t>2,050</w:t>
            </w:r>
          </w:p>
        </w:tc>
        <w:tc>
          <w:tcPr>
            <w:tcW w:w="1170" w:type="dxa"/>
            <w:shd w:val="clear" w:color="auto" w:fill="FFFFFF"/>
            <w:vAlign w:val="bottom"/>
          </w:tcPr>
          <w:p w:rsidR="00117A98" w:rsidRPr="00193819" w:rsidP="00937ED6">
            <w:pPr>
              <w:keepNext/>
              <w:keepLines/>
              <w:spacing w:after="120"/>
              <w:jc w:val="center"/>
              <w:rPr>
                <w:bCs/>
                <w:color w:val="000000"/>
                <w:sz w:val="20"/>
              </w:rPr>
            </w:pPr>
            <w:r>
              <w:rPr>
                <w:bCs/>
                <w:color w:val="000000"/>
                <w:sz w:val="20"/>
              </w:rPr>
              <w:t>75.5%</w:t>
            </w:r>
          </w:p>
        </w:tc>
      </w:tr>
      <w:tr w:rsidTr="00285F89">
        <w:tblPrEx>
          <w:tblW w:w="6120" w:type="dxa"/>
          <w:jc w:val="center"/>
          <w:tblLayout w:type="fixed"/>
          <w:tblLook w:val="0000"/>
        </w:tblPrEx>
        <w:trPr>
          <w:trHeight w:val="111"/>
          <w:jc w:val="center"/>
        </w:trPr>
        <w:tc>
          <w:tcPr>
            <w:tcW w:w="2340" w:type="dxa"/>
            <w:vAlign w:val="bottom"/>
          </w:tcPr>
          <w:p w:rsidR="00117A98" w:rsidRPr="00193819" w:rsidP="00937ED6">
            <w:pPr>
              <w:keepNext/>
              <w:keepLines/>
              <w:spacing w:after="120"/>
              <w:jc w:val="right"/>
              <w:rPr>
                <w:bCs/>
                <w:color w:val="000000"/>
                <w:sz w:val="20"/>
              </w:rPr>
            </w:pPr>
            <w:r w:rsidRPr="00193819">
              <w:rPr>
                <w:color w:val="000000"/>
                <w:sz w:val="20"/>
              </w:rPr>
              <w:t>Cable Systems</w:t>
            </w:r>
          </w:p>
        </w:tc>
        <w:tc>
          <w:tcPr>
            <w:tcW w:w="1350" w:type="dxa"/>
            <w:vAlign w:val="bottom"/>
          </w:tcPr>
          <w:p w:rsidR="00117A98" w:rsidRPr="00193819" w:rsidP="00937ED6">
            <w:pPr>
              <w:keepNext/>
              <w:keepLines/>
              <w:spacing w:after="120"/>
              <w:jc w:val="center"/>
              <w:rPr>
                <w:bCs/>
                <w:color w:val="000000"/>
                <w:sz w:val="20"/>
              </w:rPr>
            </w:pPr>
            <w:r>
              <w:rPr>
                <w:bCs/>
                <w:color w:val="000000"/>
                <w:sz w:val="20"/>
              </w:rPr>
              <w:t>2,626</w:t>
            </w:r>
          </w:p>
        </w:tc>
        <w:tc>
          <w:tcPr>
            <w:tcW w:w="1260" w:type="dxa"/>
            <w:vAlign w:val="bottom"/>
          </w:tcPr>
          <w:p w:rsidR="00117A98" w:rsidRPr="00193819" w:rsidP="00937ED6">
            <w:pPr>
              <w:keepNext/>
              <w:keepLines/>
              <w:spacing w:after="120"/>
              <w:jc w:val="center"/>
              <w:rPr>
                <w:bCs/>
                <w:color w:val="000000"/>
                <w:sz w:val="20"/>
              </w:rPr>
            </w:pPr>
            <w:r>
              <w:rPr>
                <w:bCs/>
                <w:color w:val="000000"/>
                <w:sz w:val="20"/>
              </w:rPr>
              <w:t>2,187</w:t>
            </w:r>
          </w:p>
        </w:tc>
        <w:tc>
          <w:tcPr>
            <w:tcW w:w="1170" w:type="dxa"/>
            <w:vAlign w:val="bottom"/>
          </w:tcPr>
          <w:p w:rsidR="00117A98" w:rsidRPr="00193819" w:rsidP="00937ED6">
            <w:pPr>
              <w:keepNext/>
              <w:keepLines/>
              <w:spacing w:after="120"/>
              <w:jc w:val="center"/>
              <w:rPr>
                <w:bCs/>
                <w:color w:val="000000"/>
                <w:sz w:val="20"/>
              </w:rPr>
            </w:pPr>
            <w:r>
              <w:rPr>
                <w:bCs/>
                <w:color w:val="000000"/>
                <w:sz w:val="20"/>
              </w:rPr>
              <w:t>83.3%</w:t>
            </w:r>
          </w:p>
        </w:tc>
      </w:tr>
      <w:tr w:rsidTr="00285F89">
        <w:tblPrEx>
          <w:tblW w:w="6120" w:type="dxa"/>
          <w:jc w:val="center"/>
          <w:tblLayout w:type="fixed"/>
          <w:tblLook w:val="0000"/>
        </w:tblPrEx>
        <w:trPr>
          <w:trHeight w:val="111"/>
          <w:jc w:val="center"/>
        </w:trPr>
        <w:tc>
          <w:tcPr>
            <w:tcW w:w="2340" w:type="dxa"/>
            <w:vAlign w:val="bottom"/>
          </w:tcPr>
          <w:p w:rsidR="00117A98" w:rsidRPr="00193819" w:rsidP="00937ED6">
            <w:pPr>
              <w:keepNext/>
              <w:keepLines/>
              <w:spacing w:after="120"/>
              <w:jc w:val="right"/>
              <w:rPr>
                <w:bCs/>
                <w:color w:val="000000"/>
                <w:sz w:val="20"/>
              </w:rPr>
            </w:pPr>
            <w:r>
              <w:rPr>
                <w:color w:val="000000"/>
                <w:sz w:val="20"/>
              </w:rPr>
              <w:t>IPTV Provider</w:t>
            </w:r>
            <w:r w:rsidRPr="00193819">
              <w:rPr>
                <w:color w:val="000000"/>
                <w:sz w:val="20"/>
              </w:rPr>
              <w:t xml:space="preserve"> </w:t>
            </w:r>
          </w:p>
        </w:tc>
        <w:tc>
          <w:tcPr>
            <w:tcW w:w="1350" w:type="dxa"/>
            <w:vAlign w:val="bottom"/>
          </w:tcPr>
          <w:p w:rsidR="00117A98" w:rsidRPr="00193819" w:rsidP="00937ED6">
            <w:pPr>
              <w:keepNext/>
              <w:keepLines/>
              <w:spacing w:after="120"/>
              <w:jc w:val="center"/>
              <w:rPr>
                <w:bCs/>
                <w:color w:val="000000"/>
                <w:sz w:val="20"/>
              </w:rPr>
            </w:pPr>
            <w:r>
              <w:rPr>
                <w:bCs/>
                <w:color w:val="000000"/>
                <w:sz w:val="20"/>
              </w:rPr>
              <w:t>254</w:t>
            </w:r>
          </w:p>
        </w:tc>
        <w:tc>
          <w:tcPr>
            <w:tcW w:w="1260" w:type="dxa"/>
            <w:vAlign w:val="bottom"/>
          </w:tcPr>
          <w:p w:rsidR="00117A98" w:rsidRPr="00193819" w:rsidP="00937ED6">
            <w:pPr>
              <w:keepNext/>
              <w:keepLines/>
              <w:spacing w:after="120"/>
              <w:jc w:val="center"/>
              <w:rPr>
                <w:bCs/>
                <w:color w:val="000000"/>
                <w:sz w:val="20"/>
              </w:rPr>
            </w:pPr>
            <w:r>
              <w:rPr>
                <w:bCs/>
                <w:color w:val="000000"/>
                <w:sz w:val="20"/>
              </w:rPr>
              <w:t>193</w:t>
            </w:r>
          </w:p>
        </w:tc>
        <w:tc>
          <w:tcPr>
            <w:tcW w:w="1170" w:type="dxa"/>
            <w:vAlign w:val="bottom"/>
          </w:tcPr>
          <w:p w:rsidR="00117A98" w:rsidRPr="00193819" w:rsidP="00937ED6">
            <w:pPr>
              <w:keepNext/>
              <w:keepLines/>
              <w:spacing w:after="120"/>
              <w:jc w:val="center"/>
              <w:rPr>
                <w:bCs/>
                <w:color w:val="000000"/>
                <w:sz w:val="20"/>
              </w:rPr>
            </w:pPr>
            <w:r>
              <w:rPr>
                <w:bCs/>
                <w:color w:val="000000"/>
                <w:sz w:val="20"/>
              </w:rPr>
              <w:t>76.0%</w:t>
            </w:r>
          </w:p>
        </w:tc>
      </w:tr>
      <w:tr w:rsidTr="00285F89">
        <w:tblPrEx>
          <w:tblW w:w="6120" w:type="dxa"/>
          <w:jc w:val="center"/>
          <w:tblLayout w:type="fixed"/>
          <w:tblLook w:val="0000"/>
        </w:tblPrEx>
        <w:trPr>
          <w:trHeight w:val="314"/>
          <w:jc w:val="center"/>
        </w:trPr>
        <w:tc>
          <w:tcPr>
            <w:tcW w:w="2340" w:type="dxa"/>
            <w:vAlign w:val="bottom"/>
          </w:tcPr>
          <w:p w:rsidR="00117A98" w:rsidRPr="00193819" w:rsidP="00937ED6">
            <w:pPr>
              <w:keepNext/>
              <w:keepLines/>
              <w:spacing w:after="120"/>
              <w:jc w:val="right"/>
              <w:rPr>
                <w:bCs/>
                <w:color w:val="000000"/>
                <w:sz w:val="20"/>
              </w:rPr>
            </w:pPr>
            <w:r w:rsidRPr="00193819">
              <w:rPr>
                <w:color w:val="000000"/>
                <w:sz w:val="20"/>
              </w:rPr>
              <w:t>Wireline Video System</w:t>
            </w:r>
          </w:p>
        </w:tc>
        <w:tc>
          <w:tcPr>
            <w:tcW w:w="1350" w:type="dxa"/>
            <w:vAlign w:val="bottom"/>
          </w:tcPr>
          <w:p w:rsidR="00117A98" w:rsidRPr="00193819" w:rsidP="00937ED6">
            <w:pPr>
              <w:keepNext/>
              <w:keepLines/>
              <w:spacing w:after="120"/>
              <w:jc w:val="center"/>
              <w:rPr>
                <w:bCs/>
                <w:color w:val="000000"/>
                <w:sz w:val="20"/>
              </w:rPr>
            </w:pPr>
            <w:r>
              <w:rPr>
                <w:bCs/>
                <w:color w:val="000000"/>
                <w:sz w:val="20"/>
              </w:rPr>
              <w:t>61</w:t>
            </w:r>
          </w:p>
        </w:tc>
        <w:tc>
          <w:tcPr>
            <w:tcW w:w="1260" w:type="dxa"/>
            <w:vAlign w:val="bottom"/>
          </w:tcPr>
          <w:p w:rsidR="00117A98" w:rsidRPr="00193819" w:rsidP="00937ED6">
            <w:pPr>
              <w:keepNext/>
              <w:keepLines/>
              <w:spacing w:after="120"/>
              <w:jc w:val="center"/>
              <w:rPr>
                <w:bCs/>
                <w:color w:val="000000"/>
                <w:sz w:val="20"/>
              </w:rPr>
            </w:pPr>
            <w:r>
              <w:rPr>
                <w:bCs/>
                <w:color w:val="000000"/>
                <w:sz w:val="20"/>
              </w:rPr>
              <w:t>47</w:t>
            </w:r>
          </w:p>
        </w:tc>
        <w:tc>
          <w:tcPr>
            <w:tcW w:w="1170" w:type="dxa"/>
            <w:vAlign w:val="bottom"/>
          </w:tcPr>
          <w:p w:rsidR="00117A98" w:rsidRPr="00193819" w:rsidP="00937ED6">
            <w:pPr>
              <w:keepNext/>
              <w:keepLines/>
              <w:spacing w:after="120"/>
              <w:jc w:val="center"/>
              <w:rPr>
                <w:bCs/>
                <w:color w:val="000000"/>
                <w:sz w:val="20"/>
              </w:rPr>
            </w:pPr>
            <w:r>
              <w:rPr>
                <w:bCs/>
                <w:color w:val="000000"/>
                <w:sz w:val="20"/>
              </w:rPr>
              <w:t>77.0%</w:t>
            </w:r>
          </w:p>
        </w:tc>
      </w:tr>
      <w:tr w:rsidTr="00285F89">
        <w:tblPrEx>
          <w:tblW w:w="6120" w:type="dxa"/>
          <w:jc w:val="center"/>
          <w:tblLayout w:type="fixed"/>
          <w:tblLook w:val="0000"/>
        </w:tblPrEx>
        <w:trPr>
          <w:trHeight w:val="111"/>
          <w:jc w:val="center"/>
        </w:trPr>
        <w:tc>
          <w:tcPr>
            <w:tcW w:w="2340" w:type="dxa"/>
            <w:vAlign w:val="bottom"/>
          </w:tcPr>
          <w:p w:rsidR="00117A98" w:rsidRPr="00193819" w:rsidP="00937ED6">
            <w:pPr>
              <w:keepNext/>
              <w:keepLines/>
              <w:spacing w:after="120"/>
              <w:jc w:val="right"/>
              <w:rPr>
                <w:bCs/>
                <w:color w:val="000000"/>
                <w:sz w:val="20"/>
              </w:rPr>
            </w:pPr>
            <w:r w:rsidRPr="00193819">
              <w:rPr>
                <w:color w:val="000000"/>
                <w:sz w:val="20"/>
              </w:rPr>
              <w:t>Other</w:t>
            </w:r>
          </w:p>
        </w:tc>
        <w:tc>
          <w:tcPr>
            <w:tcW w:w="1350" w:type="dxa"/>
            <w:vAlign w:val="bottom"/>
          </w:tcPr>
          <w:p w:rsidR="00117A98" w:rsidRPr="00193819" w:rsidP="00937ED6">
            <w:pPr>
              <w:keepNext/>
              <w:keepLines/>
              <w:spacing w:after="120"/>
              <w:jc w:val="center"/>
              <w:rPr>
                <w:bCs/>
                <w:color w:val="000000"/>
                <w:sz w:val="20"/>
              </w:rPr>
            </w:pPr>
            <w:r>
              <w:rPr>
                <w:bCs/>
                <w:color w:val="000000"/>
                <w:sz w:val="20"/>
              </w:rPr>
              <w:t>9</w:t>
            </w:r>
          </w:p>
        </w:tc>
        <w:tc>
          <w:tcPr>
            <w:tcW w:w="1260" w:type="dxa"/>
            <w:vAlign w:val="bottom"/>
          </w:tcPr>
          <w:p w:rsidR="00117A98" w:rsidRPr="00193819" w:rsidP="00937ED6">
            <w:pPr>
              <w:keepNext/>
              <w:keepLines/>
              <w:spacing w:after="120"/>
              <w:jc w:val="center"/>
              <w:rPr>
                <w:bCs/>
                <w:color w:val="000000"/>
                <w:sz w:val="20"/>
              </w:rPr>
            </w:pPr>
            <w:r>
              <w:rPr>
                <w:bCs/>
                <w:color w:val="000000"/>
                <w:sz w:val="20"/>
              </w:rPr>
              <w:t>8</w:t>
            </w:r>
          </w:p>
        </w:tc>
        <w:tc>
          <w:tcPr>
            <w:tcW w:w="1170" w:type="dxa"/>
            <w:vAlign w:val="bottom"/>
          </w:tcPr>
          <w:p w:rsidR="00117A98" w:rsidRPr="00193819" w:rsidP="00937ED6">
            <w:pPr>
              <w:keepNext/>
              <w:keepLines/>
              <w:spacing w:after="120"/>
              <w:jc w:val="center"/>
              <w:rPr>
                <w:bCs/>
                <w:color w:val="000000"/>
                <w:sz w:val="20"/>
              </w:rPr>
            </w:pPr>
            <w:r>
              <w:rPr>
                <w:bCs/>
                <w:color w:val="000000"/>
                <w:sz w:val="20"/>
              </w:rPr>
              <w:t>88.9%</w:t>
            </w:r>
          </w:p>
        </w:tc>
      </w:tr>
      <w:tr w:rsidTr="00285F89">
        <w:tblPrEx>
          <w:tblW w:w="6120" w:type="dxa"/>
          <w:jc w:val="center"/>
          <w:tblLayout w:type="fixed"/>
          <w:tblLook w:val="0000"/>
        </w:tblPrEx>
        <w:trPr>
          <w:trHeight w:val="80"/>
          <w:jc w:val="center"/>
        </w:trPr>
        <w:tc>
          <w:tcPr>
            <w:tcW w:w="2340" w:type="dxa"/>
            <w:shd w:val="clear" w:color="auto" w:fill="C0C0C0"/>
            <w:vAlign w:val="bottom"/>
          </w:tcPr>
          <w:p w:rsidR="00117A98" w:rsidRPr="00193819" w:rsidP="00937ED6">
            <w:pPr>
              <w:spacing w:after="120"/>
              <w:jc w:val="right"/>
              <w:rPr>
                <w:b/>
                <w:i/>
                <w:iCs/>
                <w:color w:val="000000"/>
                <w:sz w:val="20"/>
              </w:rPr>
            </w:pPr>
            <w:r w:rsidRPr="00193819">
              <w:rPr>
                <w:b/>
                <w:i/>
                <w:iCs/>
                <w:color w:val="000000"/>
                <w:sz w:val="20"/>
              </w:rPr>
              <w:t>All Total</w:t>
            </w:r>
          </w:p>
        </w:tc>
        <w:tc>
          <w:tcPr>
            <w:tcW w:w="1350" w:type="dxa"/>
            <w:shd w:val="clear" w:color="auto" w:fill="C0C0C0"/>
            <w:vAlign w:val="bottom"/>
          </w:tcPr>
          <w:p w:rsidR="00117A98" w:rsidRPr="00193819" w:rsidP="00937ED6">
            <w:pPr>
              <w:spacing w:after="120"/>
              <w:jc w:val="center"/>
              <w:rPr>
                <w:b/>
                <w:color w:val="000000"/>
                <w:sz w:val="20"/>
              </w:rPr>
            </w:pPr>
            <w:r>
              <w:rPr>
                <w:b/>
                <w:color w:val="000000"/>
                <w:sz w:val="20"/>
              </w:rPr>
              <w:t>19,607</w:t>
            </w:r>
          </w:p>
        </w:tc>
        <w:tc>
          <w:tcPr>
            <w:tcW w:w="1260" w:type="dxa"/>
            <w:shd w:val="clear" w:color="auto" w:fill="C0C0C0"/>
            <w:vAlign w:val="bottom"/>
          </w:tcPr>
          <w:p w:rsidR="00117A98" w:rsidRPr="00A72A7A" w:rsidP="00937ED6">
            <w:pPr>
              <w:keepNext/>
              <w:keepLines/>
              <w:spacing w:after="120"/>
              <w:jc w:val="center"/>
              <w:rPr>
                <w:b/>
                <w:bCs/>
                <w:color w:val="000000"/>
                <w:sz w:val="20"/>
              </w:rPr>
            </w:pPr>
            <w:r>
              <w:rPr>
                <w:b/>
                <w:bCs/>
                <w:color w:val="000000"/>
                <w:sz w:val="20"/>
              </w:rPr>
              <w:t>15,986</w:t>
            </w:r>
          </w:p>
        </w:tc>
        <w:tc>
          <w:tcPr>
            <w:tcW w:w="1170" w:type="dxa"/>
            <w:shd w:val="clear" w:color="auto" w:fill="C0C0C0"/>
            <w:vAlign w:val="bottom"/>
          </w:tcPr>
          <w:p w:rsidR="00117A98" w:rsidRPr="00A0560A" w:rsidP="00937ED6">
            <w:pPr>
              <w:keepNext/>
              <w:keepLines/>
              <w:spacing w:after="120"/>
              <w:jc w:val="center"/>
              <w:rPr>
                <w:b/>
                <w:bCs/>
                <w:color w:val="000000"/>
                <w:sz w:val="20"/>
              </w:rPr>
            </w:pPr>
            <w:r>
              <w:rPr>
                <w:b/>
                <w:bCs/>
                <w:color w:val="000000"/>
                <w:sz w:val="20"/>
              </w:rPr>
              <w:t>81.5%</w:t>
            </w:r>
          </w:p>
        </w:tc>
      </w:tr>
      <w:bookmarkEnd w:id="3"/>
    </w:tbl>
    <w:p w:rsidR="000E75AC" w:rsidP="000E75AC">
      <w:pPr>
        <w:pStyle w:val="ListParagraph"/>
        <w:spacing w:after="220" w:line="240" w:lineRule="auto"/>
        <w:rPr>
          <w:rFonts w:ascii="Times New Roman" w:hAnsi="Times New Roman"/>
        </w:rPr>
      </w:pPr>
    </w:p>
    <w:p w:rsidR="005D5ADB" w:rsidP="005F29E6">
      <w:pPr>
        <w:pStyle w:val="ParaNum"/>
        <w:numPr>
          <w:ilvl w:val="0"/>
          <w:numId w:val="0"/>
        </w:numPr>
        <w:spacing w:after="220"/>
        <w:ind w:firstLine="720"/>
      </w:pPr>
      <w:r w:rsidRPr="00CD3593">
        <w:t>Together with FEMA, the Bureau will continue to analyze the results of the 201</w:t>
      </w:r>
      <w:r>
        <w:t>9</w:t>
      </w:r>
      <w:r w:rsidRPr="00CD3593">
        <w:t xml:space="preserve"> nationwide</w:t>
      </w:r>
      <w:r>
        <w:t xml:space="preserve"> </w:t>
      </w:r>
      <w:r w:rsidRPr="00CD3593">
        <w:t>EAS test and release more detailed findings when available.</w:t>
      </w:r>
      <w:r w:rsidRPr="00112441">
        <w:t xml:space="preserve"> </w:t>
      </w:r>
      <w:r>
        <w:t xml:space="preserve"> </w:t>
      </w:r>
      <w:r w:rsidRPr="00112441">
        <w:t xml:space="preserve">For further information, please contact </w:t>
      </w:r>
      <w:r>
        <w:t>Maureen Bizhko, Attorney Advisor, Policy and Licensing Division, Public Safety and Homeland Security Bureau, at (202) 418-</w:t>
      </w:r>
      <w:r w:rsidR="003F13A6">
        <w:t>0011</w:t>
      </w:r>
      <w:r>
        <w:t xml:space="preserve"> or </w:t>
      </w:r>
      <w:hyperlink r:id="rId5" w:history="1">
        <w:r w:rsidRPr="00F16B91">
          <w:rPr>
            <w:rStyle w:val="Hyperlink"/>
          </w:rPr>
          <w:t>Maureen.Bizkho@fcc.gov</w:t>
        </w:r>
      </w:hyperlink>
      <w:r>
        <w:t>.</w:t>
      </w:r>
    </w:p>
    <w:p w:rsidR="00AA589C" w:rsidRPr="002F4BF5" w:rsidP="002F4BF5">
      <w:pPr>
        <w:spacing w:after="220"/>
        <w:jc w:val="center"/>
        <w:rPr>
          <w:b/>
          <w:szCs w:val="22"/>
        </w:rPr>
      </w:pPr>
      <w:r w:rsidRPr="00BE5BE6">
        <w:rPr>
          <w:b/>
          <w:szCs w:val="22"/>
        </w:rPr>
        <w:t>-FCC-</w:t>
      </w:r>
    </w:p>
    <w:sectPr w:rsidSect="00F75A9A">
      <w:headerReference w:type="default" r:id="rId6"/>
      <w:footerReference w:type="even" r:id="rId7"/>
      <w:footerReference w:type="default" r:id="rId8"/>
      <w:headerReference w:type="first" r:id="rId9"/>
      <w:footerReference w:type="first" r:id="rId10"/>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5200" w:rsidP="00F75A9A">
    <w:pPr>
      <w:pStyle w:val="Footer"/>
      <w:tabs>
        <w:tab w:val="clear" w:pos="4320"/>
        <w:tab w:val="center" w:pos="4680"/>
        <w:tab w:val="clear" w:pos="8640"/>
      </w:tabs>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5A9A" w:rsidP="00F75A9A">
    <w:pPr>
      <w:pStyle w:val="Footer"/>
      <w:tabs>
        <w:tab w:val="clear" w:pos="4320"/>
        <w:tab w:val="center" w:pos="4680"/>
        <w:tab w:val="clear" w:pos="864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309A3">
      <w:r>
        <w:separator/>
      </w:r>
    </w:p>
  </w:footnote>
  <w:footnote w:type="continuationSeparator" w:id="1">
    <w:p w:rsidR="006309A3">
      <w:pPr>
        <w:rPr>
          <w:sz w:val="20"/>
        </w:rPr>
      </w:pPr>
      <w:r>
        <w:rPr>
          <w:sz w:val="20"/>
        </w:rPr>
        <w:t xml:space="preserve">(Continued from previous page)  </w:t>
      </w:r>
      <w:r>
        <w:rPr>
          <w:sz w:val="20"/>
        </w:rPr>
        <w:separator/>
      </w:r>
    </w:p>
  </w:footnote>
  <w:footnote w:type="continuationNotice" w:id="2">
    <w:p w:rsidR="006309A3" w:rsidP="00910F12">
      <w:pPr>
        <w:jc w:val="right"/>
        <w:rPr>
          <w:sz w:val="20"/>
        </w:rPr>
      </w:pPr>
      <w:r>
        <w:rPr>
          <w:sz w:val="20"/>
        </w:rPr>
        <w:t>(continued….)</w:t>
      </w:r>
    </w:p>
  </w:footnote>
  <w:footnote w:id="3">
    <w:p w:rsidR="00DC231D" w:rsidRPr="00E7308D" w:rsidP="00DC231D">
      <w:pPr>
        <w:pStyle w:val="FootnoteText"/>
      </w:pPr>
      <w:r>
        <w:rPr>
          <w:rStyle w:val="FootnoteReference"/>
        </w:rPr>
        <w:footnoteRef/>
      </w:r>
      <w:r>
        <w:t xml:space="preserve"> </w:t>
      </w:r>
      <w:r>
        <w:rPr>
          <w:i/>
        </w:rPr>
        <w:t>Public Safety and Homeland Security Bureau Announces Nationwide Test of the Emergency Alert System on August 7, 2019 and Opens the EAS Test Reporting System for 2019 Filings</w:t>
      </w:r>
      <w:r>
        <w:t xml:space="preserve">, Public Notice, PS Docket No. 15-94, 34 FCC </w:t>
      </w:r>
      <w:r>
        <w:t>Rcd</w:t>
      </w:r>
      <w:r>
        <w:t xml:space="preserve"> 4347 (PSHSB 2019); </w:t>
      </w:r>
      <w:r>
        <w:rPr>
          <w:i/>
        </w:rPr>
        <w:t>Public Safety and Homeland Security Bureau Reminds EAS Participants of Upcoming Dates and Deadlines for 2019 Nationwide EAS Test</w:t>
      </w:r>
      <w:r>
        <w:t xml:space="preserve">, Public Notice, PS Docket No. 15-94, 34 FCC </w:t>
      </w:r>
      <w:r>
        <w:t>Rcd</w:t>
      </w:r>
      <w:r>
        <w:t xml:space="preserve"> 5210 (PSHSB 2019).</w:t>
      </w:r>
    </w:p>
  </w:footnote>
  <w:footnote w:id="4">
    <w:p w:rsidR="00DC231D" w:rsidP="00DC231D">
      <w:pPr>
        <w:pStyle w:val="FootnoteText"/>
      </w:pPr>
      <w:r>
        <w:rPr>
          <w:rStyle w:val="FootnoteReference"/>
        </w:rPr>
        <w:footnoteRef/>
      </w:r>
      <w:r>
        <w:t xml:space="preserve"> FCC, Report: October 3, 2018 Nationwide WEA and EAS Test (rel. April 2019), </w:t>
      </w:r>
      <w:hyperlink r:id="rId1" w:history="1">
        <w:r>
          <w:rPr>
            <w:rStyle w:val="Hyperlink"/>
          </w:rPr>
          <w:t>https://docs.fcc.gov/public/attachments/DOC-356902A1.pdf</w:t>
        </w:r>
      </w:hyperlink>
      <w:r>
        <w:t xml:space="preserve"> (</w:t>
      </w:r>
      <w:bookmarkStart w:id="2" w:name="_Hlk25563809"/>
      <w:r>
        <w:t>2018 Nationwide WEA and EAS Test Report</w:t>
      </w:r>
      <w:bookmarkEnd w:id="2"/>
      <w:r>
        <w:t>).  The 2019 nationwide test did not include Wireless Emergency Alerts (WEA)</w:t>
      </w:r>
    </w:p>
  </w:footnote>
  <w:footnote w:id="5">
    <w:p w:rsidR="00522508" w:rsidP="00522508">
      <w:pPr>
        <w:pStyle w:val="FootnoteText"/>
      </w:pPr>
      <w:r>
        <w:rPr>
          <w:rStyle w:val="FootnoteReference"/>
        </w:rPr>
        <w:footnoteRef/>
      </w:r>
      <w:r>
        <w:t xml:space="preserve"> </w:t>
      </w:r>
      <w:r>
        <w:rPr>
          <w:i/>
        </w:rPr>
        <w:t>See Review of the Emergency Alert System</w:t>
      </w:r>
      <w:r>
        <w:t xml:space="preserve">, EB Docket No. 04-296, Sixth Report and Order, 30 FCC </w:t>
      </w:r>
      <w:r>
        <w:t>Rcd</w:t>
      </w:r>
      <w:r>
        <w:t xml:space="preserve"> 6520, 6522-23, paras. 4-6 (2015) (</w:t>
      </w:r>
      <w:r w:rsidRPr="003025FE">
        <w:rPr>
          <w:i/>
        </w:rPr>
        <w:t>Sixth Report and Order</w:t>
      </w:r>
      <w:r>
        <w:t>) (describing EAS architecture).  In past years, FEMA has distributed the nationwide EAS test through both the broadcast-based daisy chain as well as over the Internet using the</w:t>
      </w:r>
      <w:r w:rsidRPr="00990789">
        <w:rPr>
          <w:szCs w:val="22"/>
        </w:rPr>
        <w:t xml:space="preserve"> Integrated Public Alert and Warning System (IPAWS).</w:t>
      </w:r>
      <w:r>
        <w:rPr>
          <w:szCs w:val="22"/>
        </w:rPr>
        <w:t xml:space="preserve">  </w:t>
      </w:r>
      <w:r>
        <w:t xml:space="preserve">The Commission’s rules require EAS Participants to be able to receive alerts from both IPAWS and the broadcast-based EAS structure.  </w:t>
      </w:r>
      <w:r w:rsidRPr="00B02521">
        <w:rPr>
          <w:i/>
        </w:rPr>
        <w:t xml:space="preserve">See </w:t>
      </w:r>
      <w:r>
        <w:t>47 CFR §§ 11.51(d), 11.56(a).</w:t>
      </w:r>
    </w:p>
  </w:footnote>
  <w:footnote w:id="6">
    <w:p w:rsidR="009A4EC7" w:rsidRPr="009A4EC7">
      <w:pPr>
        <w:pStyle w:val="FootnoteText"/>
      </w:pPr>
      <w:r>
        <w:rPr>
          <w:rStyle w:val="FootnoteReference"/>
        </w:rPr>
        <w:footnoteRef/>
      </w:r>
      <w:r>
        <w:t xml:space="preserve"> Due to the over-the-air dissemination, the test message was only transmitted in English and did not include full message text.  </w:t>
      </w:r>
      <w:r>
        <w:rPr>
          <w:i/>
        </w:rPr>
        <w:t xml:space="preserve">See </w:t>
      </w:r>
      <w:r>
        <w:t>Letter from Alfred Kenyon, Chief, Customer Support Branch, IPAWS Program Office, National Continuity Programs, Department of Homeland Security – FEMA, to Marlene H. Dortch, Office of the Secretary, Federal Communications Commission, at 1 (filed May 22, 2019) (on file in PS Docket No. 15-94).</w:t>
      </w:r>
    </w:p>
  </w:footnote>
  <w:footnote w:id="7">
    <w:p w:rsidR="004D398F">
      <w:pPr>
        <w:pStyle w:val="FootnoteText"/>
      </w:pPr>
      <w:r>
        <w:rPr>
          <w:rStyle w:val="FootnoteReference"/>
        </w:rPr>
        <w:footnoteRef/>
      </w:r>
      <w:r>
        <w:t xml:space="preserve"> </w:t>
      </w:r>
      <w:r w:rsidR="006D18DB">
        <w:t>47 CFR § 11.61(a)(3)(</w:t>
      </w:r>
      <w:r w:rsidR="006D18DB">
        <w:t>i</w:t>
      </w:r>
      <w:r w:rsidR="006D18DB">
        <w:t xml:space="preserve">).  </w:t>
      </w:r>
      <w:r>
        <w:t xml:space="preserve">EAS Participants are those entities that are required to comply with the Commission’s EAS rules, including radio and television stations, cable television systems, direct broadcast satellite, Satellite Digital Audio Radio Service, digital audio broadcasting systems, and wireline video systems.  </w:t>
      </w:r>
      <w:r w:rsidR="006D18DB">
        <w:rPr>
          <w:i/>
        </w:rPr>
        <w:t>Id</w:t>
      </w:r>
      <w:r w:rsidR="006D18DB">
        <w:t>.</w:t>
      </w:r>
      <w:r>
        <w:t xml:space="preserve"> §§ 11.2(b), 11.11(a).</w:t>
      </w:r>
    </w:p>
  </w:footnote>
  <w:footnote w:id="8">
    <w:p w:rsidR="00E7308D" w:rsidP="008861BD">
      <w:pPr>
        <w:pStyle w:val="FootnoteText"/>
      </w:pPr>
      <w:r>
        <w:rPr>
          <w:rStyle w:val="FootnoteReference"/>
        </w:rPr>
        <w:footnoteRef/>
      </w:r>
      <w:r>
        <w:t xml:space="preserve"> </w:t>
      </w:r>
      <w:r>
        <w:rPr>
          <w:i/>
        </w:rPr>
        <w:t xml:space="preserve">See </w:t>
      </w:r>
      <w:r w:rsidR="004550B3">
        <w:rPr>
          <w:i/>
        </w:rPr>
        <w:t>id</w:t>
      </w:r>
      <w:r w:rsidR="004550B3">
        <w:t>.</w:t>
      </w:r>
      <w:r>
        <w:t xml:space="preserve"> § 11.61(a)(3)(iv)(A).</w:t>
      </w:r>
    </w:p>
  </w:footnote>
  <w:footnote w:id="9">
    <w:p w:rsidR="00AB0169" w:rsidRPr="00E7308D">
      <w:pPr>
        <w:pStyle w:val="FootnoteText"/>
      </w:pPr>
      <w:r>
        <w:rPr>
          <w:rStyle w:val="FootnoteReference"/>
        </w:rPr>
        <w:footnoteRef/>
      </w:r>
      <w:r>
        <w:t xml:space="preserve"> </w:t>
      </w:r>
      <w:r w:rsidR="00E7308D">
        <w:rPr>
          <w:i/>
        </w:rPr>
        <w:t xml:space="preserve">See </w:t>
      </w:r>
      <w:r w:rsidR="004550B3">
        <w:rPr>
          <w:i/>
        </w:rPr>
        <w:t>id</w:t>
      </w:r>
      <w:r w:rsidR="004550B3">
        <w:t>.</w:t>
      </w:r>
      <w:r w:rsidR="00E7308D">
        <w:t xml:space="preserve"> § 11.61(a)(3)(iv</w:t>
      </w:r>
      <w:r w:rsidRPr="00E7308D" w:rsidR="00E7308D">
        <w:t>)(</w:t>
      </w:r>
      <w:r w:rsidRPr="00E7308D" w:rsidR="00E7308D">
        <w:rPr>
          <w:rFonts w:eastAsia="Segoe UI Emoji"/>
        </w:rPr>
        <w:t xml:space="preserve">B) </w:t>
      </w:r>
      <w:r w:rsidR="00E7308D">
        <w:rPr>
          <w:rFonts w:eastAsia="Segoe UI Emoji"/>
        </w:rPr>
        <w:t>(EAS Participants are required to file “day of test” data within 24 hours of any nationwide EAS test or as otherwise required by the Bureau).</w:t>
      </w:r>
    </w:p>
  </w:footnote>
  <w:footnote w:id="10">
    <w:p w:rsidR="00E7308D" w:rsidRPr="00E7308D">
      <w:pPr>
        <w:pStyle w:val="FootnoteText"/>
      </w:pPr>
      <w:r>
        <w:rPr>
          <w:rStyle w:val="FootnoteReference"/>
        </w:rPr>
        <w:footnoteRef/>
      </w:r>
      <w:r>
        <w:t xml:space="preserve"> </w:t>
      </w:r>
      <w:r>
        <w:rPr>
          <w:i/>
        </w:rPr>
        <w:t xml:space="preserve">See </w:t>
      </w:r>
      <w:r w:rsidR="004550B3">
        <w:rPr>
          <w:i/>
        </w:rPr>
        <w:t>id</w:t>
      </w:r>
      <w:r w:rsidR="004550B3">
        <w:t>.</w:t>
      </w:r>
      <w:r>
        <w:t xml:space="preserve"> § 11.61(a)(3)(iv)(C) (EAS Participants are required to file detailed post-test data within 45 days following a nationwide EAS test).</w:t>
      </w:r>
    </w:p>
  </w:footnote>
  <w:footnote w:id="11">
    <w:p w:rsidR="00816FDE" w:rsidP="00816FDE">
      <w:pPr>
        <w:pStyle w:val="FootnoteText"/>
      </w:pPr>
      <w:r>
        <w:rPr>
          <w:rStyle w:val="FootnoteReference"/>
        </w:rPr>
        <w:footnoteRef/>
      </w:r>
      <w:r>
        <w:t xml:space="preserve"> </w:t>
      </w:r>
      <w:r w:rsidR="00064431">
        <w:t>O</w:t>
      </w:r>
      <w:r w:rsidRPr="0036786F">
        <w:t xml:space="preserve">bservations presented in this </w:t>
      </w:r>
      <w:r w:rsidRPr="0036786F">
        <w:rPr>
          <w:i/>
        </w:rPr>
        <w:t xml:space="preserve">Public Notice </w:t>
      </w:r>
      <w:r>
        <w:t>are preliminary and subject to change</w:t>
      </w:r>
      <w:r w:rsidRPr="0036786F">
        <w:t xml:space="preserve"> as the </w:t>
      </w:r>
      <w:r>
        <w:t>Public Safety and</w:t>
      </w:r>
      <w:r w:rsidR="00064431">
        <w:t xml:space="preserve"> </w:t>
      </w:r>
      <w:r>
        <w:t>Homeland Security Bureau (</w:t>
      </w:r>
      <w:r w:rsidRPr="0036786F">
        <w:t>Bureau</w:t>
      </w:r>
      <w:r>
        <w:t>)</w:t>
      </w:r>
      <w:r w:rsidRPr="0036786F">
        <w:t xml:space="preserve"> </w:t>
      </w:r>
      <w:r>
        <w:t xml:space="preserve">collaborates with FEMA </w:t>
      </w:r>
      <w:r w:rsidRPr="00E61443">
        <w:t xml:space="preserve">to </w:t>
      </w:r>
      <w:r>
        <w:t xml:space="preserve">further </w:t>
      </w:r>
      <w:r w:rsidRPr="00E61443">
        <w:t>analyze results of the 201</w:t>
      </w:r>
      <w:r>
        <w:t>9</w:t>
      </w:r>
      <w:r w:rsidRPr="00E61443">
        <w:t xml:space="preserve"> nationwide </w:t>
      </w:r>
      <w:r w:rsidR="008A1695">
        <w:t xml:space="preserve">EAS </w:t>
      </w:r>
      <w:r w:rsidRPr="00E61443">
        <w:t>test</w:t>
      </w:r>
      <w:r>
        <w:t>.</w:t>
      </w:r>
      <w:r w:rsidR="007D7616">
        <w:t xml:space="preserve">  </w:t>
      </w:r>
      <w:r w:rsidRPr="00306D3D" w:rsidR="00A37B72">
        <w:t>One filer who submitted data on a timely basis on behalf of a significant number of EAS Participants made an obvious clerical error, which we have confirmed with the filer and corrected.</w:t>
      </w:r>
      <w:r w:rsidR="00A37B72">
        <w:t xml:space="preserve"> </w:t>
      </w:r>
    </w:p>
  </w:footnote>
  <w:footnote w:id="12">
    <w:p w:rsidR="00DF5238" w:rsidRPr="00DF5238">
      <w:pPr>
        <w:pStyle w:val="FootnoteText"/>
      </w:pPr>
      <w:r>
        <w:rPr>
          <w:rStyle w:val="FootnoteReference"/>
        </w:rPr>
        <w:footnoteRef/>
      </w:r>
      <w:r>
        <w:t xml:space="preserve"> </w:t>
      </w:r>
      <w:r w:rsidRPr="0036786F">
        <w:t>A “test participant</w:t>
      </w:r>
      <w:r>
        <w:t>,</w:t>
      </w:r>
      <w:r w:rsidRPr="0036786F">
        <w:t>”</w:t>
      </w:r>
      <w:r>
        <w:t xml:space="preserve"> as defined in the 2018 Nationwide WEA and EAS Test Report,</w:t>
      </w:r>
      <w:r w:rsidRPr="0036786F">
        <w:t xml:space="preserve"> is a unique EAS Participant that completed, at a minimum, ETRS Forms One and </w:t>
      </w:r>
      <w:r w:rsidRPr="004A4C27">
        <w:t xml:space="preserve">Two.  </w:t>
      </w:r>
      <w:r w:rsidRPr="004A4C27">
        <w:rPr>
          <w:i/>
        </w:rPr>
        <w:t xml:space="preserve">See </w:t>
      </w:r>
      <w:r w:rsidR="003D7B86">
        <w:t>2018 Nationwide WEA and EAS Test Report</w:t>
      </w:r>
      <w:r w:rsidRPr="004A4C27">
        <w:rPr>
          <w:i/>
        </w:rPr>
        <w:t xml:space="preserve"> </w:t>
      </w:r>
      <w:r w:rsidRPr="004A4C27">
        <w:t xml:space="preserve">at </w:t>
      </w:r>
      <w:r>
        <w:t>13</w:t>
      </w:r>
      <w:r w:rsidRPr="004A4C27">
        <w:t>, n.</w:t>
      </w:r>
      <w:r w:rsidR="000A15F2">
        <w:t>56</w:t>
      </w:r>
      <w:r w:rsidRPr="004A4C27">
        <w:t xml:space="preserve"> (</w:t>
      </w:r>
      <w:r>
        <w:t>defining test participant)</w:t>
      </w:r>
      <w:r w:rsidRPr="0036786F">
        <w:t>.</w:t>
      </w:r>
    </w:p>
  </w:footnote>
  <w:footnote w:id="13">
    <w:p w:rsidR="00522508" w:rsidP="00522508">
      <w:pPr>
        <w:pStyle w:val="FootnoteText"/>
      </w:pPr>
      <w:r>
        <w:rPr>
          <w:rStyle w:val="FootnoteReference"/>
        </w:rPr>
        <w:footnoteRef/>
      </w:r>
      <w:r>
        <w:t xml:space="preserve"> EAS Participants are required to monitor two over-the-air sources for EAS messages formatted in accordance with the EAS Protocol, as specified in the EAS Participant’s State EAS Plan.  47 CFR § 11.52(d)(1).  Although IPAWS was not utilized in distribution of the 2019 nationwide EAS test, EAS Participants are required to maintain equipment capable of interfacing with IPAWS.  </w:t>
      </w:r>
      <w:r>
        <w:rPr>
          <w:i/>
        </w:rPr>
        <w:t>Id</w:t>
      </w:r>
      <w:r>
        <w:t>. § 11.52(d)(2).</w:t>
      </w:r>
    </w:p>
  </w:footnote>
  <w:footnote w:id="14">
    <w:p w:rsidR="00117A98" w:rsidRPr="00F63FEB" w:rsidP="00DF5238">
      <w:pPr>
        <w:pStyle w:val="FootnoteText"/>
        <w:rPr>
          <w:i/>
        </w:rPr>
      </w:pPr>
      <w:r w:rsidRPr="002C1E71">
        <w:rPr>
          <w:rStyle w:val="FootnoteReference"/>
        </w:rPr>
        <w:footnoteRef/>
      </w:r>
      <w:r w:rsidRPr="002C1E71">
        <w:t xml:space="preserve"> “Other”</w:t>
      </w:r>
      <w:r>
        <w:t xml:space="preserve"> includes </w:t>
      </w:r>
      <w:r w:rsidRPr="002C1E71">
        <w:t>“non-cable multichannel video programming di</w:t>
      </w:r>
      <w:r>
        <w:t xml:space="preserve">stributors” </w:t>
      </w:r>
      <w:r w:rsidRPr="002C1E71">
        <w:t>and other entities reported in the ETRS but not defined as EAS Participants in the EAS rules.</w:t>
      </w:r>
      <w:r w:rsidRPr="00582A0A">
        <w:t xml:space="preserve"> </w:t>
      </w:r>
      <w:r>
        <w:t xml:space="preserve"> Under FCC rules, the Commission treats test result data submitted by EAS Participants as presumptively confidential.  Accordingly, results presented in this </w:t>
      </w:r>
      <w:r w:rsidRPr="00497579">
        <w:rPr>
          <w:i/>
        </w:rPr>
        <w:t>Public Notice</w:t>
      </w:r>
      <w:r>
        <w:t xml:space="preserve"> reflect aggregated test result data to the extent doing so does not result in disclosure of confidential information.  The Bureau does not provide data for very small EAS Participants types and does not include them among the total number of filings.  The omission of this data does not change the assessment of the test in any significant way.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0A15F2">
      <w:rPr>
        <w:b/>
      </w:rPr>
      <w:t>DA 19-</w:t>
    </w:r>
    <w:r w:rsidR="00403F16">
      <w:rPr>
        <w:b/>
      </w:rPr>
      <w:t>1244</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357FB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sidR="006309A3">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mso-wrap-distance-top:0;position:absolute;visibility:visible;z-index:251660288" from="9597.6pt,56.7pt" to="10065.6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p w:rsidR="006F7393" w:rsidRPr="009838BC" w:rsidP="00F75A9A">
    <w:pPr>
      <w:pStyle w:val="Header"/>
      <w:ind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7877DE9"/>
    <w:multiLevelType w:val="hybridMultilevel"/>
    <w:tmpl w:val="6BF054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9F53AC6"/>
    <w:multiLevelType w:val="hybridMultilevel"/>
    <w:tmpl w:val="A9D020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6"/>
  </w:num>
  <w:num w:numId="5">
    <w:abstractNumId w:val="2"/>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762"/>
    <w:rsid w:val="000072CE"/>
    <w:rsid w:val="00013A8B"/>
    <w:rsid w:val="00021445"/>
    <w:rsid w:val="00027866"/>
    <w:rsid w:val="00027C86"/>
    <w:rsid w:val="00036039"/>
    <w:rsid w:val="00037F90"/>
    <w:rsid w:val="000562E4"/>
    <w:rsid w:val="00064431"/>
    <w:rsid w:val="000875BF"/>
    <w:rsid w:val="00096D8C"/>
    <w:rsid w:val="000A15F2"/>
    <w:rsid w:val="000C0B65"/>
    <w:rsid w:val="000D3BAB"/>
    <w:rsid w:val="000E3D42"/>
    <w:rsid w:val="000E5884"/>
    <w:rsid w:val="000E75AC"/>
    <w:rsid w:val="00112187"/>
    <w:rsid w:val="00112441"/>
    <w:rsid w:val="00117A98"/>
    <w:rsid w:val="00122BD5"/>
    <w:rsid w:val="001322A4"/>
    <w:rsid w:val="001357BB"/>
    <w:rsid w:val="00136687"/>
    <w:rsid w:val="00146A37"/>
    <w:rsid w:val="00175200"/>
    <w:rsid w:val="00193819"/>
    <w:rsid w:val="00195DE3"/>
    <w:rsid w:val="001979D9"/>
    <w:rsid w:val="001A3B90"/>
    <w:rsid w:val="001B1216"/>
    <w:rsid w:val="001C1DF2"/>
    <w:rsid w:val="001D6BCF"/>
    <w:rsid w:val="001E01CA"/>
    <w:rsid w:val="001E3033"/>
    <w:rsid w:val="002060D9"/>
    <w:rsid w:val="00215337"/>
    <w:rsid w:val="00226822"/>
    <w:rsid w:val="00260594"/>
    <w:rsid w:val="002803B0"/>
    <w:rsid w:val="00285017"/>
    <w:rsid w:val="00285F89"/>
    <w:rsid w:val="002A2D2E"/>
    <w:rsid w:val="002C1E71"/>
    <w:rsid w:val="002D1727"/>
    <w:rsid w:val="002F4BF5"/>
    <w:rsid w:val="003019EB"/>
    <w:rsid w:val="003025FE"/>
    <w:rsid w:val="00306D3D"/>
    <w:rsid w:val="0031382C"/>
    <w:rsid w:val="003372B8"/>
    <w:rsid w:val="003377AD"/>
    <w:rsid w:val="00343749"/>
    <w:rsid w:val="00353325"/>
    <w:rsid w:val="00357D50"/>
    <w:rsid w:val="00357FB9"/>
    <w:rsid w:val="0036786F"/>
    <w:rsid w:val="003925DC"/>
    <w:rsid w:val="003A40E4"/>
    <w:rsid w:val="003B0550"/>
    <w:rsid w:val="003B385B"/>
    <w:rsid w:val="003B694F"/>
    <w:rsid w:val="003C0EFB"/>
    <w:rsid w:val="003C7046"/>
    <w:rsid w:val="003D7B86"/>
    <w:rsid w:val="003E7055"/>
    <w:rsid w:val="003F13A6"/>
    <w:rsid w:val="003F171C"/>
    <w:rsid w:val="003F1A54"/>
    <w:rsid w:val="00403F16"/>
    <w:rsid w:val="004122F4"/>
    <w:rsid w:val="00412FC5"/>
    <w:rsid w:val="00422276"/>
    <w:rsid w:val="004242F1"/>
    <w:rsid w:val="0043799D"/>
    <w:rsid w:val="00445A00"/>
    <w:rsid w:val="00447E03"/>
    <w:rsid w:val="00451B0F"/>
    <w:rsid w:val="004550B3"/>
    <w:rsid w:val="0046125F"/>
    <w:rsid w:val="0046275F"/>
    <w:rsid w:val="00470B4C"/>
    <w:rsid w:val="00471714"/>
    <w:rsid w:val="00487524"/>
    <w:rsid w:val="00496106"/>
    <w:rsid w:val="00497579"/>
    <w:rsid w:val="004A298C"/>
    <w:rsid w:val="004A4C27"/>
    <w:rsid w:val="004B1F67"/>
    <w:rsid w:val="004C12D0"/>
    <w:rsid w:val="004C2EE3"/>
    <w:rsid w:val="004D3207"/>
    <w:rsid w:val="004D398F"/>
    <w:rsid w:val="004E0A9E"/>
    <w:rsid w:val="004E4A22"/>
    <w:rsid w:val="00511968"/>
    <w:rsid w:val="00522508"/>
    <w:rsid w:val="00543822"/>
    <w:rsid w:val="00543B05"/>
    <w:rsid w:val="0055614C"/>
    <w:rsid w:val="00564C78"/>
    <w:rsid w:val="00571FFD"/>
    <w:rsid w:val="00582A0A"/>
    <w:rsid w:val="00597783"/>
    <w:rsid w:val="005B00B3"/>
    <w:rsid w:val="005B5674"/>
    <w:rsid w:val="005D5ADB"/>
    <w:rsid w:val="005F29E6"/>
    <w:rsid w:val="005F40B7"/>
    <w:rsid w:val="00607BA5"/>
    <w:rsid w:val="0061361B"/>
    <w:rsid w:val="0062074E"/>
    <w:rsid w:val="00626EB6"/>
    <w:rsid w:val="006309A3"/>
    <w:rsid w:val="006353A3"/>
    <w:rsid w:val="0063733E"/>
    <w:rsid w:val="0064115A"/>
    <w:rsid w:val="00646016"/>
    <w:rsid w:val="00653959"/>
    <w:rsid w:val="00655D03"/>
    <w:rsid w:val="00670872"/>
    <w:rsid w:val="00683F84"/>
    <w:rsid w:val="006A6A81"/>
    <w:rsid w:val="006B0284"/>
    <w:rsid w:val="006B0C5C"/>
    <w:rsid w:val="006B0FD1"/>
    <w:rsid w:val="006C41E9"/>
    <w:rsid w:val="006D18DB"/>
    <w:rsid w:val="006D2C87"/>
    <w:rsid w:val="006E1A0B"/>
    <w:rsid w:val="006E26AF"/>
    <w:rsid w:val="006E345B"/>
    <w:rsid w:val="006F7393"/>
    <w:rsid w:val="006F7493"/>
    <w:rsid w:val="0070224F"/>
    <w:rsid w:val="007115F7"/>
    <w:rsid w:val="007276DF"/>
    <w:rsid w:val="0073174F"/>
    <w:rsid w:val="00745488"/>
    <w:rsid w:val="007461EE"/>
    <w:rsid w:val="00781C2C"/>
    <w:rsid w:val="00785689"/>
    <w:rsid w:val="0079754B"/>
    <w:rsid w:val="007A1E6D"/>
    <w:rsid w:val="007A7E98"/>
    <w:rsid w:val="007D7616"/>
    <w:rsid w:val="007E43D8"/>
    <w:rsid w:val="00816FDE"/>
    <w:rsid w:val="00817208"/>
    <w:rsid w:val="008175A0"/>
    <w:rsid w:val="00822CE0"/>
    <w:rsid w:val="00835BF3"/>
    <w:rsid w:val="00837C62"/>
    <w:rsid w:val="00841AB1"/>
    <w:rsid w:val="00883762"/>
    <w:rsid w:val="008861BD"/>
    <w:rsid w:val="008A1695"/>
    <w:rsid w:val="008A7147"/>
    <w:rsid w:val="008B43A5"/>
    <w:rsid w:val="008C0ECF"/>
    <w:rsid w:val="008C22FD"/>
    <w:rsid w:val="008E0D1C"/>
    <w:rsid w:val="008E212D"/>
    <w:rsid w:val="00910F12"/>
    <w:rsid w:val="0091723E"/>
    <w:rsid w:val="00926503"/>
    <w:rsid w:val="00930645"/>
    <w:rsid w:val="00930ECF"/>
    <w:rsid w:val="00937ED6"/>
    <w:rsid w:val="009838BC"/>
    <w:rsid w:val="00990789"/>
    <w:rsid w:val="009A4EC7"/>
    <w:rsid w:val="009C7D73"/>
    <w:rsid w:val="009E0ECE"/>
    <w:rsid w:val="009F35CD"/>
    <w:rsid w:val="009F5FC4"/>
    <w:rsid w:val="009F6568"/>
    <w:rsid w:val="00A0560A"/>
    <w:rsid w:val="00A167E2"/>
    <w:rsid w:val="00A37B72"/>
    <w:rsid w:val="00A4434B"/>
    <w:rsid w:val="00A45F4F"/>
    <w:rsid w:val="00A600A9"/>
    <w:rsid w:val="00A72A7A"/>
    <w:rsid w:val="00A74B75"/>
    <w:rsid w:val="00A77E6A"/>
    <w:rsid w:val="00A866AC"/>
    <w:rsid w:val="00A943B1"/>
    <w:rsid w:val="00AA1076"/>
    <w:rsid w:val="00AA3807"/>
    <w:rsid w:val="00AA55B7"/>
    <w:rsid w:val="00AA589C"/>
    <w:rsid w:val="00AA5B9E"/>
    <w:rsid w:val="00AA7F49"/>
    <w:rsid w:val="00AB0169"/>
    <w:rsid w:val="00AB2407"/>
    <w:rsid w:val="00AB53DF"/>
    <w:rsid w:val="00AE74D6"/>
    <w:rsid w:val="00B02521"/>
    <w:rsid w:val="00B03CD9"/>
    <w:rsid w:val="00B07E5C"/>
    <w:rsid w:val="00B20363"/>
    <w:rsid w:val="00B326E3"/>
    <w:rsid w:val="00B811F7"/>
    <w:rsid w:val="00B823F1"/>
    <w:rsid w:val="00BA5DC6"/>
    <w:rsid w:val="00BA6196"/>
    <w:rsid w:val="00BC6D8C"/>
    <w:rsid w:val="00BE5BE6"/>
    <w:rsid w:val="00BF027E"/>
    <w:rsid w:val="00BF5B61"/>
    <w:rsid w:val="00C16454"/>
    <w:rsid w:val="00C16AF2"/>
    <w:rsid w:val="00C34006"/>
    <w:rsid w:val="00C426B1"/>
    <w:rsid w:val="00C44F9C"/>
    <w:rsid w:val="00C71E75"/>
    <w:rsid w:val="00C82B6B"/>
    <w:rsid w:val="00C8646C"/>
    <w:rsid w:val="00C87E42"/>
    <w:rsid w:val="00C90D6A"/>
    <w:rsid w:val="00CB7E88"/>
    <w:rsid w:val="00CC0686"/>
    <w:rsid w:val="00CC72B6"/>
    <w:rsid w:val="00CD3593"/>
    <w:rsid w:val="00CE5342"/>
    <w:rsid w:val="00D0218D"/>
    <w:rsid w:val="00D216CD"/>
    <w:rsid w:val="00D242E8"/>
    <w:rsid w:val="00D36725"/>
    <w:rsid w:val="00D667B5"/>
    <w:rsid w:val="00D67FCF"/>
    <w:rsid w:val="00D746F5"/>
    <w:rsid w:val="00DA2529"/>
    <w:rsid w:val="00DB130A"/>
    <w:rsid w:val="00DB539B"/>
    <w:rsid w:val="00DC10A1"/>
    <w:rsid w:val="00DC231D"/>
    <w:rsid w:val="00DC48C7"/>
    <w:rsid w:val="00DC655F"/>
    <w:rsid w:val="00DD6DD5"/>
    <w:rsid w:val="00DD7EBD"/>
    <w:rsid w:val="00DE09C7"/>
    <w:rsid w:val="00DF5238"/>
    <w:rsid w:val="00DF62B6"/>
    <w:rsid w:val="00E061E0"/>
    <w:rsid w:val="00E07225"/>
    <w:rsid w:val="00E155B7"/>
    <w:rsid w:val="00E5409F"/>
    <w:rsid w:val="00E60475"/>
    <w:rsid w:val="00E61443"/>
    <w:rsid w:val="00E6217D"/>
    <w:rsid w:val="00E7308D"/>
    <w:rsid w:val="00EC0185"/>
    <w:rsid w:val="00ED6F5E"/>
    <w:rsid w:val="00EF2FE1"/>
    <w:rsid w:val="00F021FA"/>
    <w:rsid w:val="00F04A86"/>
    <w:rsid w:val="00F04ED4"/>
    <w:rsid w:val="00F16B91"/>
    <w:rsid w:val="00F5607D"/>
    <w:rsid w:val="00F57ACA"/>
    <w:rsid w:val="00F627B7"/>
    <w:rsid w:val="00F62E97"/>
    <w:rsid w:val="00F63FEB"/>
    <w:rsid w:val="00F64209"/>
    <w:rsid w:val="00F75A9A"/>
    <w:rsid w:val="00F81368"/>
    <w:rsid w:val="00F843D8"/>
    <w:rsid w:val="00F85FB4"/>
    <w:rsid w:val="00F93BF5"/>
    <w:rsid w:val="00F96F63"/>
    <w:rsid w:val="00FD610E"/>
    <w:rsid w:val="00FF5C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7F3CAC2-D231-4768-8B09-73D903945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493"/>
    <w:pPr>
      <w:widowControl w:val="0"/>
    </w:pPr>
    <w:rPr>
      <w:snapToGrid w:val="0"/>
      <w:kern w:val="28"/>
      <w:sz w:val="22"/>
    </w:rPr>
  </w:style>
  <w:style w:type="paragraph" w:styleId="Heading1">
    <w:name w:val="heading 1"/>
    <w:basedOn w:val="Normal"/>
    <w:next w:val="ParaNum"/>
    <w:qFormat/>
    <w:rsid w:val="006F749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F7493"/>
    <w:pPr>
      <w:keepNext/>
      <w:numPr>
        <w:ilvl w:val="1"/>
        <w:numId w:val="3"/>
      </w:numPr>
      <w:spacing w:after="120"/>
      <w:outlineLvl w:val="1"/>
    </w:pPr>
    <w:rPr>
      <w:b/>
    </w:rPr>
  </w:style>
  <w:style w:type="paragraph" w:styleId="Heading3">
    <w:name w:val="heading 3"/>
    <w:basedOn w:val="Normal"/>
    <w:next w:val="ParaNum"/>
    <w:qFormat/>
    <w:rsid w:val="006F7493"/>
    <w:pPr>
      <w:keepNext/>
      <w:numPr>
        <w:ilvl w:val="2"/>
        <w:numId w:val="3"/>
      </w:numPr>
      <w:tabs>
        <w:tab w:val="left" w:pos="2160"/>
      </w:tabs>
      <w:spacing w:after="120"/>
      <w:outlineLvl w:val="2"/>
    </w:pPr>
    <w:rPr>
      <w:b/>
    </w:rPr>
  </w:style>
  <w:style w:type="paragraph" w:styleId="Heading4">
    <w:name w:val="heading 4"/>
    <w:basedOn w:val="Normal"/>
    <w:next w:val="ParaNum"/>
    <w:qFormat/>
    <w:rsid w:val="006F7493"/>
    <w:pPr>
      <w:keepNext/>
      <w:numPr>
        <w:ilvl w:val="3"/>
        <w:numId w:val="3"/>
      </w:numPr>
      <w:tabs>
        <w:tab w:val="left" w:pos="2880"/>
      </w:tabs>
      <w:spacing w:after="120"/>
      <w:outlineLvl w:val="3"/>
    </w:pPr>
    <w:rPr>
      <w:b/>
    </w:rPr>
  </w:style>
  <w:style w:type="paragraph" w:styleId="Heading5">
    <w:name w:val="heading 5"/>
    <w:basedOn w:val="Normal"/>
    <w:next w:val="ParaNum"/>
    <w:qFormat/>
    <w:rsid w:val="006F7493"/>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6F7493"/>
    <w:pPr>
      <w:numPr>
        <w:ilvl w:val="5"/>
        <w:numId w:val="3"/>
      </w:numPr>
      <w:tabs>
        <w:tab w:val="left" w:pos="4320"/>
      </w:tabs>
      <w:spacing w:after="120"/>
      <w:outlineLvl w:val="5"/>
    </w:pPr>
    <w:rPr>
      <w:b/>
    </w:rPr>
  </w:style>
  <w:style w:type="paragraph" w:styleId="Heading7">
    <w:name w:val="heading 7"/>
    <w:basedOn w:val="Normal"/>
    <w:next w:val="ParaNum"/>
    <w:qFormat/>
    <w:rsid w:val="006F749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F749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6F749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6F749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6F7493"/>
  </w:style>
  <w:style w:type="paragraph" w:customStyle="1" w:styleId="ParaNum">
    <w:name w:val="ParaNum"/>
    <w:basedOn w:val="Normal"/>
    <w:link w:val="ParaNumChar"/>
    <w:rsid w:val="006F7493"/>
    <w:pPr>
      <w:numPr>
        <w:numId w:val="2"/>
      </w:numPr>
      <w:tabs>
        <w:tab w:val="clear" w:pos="1080"/>
        <w:tab w:val="num" w:pos="1440"/>
      </w:tabs>
      <w:spacing w:after="120"/>
    </w:pPr>
  </w:style>
  <w:style w:type="paragraph" w:styleId="EndnoteText">
    <w:name w:val="endnote text"/>
    <w:basedOn w:val="Normal"/>
    <w:semiHidden/>
    <w:rsid w:val="006F7493"/>
    <w:rPr>
      <w:sz w:val="20"/>
    </w:rPr>
  </w:style>
  <w:style w:type="character" w:styleId="EndnoteReference">
    <w:name w:val="endnote reference"/>
    <w:semiHidden/>
    <w:rsid w:val="006F7493"/>
    <w:rPr>
      <w:vertAlign w:val="superscript"/>
    </w:rPr>
  </w:style>
  <w:style w:type="paragraph" w:styleId="FootnoteText">
    <w:name w:val="footnote text"/>
    <w:aliases w:val="Footnote Text Char2 Char1 Char1,Footnote Text Char2 Char1 Char1 Char Char,Footnote Text Char2 Char3,Footnote Text Char3 Char1,Footnote Text Char3 Char1 Char Char,Footnote Text Char3 Char1 Char Char Char Char,Footnote Text Char6,f,fn"/>
    <w:link w:val="FootnoteTextChar"/>
    <w:rsid w:val="006F7493"/>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6F7493"/>
    <w:rPr>
      <w:rFonts w:ascii="Times New Roman" w:hAnsi="Times New Roman"/>
      <w:dstrike w:val="0"/>
      <w:color w:val="auto"/>
      <w:sz w:val="22"/>
      <w:vertAlign w:val="superscript"/>
    </w:rPr>
  </w:style>
  <w:style w:type="paragraph" w:styleId="TOC1">
    <w:name w:val="toc 1"/>
    <w:basedOn w:val="Normal"/>
    <w:next w:val="Normal"/>
    <w:uiPriority w:val="39"/>
    <w:rsid w:val="006F749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F7493"/>
    <w:pPr>
      <w:tabs>
        <w:tab w:val="left" w:pos="720"/>
        <w:tab w:val="right" w:leader="dot" w:pos="9360"/>
      </w:tabs>
      <w:suppressAutoHyphens/>
      <w:ind w:left="720" w:right="720" w:hanging="360"/>
    </w:pPr>
    <w:rPr>
      <w:noProof/>
    </w:rPr>
  </w:style>
  <w:style w:type="paragraph" w:styleId="TOC3">
    <w:name w:val="toc 3"/>
    <w:basedOn w:val="Normal"/>
    <w:next w:val="Normal"/>
    <w:semiHidden/>
    <w:rsid w:val="006F749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F749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F749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F749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F749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F749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F749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F7493"/>
    <w:pPr>
      <w:tabs>
        <w:tab w:val="right" w:pos="9360"/>
      </w:tabs>
      <w:suppressAutoHyphens/>
    </w:pPr>
  </w:style>
  <w:style w:type="character" w:customStyle="1" w:styleId="EquationCaption">
    <w:name w:val="_Equation Caption"/>
    <w:rsid w:val="006F7493"/>
  </w:style>
  <w:style w:type="paragraph" w:styleId="Header">
    <w:name w:val="header"/>
    <w:basedOn w:val="Normal"/>
    <w:autoRedefine/>
    <w:rsid w:val="006F7493"/>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6F7493"/>
    <w:pPr>
      <w:tabs>
        <w:tab w:val="center" w:pos="4320"/>
        <w:tab w:val="right" w:pos="8640"/>
      </w:tabs>
    </w:pPr>
  </w:style>
  <w:style w:type="character" w:styleId="PageNumber">
    <w:name w:val="page number"/>
    <w:basedOn w:val="DefaultParagraphFont"/>
    <w:rsid w:val="006F7493"/>
  </w:style>
  <w:style w:type="paragraph" w:styleId="BlockText">
    <w:name w:val="Block Text"/>
    <w:basedOn w:val="Normal"/>
    <w:rsid w:val="006F7493"/>
    <w:pPr>
      <w:spacing w:after="240"/>
      <w:ind w:left="1440" w:right="1440"/>
    </w:pPr>
  </w:style>
  <w:style w:type="paragraph" w:customStyle="1" w:styleId="Paratitle">
    <w:name w:val="Para title"/>
    <w:basedOn w:val="Normal"/>
    <w:rsid w:val="006F7493"/>
    <w:pPr>
      <w:tabs>
        <w:tab w:val="center" w:pos="9270"/>
      </w:tabs>
      <w:spacing w:after="240"/>
    </w:pPr>
    <w:rPr>
      <w:spacing w:val="-2"/>
    </w:rPr>
  </w:style>
  <w:style w:type="paragraph" w:customStyle="1" w:styleId="Bullet">
    <w:name w:val="Bullet"/>
    <w:basedOn w:val="Normal"/>
    <w:rsid w:val="006F7493"/>
    <w:pPr>
      <w:numPr>
        <w:numId w:val="1"/>
      </w:numPr>
      <w:tabs>
        <w:tab w:val="clear" w:pos="360"/>
        <w:tab w:val="left" w:pos="2160"/>
      </w:tabs>
      <w:spacing w:after="220"/>
      <w:ind w:left="2160" w:hanging="720"/>
    </w:pPr>
  </w:style>
  <w:style w:type="paragraph" w:customStyle="1" w:styleId="TableFormat">
    <w:name w:val="TableFormat"/>
    <w:basedOn w:val="Bullet"/>
    <w:rsid w:val="006F7493"/>
    <w:pPr>
      <w:numPr>
        <w:numId w:val="0"/>
      </w:numPr>
      <w:tabs>
        <w:tab w:val="clear" w:pos="2160"/>
        <w:tab w:val="left" w:pos="5040"/>
      </w:tabs>
      <w:ind w:left="5040" w:hanging="3600"/>
    </w:pPr>
  </w:style>
  <w:style w:type="paragraph" w:customStyle="1" w:styleId="TOCTitle">
    <w:name w:val="TOC Title"/>
    <w:basedOn w:val="Normal"/>
    <w:rsid w:val="006F749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F7493"/>
    <w:pPr>
      <w:jc w:val="center"/>
    </w:pPr>
    <w:rPr>
      <w:rFonts w:ascii="Times New Roman Bold" w:hAnsi="Times New Roman Bold"/>
      <w:b/>
      <w:bCs/>
      <w:caps/>
      <w:szCs w:val="22"/>
    </w:rPr>
  </w:style>
  <w:style w:type="character" w:styleId="Hyperlink">
    <w:name w:val="Hyperlink"/>
    <w:rsid w:val="006F7493"/>
    <w:rPr>
      <w:color w:val="0000FF"/>
      <w:u w:val="single"/>
    </w:rPr>
  </w:style>
  <w:style w:type="character" w:customStyle="1" w:styleId="FooterChar">
    <w:name w:val="Footer Char"/>
    <w:link w:val="Footer"/>
    <w:uiPriority w:val="99"/>
    <w:rsid w:val="006F7493"/>
    <w:rPr>
      <w:snapToGrid w:val="0"/>
      <w:kern w:val="28"/>
      <w:sz w:val="22"/>
    </w:rPr>
  </w:style>
  <w:style w:type="character" w:customStyle="1" w:styleId="FootnoteTextChar">
    <w:name w:val="Footnote Text Char"/>
    <w:aliases w:val="Footnote Text Char2 Char1 Char1 Char,Footnote Text Char2 Char1 Char1 Char Char Char,Footnote Text Char2 Char3 Char,Footnote Text Char3 Char1 Char,Footnote Text Char3 Char1 Char Char Char,Footnote Text Char6 Char,f Char,fn Char"/>
    <w:link w:val="FootnoteText"/>
    <w:rsid w:val="00816FDE"/>
  </w:style>
  <w:style w:type="character" w:customStyle="1" w:styleId="UnresolvedMention1">
    <w:name w:val="Unresolved Mention1"/>
    <w:uiPriority w:val="99"/>
    <w:semiHidden/>
    <w:unhideWhenUsed/>
    <w:rsid w:val="00DF5238"/>
    <w:rPr>
      <w:color w:val="605E5C"/>
      <w:shd w:val="clear" w:color="auto" w:fill="E1DFDD"/>
    </w:rPr>
  </w:style>
  <w:style w:type="paragraph" w:styleId="ListParagraph">
    <w:name w:val="List Paragraph"/>
    <w:basedOn w:val="Normal"/>
    <w:uiPriority w:val="34"/>
    <w:qFormat/>
    <w:rsid w:val="00DF5238"/>
    <w:pPr>
      <w:widowControl/>
      <w:spacing w:after="160" w:line="259" w:lineRule="auto"/>
      <w:ind w:left="720"/>
      <w:contextualSpacing/>
    </w:pPr>
    <w:rPr>
      <w:rFonts w:ascii="Calibri" w:eastAsia="Calibri" w:hAnsi="Calibri"/>
      <w:snapToGrid/>
      <w:kern w:val="0"/>
      <w:szCs w:val="22"/>
    </w:rPr>
  </w:style>
  <w:style w:type="character" w:customStyle="1" w:styleId="ParaNumChar">
    <w:name w:val="ParaNum Char"/>
    <w:link w:val="ParaNum"/>
    <w:locked/>
    <w:rsid w:val="00DF5238"/>
    <w:rPr>
      <w:snapToGrid w:val="0"/>
      <w:kern w:val="28"/>
      <w:sz w:val="22"/>
    </w:rPr>
  </w:style>
  <w:style w:type="paragraph" w:styleId="BalloonText">
    <w:name w:val="Balloon Text"/>
    <w:basedOn w:val="Normal"/>
    <w:link w:val="BalloonTextChar"/>
    <w:uiPriority w:val="99"/>
    <w:semiHidden/>
    <w:unhideWhenUsed/>
    <w:rsid w:val="00522508"/>
    <w:rPr>
      <w:rFonts w:ascii="Segoe UI" w:hAnsi="Segoe UI" w:cs="Segoe UI"/>
      <w:sz w:val="18"/>
      <w:szCs w:val="18"/>
    </w:rPr>
  </w:style>
  <w:style w:type="character" w:customStyle="1" w:styleId="BalloonTextChar">
    <w:name w:val="Balloon Text Char"/>
    <w:link w:val="BalloonText"/>
    <w:uiPriority w:val="99"/>
    <w:semiHidden/>
    <w:rsid w:val="00522508"/>
    <w:rPr>
      <w:rFonts w:ascii="Segoe UI" w:hAnsi="Segoe UI" w:cs="Segoe UI"/>
      <w:snapToGrid w:val="0"/>
      <w:kern w:val="28"/>
      <w:sz w:val="18"/>
      <w:szCs w:val="18"/>
    </w:rPr>
  </w:style>
  <w:style w:type="character" w:styleId="CommentReference">
    <w:name w:val="annotation reference"/>
    <w:uiPriority w:val="99"/>
    <w:semiHidden/>
    <w:unhideWhenUsed/>
    <w:rsid w:val="003C0EFB"/>
    <w:rPr>
      <w:sz w:val="16"/>
      <w:szCs w:val="16"/>
    </w:rPr>
  </w:style>
  <w:style w:type="paragraph" w:styleId="CommentText">
    <w:name w:val="annotation text"/>
    <w:basedOn w:val="Normal"/>
    <w:link w:val="CommentTextChar"/>
    <w:uiPriority w:val="99"/>
    <w:semiHidden/>
    <w:unhideWhenUsed/>
    <w:rsid w:val="003C0EFB"/>
    <w:rPr>
      <w:sz w:val="20"/>
    </w:rPr>
  </w:style>
  <w:style w:type="character" w:customStyle="1" w:styleId="CommentTextChar">
    <w:name w:val="Comment Text Char"/>
    <w:link w:val="CommentText"/>
    <w:uiPriority w:val="99"/>
    <w:semiHidden/>
    <w:rsid w:val="003C0EFB"/>
    <w:rPr>
      <w:snapToGrid w:val="0"/>
      <w:kern w:val="28"/>
    </w:rPr>
  </w:style>
  <w:style w:type="paragraph" w:styleId="CommentSubject">
    <w:name w:val="annotation subject"/>
    <w:basedOn w:val="CommentText"/>
    <w:next w:val="CommentText"/>
    <w:link w:val="CommentSubjectChar"/>
    <w:uiPriority w:val="99"/>
    <w:semiHidden/>
    <w:unhideWhenUsed/>
    <w:rsid w:val="003C0EFB"/>
    <w:rPr>
      <w:b/>
      <w:bCs/>
    </w:rPr>
  </w:style>
  <w:style w:type="character" w:customStyle="1" w:styleId="CommentSubjectChar">
    <w:name w:val="Comment Subject Char"/>
    <w:link w:val="CommentSubject"/>
    <w:uiPriority w:val="99"/>
    <w:semiHidden/>
    <w:rsid w:val="003C0EFB"/>
    <w:rPr>
      <w:b/>
      <w:bCs/>
      <w:snapToGrid w:val="0"/>
      <w:kern w:val="28"/>
    </w:rPr>
  </w:style>
  <w:style w:type="character" w:styleId="FollowedHyperlink">
    <w:name w:val="FollowedHyperlink"/>
    <w:uiPriority w:val="99"/>
    <w:semiHidden/>
    <w:unhideWhenUsed/>
    <w:rsid w:val="003D7B8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Maureen.Bizkho@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docs.fcc.gov/public/attachments/DOC-356902A1.pdf"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