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53FFA" w:rsidRPr="0049008B" w:rsidP="00170B85">
      <w:pPr>
        <w:jc w:val="center"/>
        <w:rPr>
          <w:b/>
          <w:bCs/>
        </w:rPr>
      </w:pPr>
      <w:r>
        <w:rPr>
          <w:b/>
          <w:bCs/>
        </w:rPr>
        <w:t>B</w:t>
      </w:r>
      <w:r w:rsidRPr="0049008B">
        <w:rPr>
          <w:b/>
          <w:bCs/>
        </w:rPr>
        <w:t>efore the</w:t>
      </w:r>
      <w:bookmarkStart w:id="0" w:name="_GoBack"/>
      <w:bookmarkEnd w:id="0"/>
    </w:p>
    <w:p w:rsidR="00253FFA" w:rsidRPr="0049008B" w:rsidP="00170B85">
      <w:pPr>
        <w:jc w:val="center"/>
        <w:rPr>
          <w:b/>
          <w:bCs/>
        </w:rPr>
      </w:pPr>
      <w:r w:rsidRPr="0049008B">
        <w:rPr>
          <w:b/>
          <w:bCs/>
        </w:rPr>
        <w:t>Federal Communications Commission</w:t>
      </w:r>
    </w:p>
    <w:p w:rsidR="00253FFA" w:rsidRPr="0049008B" w:rsidP="00170B85">
      <w:pPr>
        <w:jc w:val="center"/>
        <w:rPr>
          <w:b/>
          <w:bCs/>
        </w:rPr>
      </w:pPr>
      <w:r w:rsidRPr="0049008B">
        <w:rPr>
          <w:b/>
          <w:bCs/>
        </w:rPr>
        <w:t>Washington, D.C. 20554</w:t>
      </w:r>
    </w:p>
    <w:p w:rsidR="00253FFA" w:rsidRPr="0049008B" w:rsidP="00170B85"/>
    <w:tbl>
      <w:tblPr>
        <w:tblW w:w="0" w:type="auto"/>
        <w:tblInd w:w="-106" w:type="dxa"/>
        <w:tblLayout w:type="fixed"/>
        <w:tblLook w:val="0000"/>
      </w:tblPr>
      <w:tblGrid>
        <w:gridCol w:w="4698"/>
        <w:gridCol w:w="720"/>
        <w:gridCol w:w="4230"/>
      </w:tblGrid>
      <w:tr w:rsidTr="00C210E3">
        <w:tblPrEx>
          <w:tblW w:w="0" w:type="auto"/>
          <w:tblInd w:w="-106" w:type="dxa"/>
          <w:tblLayout w:type="fixed"/>
          <w:tblLook w:val="0000"/>
        </w:tblPrEx>
        <w:trPr>
          <w:trHeight w:val="2682"/>
        </w:trPr>
        <w:tc>
          <w:tcPr>
            <w:tcW w:w="4698" w:type="dxa"/>
          </w:tcPr>
          <w:p w:rsidR="00253FFA" w:rsidRPr="0049008B" w:rsidP="00170B85">
            <w:pPr>
              <w:ind w:right="-18"/>
            </w:pPr>
            <w:r w:rsidRPr="0049008B">
              <w:t>In the Matter of</w:t>
            </w:r>
          </w:p>
          <w:p w:rsidR="00253FFA" w:rsidRPr="0049008B" w:rsidP="00170B85">
            <w:pPr>
              <w:ind w:right="-18"/>
            </w:pPr>
          </w:p>
          <w:p w:rsidR="00253FFA" w:rsidRPr="0049008B" w:rsidP="00170B85">
            <w:pPr>
              <w:ind w:right="-18"/>
            </w:pPr>
            <w:r>
              <w:t>Amerifactors</w:t>
            </w:r>
            <w:r>
              <w:t xml:space="preserve"> Financial Group, LLC </w:t>
            </w:r>
            <w:r w:rsidRPr="0049008B">
              <w:t xml:space="preserve">Petition for </w:t>
            </w:r>
            <w:r>
              <w:t>Expedited Declaratory Ruling</w:t>
            </w:r>
            <w:r w:rsidRPr="0049008B">
              <w:t xml:space="preserve">  </w:t>
            </w:r>
          </w:p>
          <w:p w:rsidR="00253FFA" w:rsidRPr="0049008B" w:rsidP="00170B85">
            <w:pPr>
              <w:ind w:right="-18"/>
            </w:pPr>
          </w:p>
          <w:p w:rsidR="00253FFA" w:rsidRPr="0049008B" w:rsidP="00AC4E91">
            <w:pPr>
              <w:ind w:right="-18"/>
            </w:pPr>
            <w:r w:rsidRPr="0049008B">
              <w:t xml:space="preserve">Rules and Regulations Implementing the </w:t>
            </w:r>
          </w:p>
          <w:p w:rsidR="00253FFA" w:rsidP="00AC4E91">
            <w:pPr>
              <w:ind w:right="-18"/>
            </w:pPr>
            <w:r w:rsidRPr="0049008B">
              <w:t>Telephone Consumer Protection Act of 1991</w:t>
            </w:r>
          </w:p>
          <w:p w:rsidR="00253FFA" w:rsidP="00AC4E91">
            <w:pPr>
              <w:ind w:right="-18"/>
            </w:pPr>
          </w:p>
          <w:p w:rsidR="00253FFA" w:rsidRPr="0049008B" w:rsidP="00AC4E91">
            <w:pPr>
              <w:ind w:right="-18"/>
            </w:pPr>
            <w:r>
              <w:t>Junk Fax Protection Act of 2005</w:t>
            </w:r>
          </w:p>
        </w:tc>
        <w:tc>
          <w:tcPr>
            <w:tcW w:w="720" w:type="dxa"/>
          </w:tcPr>
          <w:p w:rsidR="00253FFA" w:rsidRPr="0049008B" w:rsidP="00170B85">
            <w:pPr>
              <w:rPr>
                <w:b/>
                <w:bCs/>
              </w:rPr>
            </w:pPr>
            <w:r w:rsidRPr="0049008B">
              <w:rPr>
                <w:b/>
                <w:bCs/>
              </w:rPr>
              <w:t>)</w:t>
            </w:r>
          </w:p>
          <w:p w:rsidR="00253FFA" w:rsidRPr="0049008B" w:rsidP="00170B85">
            <w:pPr>
              <w:rPr>
                <w:b/>
                <w:bCs/>
              </w:rPr>
            </w:pPr>
            <w:r w:rsidRPr="0049008B">
              <w:rPr>
                <w:b/>
                <w:bCs/>
              </w:rPr>
              <w:t>)</w:t>
            </w:r>
          </w:p>
          <w:p w:rsidR="00253FFA" w:rsidRPr="0049008B" w:rsidP="00170B85">
            <w:pPr>
              <w:rPr>
                <w:b/>
                <w:bCs/>
              </w:rPr>
            </w:pPr>
            <w:r w:rsidRPr="0049008B">
              <w:rPr>
                <w:b/>
                <w:bCs/>
              </w:rPr>
              <w:t>)</w:t>
            </w:r>
          </w:p>
          <w:p w:rsidR="00253FFA" w:rsidRPr="0049008B" w:rsidP="00170B85">
            <w:pPr>
              <w:rPr>
                <w:b/>
                <w:bCs/>
              </w:rPr>
            </w:pPr>
            <w:r w:rsidRPr="0049008B">
              <w:rPr>
                <w:b/>
                <w:bCs/>
              </w:rPr>
              <w:t>)</w:t>
            </w:r>
          </w:p>
          <w:p w:rsidR="00253FFA" w:rsidRPr="0049008B" w:rsidP="00170B85">
            <w:pPr>
              <w:rPr>
                <w:b/>
                <w:bCs/>
              </w:rPr>
            </w:pPr>
            <w:r w:rsidRPr="0049008B">
              <w:rPr>
                <w:b/>
                <w:bCs/>
              </w:rPr>
              <w:t>)</w:t>
            </w:r>
          </w:p>
          <w:p w:rsidR="00253FFA" w:rsidRPr="0049008B" w:rsidP="00170B85">
            <w:pPr>
              <w:rPr>
                <w:b/>
                <w:bCs/>
              </w:rPr>
            </w:pPr>
            <w:r w:rsidRPr="0049008B">
              <w:rPr>
                <w:b/>
                <w:bCs/>
              </w:rPr>
              <w:t>)</w:t>
            </w:r>
          </w:p>
          <w:p w:rsidR="00253FFA" w:rsidRPr="0049008B" w:rsidP="00170B85">
            <w:pPr>
              <w:rPr>
                <w:b/>
                <w:bCs/>
              </w:rPr>
            </w:pPr>
            <w:r w:rsidRPr="0049008B">
              <w:rPr>
                <w:b/>
                <w:bCs/>
              </w:rPr>
              <w:t>)</w:t>
            </w:r>
          </w:p>
          <w:p w:rsidR="00253FFA" w:rsidRPr="0049008B" w:rsidP="00170B85">
            <w:pPr>
              <w:rPr>
                <w:b/>
                <w:bCs/>
              </w:rPr>
            </w:pPr>
            <w:r w:rsidRPr="0049008B">
              <w:rPr>
                <w:b/>
                <w:bCs/>
              </w:rPr>
              <w:t>)</w:t>
            </w:r>
          </w:p>
          <w:p w:rsidR="00253FFA" w:rsidP="00926C7C">
            <w:pPr>
              <w:rPr>
                <w:b/>
                <w:bCs/>
              </w:rPr>
            </w:pPr>
            <w:r>
              <w:rPr>
                <w:b/>
                <w:bCs/>
              </w:rPr>
              <w:t>)</w:t>
            </w:r>
          </w:p>
          <w:p w:rsidR="00253FFA" w:rsidP="00926C7C">
            <w:pPr>
              <w:rPr>
                <w:b/>
                <w:bCs/>
              </w:rPr>
            </w:pPr>
          </w:p>
          <w:p w:rsidR="00253FFA" w:rsidRPr="0049008B" w:rsidP="00926C7C">
            <w:pPr>
              <w:rPr>
                <w:b/>
                <w:bCs/>
              </w:rPr>
            </w:pPr>
            <w:r>
              <w:rPr>
                <w:b/>
                <w:bCs/>
              </w:rPr>
              <w:br/>
            </w:r>
          </w:p>
        </w:tc>
        <w:tc>
          <w:tcPr>
            <w:tcW w:w="4230" w:type="dxa"/>
          </w:tcPr>
          <w:p w:rsidR="00253FFA" w:rsidRPr="0049008B" w:rsidP="00170B85"/>
          <w:p w:rsidR="00253FFA" w:rsidRPr="0049008B" w:rsidP="00170B85"/>
          <w:p w:rsidR="00253FFA" w:rsidP="00170B85"/>
          <w:p w:rsidR="00253FFA" w:rsidP="00170B85"/>
          <w:p w:rsidR="00253FFA" w:rsidP="00170B85"/>
          <w:p w:rsidR="00253FFA" w:rsidRPr="0049008B" w:rsidP="00170B85">
            <w:r w:rsidRPr="003D6DD9">
              <w:t>CG Docket No. 02-278</w:t>
            </w:r>
          </w:p>
          <w:p w:rsidR="00253FFA" w:rsidRPr="0049008B" w:rsidP="00170B85"/>
          <w:p w:rsidR="00253FFA" w:rsidP="00170B85"/>
          <w:p w:rsidR="00253FFA" w:rsidRPr="0049008B" w:rsidP="00170B85">
            <w:r>
              <w:t>CG Docket No. 05-338</w:t>
            </w:r>
          </w:p>
        </w:tc>
      </w:tr>
    </w:tbl>
    <w:p w:rsidR="00253FFA" w:rsidRPr="0049008B" w:rsidP="00B82719">
      <w:pPr>
        <w:spacing w:before="120"/>
        <w:jc w:val="center"/>
        <w:rPr>
          <w:b/>
          <w:bCs/>
        </w:rPr>
      </w:pPr>
      <w:r w:rsidRPr="0049008B">
        <w:rPr>
          <w:b/>
          <w:bCs/>
        </w:rPr>
        <w:t>DECLARATORY RULING</w:t>
      </w:r>
    </w:p>
    <w:p w:rsidR="00253FFA" w:rsidRPr="0049008B" w:rsidP="00170B85"/>
    <w:p w:rsidR="00253FFA" w:rsidRPr="0049008B" w:rsidP="00170B85">
      <w:pPr>
        <w:tabs>
          <w:tab w:val="left" w:pos="5760"/>
        </w:tabs>
        <w:rPr>
          <w:b/>
          <w:bCs/>
        </w:rPr>
      </w:pPr>
      <w:r w:rsidRPr="0049008B">
        <w:rPr>
          <w:b/>
          <w:bCs/>
        </w:rPr>
        <w:t xml:space="preserve">Adopted:  </w:t>
      </w:r>
      <w:r w:rsidR="00411A8D">
        <w:rPr>
          <w:b/>
          <w:bCs/>
        </w:rPr>
        <w:t>December 9</w:t>
      </w:r>
      <w:r w:rsidRPr="0049008B">
        <w:rPr>
          <w:b/>
          <w:bCs/>
        </w:rPr>
        <w:t>, 201</w:t>
      </w:r>
      <w:r w:rsidR="00CD5C61">
        <w:rPr>
          <w:b/>
          <w:bCs/>
        </w:rPr>
        <w:t>9</w:t>
      </w:r>
      <w:r w:rsidR="003643A8">
        <w:rPr>
          <w:b/>
          <w:bCs/>
        </w:rPr>
        <w:tab/>
      </w:r>
      <w:r w:rsidR="00CD5C61">
        <w:rPr>
          <w:b/>
          <w:bCs/>
        </w:rPr>
        <w:tab/>
      </w:r>
      <w:r w:rsidR="003643A8">
        <w:rPr>
          <w:b/>
          <w:bCs/>
        </w:rPr>
        <w:t xml:space="preserve">Released: </w:t>
      </w:r>
      <w:r w:rsidR="00411A8D">
        <w:rPr>
          <w:b/>
          <w:bCs/>
        </w:rPr>
        <w:t>December 9</w:t>
      </w:r>
      <w:r w:rsidRPr="0049008B">
        <w:rPr>
          <w:b/>
          <w:bCs/>
        </w:rPr>
        <w:t>, 201</w:t>
      </w:r>
      <w:r w:rsidR="00CD5C61">
        <w:rPr>
          <w:b/>
          <w:bCs/>
        </w:rPr>
        <w:t>9</w:t>
      </w:r>
    </w:p>
    <w:p w:rsidR="00253FFA" w:rsidRPr="0049008B" w:rsidP="00170B85">
      <w:pPr>
        <w:tabs>
          <w:tab w:val="left" w:pos="5760"/>
        </w:tabs>
        <w:rPr>
          <w:b/>
          <w:bCs/>
        </w:rPr>
      </w:pPr>
    </w:p>
    <w:p w:rsidR="00552D7C" w:rsidRPr="00F54C0A" w:rsidP="00F54C0A">
      <w:pPr>
        <w:tabs>
          <w:tab w:val="left" w:pos="5760"/>
        </w:tabs>
        <w:spacing w:after="120"/>
      </w:pPr>
      <w:r w:rsidRPr="0049008B">
        <w:t xml:space="preserve">By the </w:t>
      </w:r>
      <w:r w:rsidR="0027592D">
        <w:t>Chief, Consumer and Governmental Affairs Bureau</w:t>
      </w:r>
      <w:r w:rsidRPr="0049008B">
        <w:t>:</w:t>
      </w:r>
    </w:p>
    <w:p w:rsidR="00253FFA" w:rsidRPr="001E7E87" w:rsidP="00F54C0A">
      <w:pPr>
        <w:pStyle w:val="Heading1"/>
        <w:rPr>
          <w:rFonts w:ascii="Times New Roman" w:hAnsi="Times New Roman" w:cs="Times New Roman"/>
          <w:sz w:val="22"/>
          <w:szCs w:val="22"/>
        </w:rPr>
      </w:pPr>
      <w:r w:rsidRPr="001E7E87">
        <w:rPr>
          <w:rFonts w:ascii="Times New Roman" w:hAnsi="Times New Roman" w:cs="Times New Roman"/>
          <w:sz w:val="22"/>
          <w:szCs w:val="22"/>
        </w:rPr>
        <w:t>I</w:t>
      </w:r>
      <w:r>
        <w:rPr>
          <w:rFonts w:ascii="Times New Roman" w:hAnsi="Times New Roman" w:cs="Times New Roman"/>
          <w:sz w:val="22"/>
          <w:szCs w:val="22"/>
        </w:rPr>
        <w:t>NTRODUCTION</w:t>
      </w:r>
    </w:p>
    <w:p w:rsidR="00F16C97" w:rsidP="00F54C0A">
      <w:pPr>
        <w:pStyle w:val="ParaNum"/>
        <w:tabs>
          <w:tab w:val="clear" w:pos="1080"/>
          <w:tab w:val="num" w:pos="1440"/>
        </w:tabs>
      </w:pPr>
      <w:r>
        <w:t>The Telephone Consumer Protection Act (TCPA)</w:t>
      </w:r>
      <w:r>
        <w:t>,</w:t>
      </w:r>
      <w:r>
        <w:t xml:space="preserve"> </w:t>
      </w:r>
      <w:r>
        <w:t>as amended by the</w:t>
      </w:r>
      <w:r>
        <w:t xml:space="preserve"> Junk Fax Protection Act (JFPA)</w:t>
      </w:r>
      <w:r>
        <w:t>,</w:t>
      </w:r>
      <w:r>
        <w:t xml:space="preserve"> prohibit</w:t>
      </w:r>
      <w:r>
        <w:t>s</w:t>
      </w:r>
      <w:r>
        <w:t xml:space="preserve"> any person from sending an unsolicited advertisement to a “telephone facsimile machine.”</w:t>
      </w:r>
      <w:r>
        <w:rPr>
          <w:rStyle w:val="FootnoteReference"/>
        </w:rPr>
        <w:footnoteReference w:id="3"/>
      </w:r>
      <w:r>
        <w:t xml:space="preserve">  </w:t>
      </w:r>
      <w:r>
        <w:t xml:space="preserve">In relevant part, a “telephone facsimile machine” is defined as “equipment which has the </w:t>
      </w:r>
      <w:r>
        <w:t>capacity .</w:t>
      </w:r>
      <w:r>
        <w:t> . . to transcribe text or images (or both) from an electronic signal received over a regular telephone line onto paper.”</w:t>
      </w:r>
      <w:r>
        <w:rPr>
          <w:rStyle w:val="FootnoteReference"/>
        </w:rPr>
        <w:footnoteReference w:id="4"/>
      </w:r>
      <w:r>
        <w:t xml:space="preserve">  Construing these terms in 2003, the Commission has made clear that the prohibition does not extend to facsimile messages “sent as email over the Internet.”</w:t>
      </w:r>
      <w:r>
        <w:rPr>
          <w:rStyle w:val="FootnoteReference"/>
        </w:rPr>
        <w:footnoteReference w:id="5"/>
      </w:r>
    </w:p>
    <w:p w:rsidR="00F16C97" w:rsidP="004B6C0B">
      <w:pPr>
        <w:pStyle w:val="ParaNum"/>
        <w:tabs>
          <w:tab w:val="clear" w:pos="1080"/>
          <w:tab w:val="num" w:pos="1440"/>
        </w:tabs>
      </w:pPr>
      <w:r>
        <w:t xml:space="preserve">In 2017, </w:t>
      </w:r>
      <w:r>
        <w:t>Amerifactors</w:t>
      </w:r>
      <w:r>
        <w:t xml:space="preserve"> filed a petition for declaratory ruling asking the Commission to clarify that faxes sent to “online fax services” are not faxes sent to “telephone facsimile machines</w:t>
      </w:r>
      <w:r w:rsidR="00BD33CF">
        <w:t>.</w:t>
      </w:r>
      <w:r>
        <w:t>”</w:t>
      </w:r>
      <w:r>
        <w:rPr>
          <w:vertAlign w:val="superscript"/>
        </w:rPr>
        <w:footnoteReference w:id="6"/>
      </w:r>
      <w:r>
        <w:t xml:space="preserve">  An online fax service is “a cloud-based service consisting of a fax server or similar device that is used to send or receive documents, images and/or electronic files in digital format over telecommunications facilities”</w:t>
      </w:r>
      <w:r>
        <w:rPr>
          <w:rStyle w:val="FootnoteReference"/>
        </w:rPr>
        <w:footnoteReference w:id="7"/>
      </w:r>
      <w:r>
        <w:t xml:space="preserve"> that allows users to “access ‘faxes’ the same way that they do email: by logging into a server over the Internet or by receiving a pdf attachment</w:t>
      </w:r>
      <w:r w:rsidR="001C09BD">
        <w:t xml:space="preserve"> </w:t>
      </w:r>
      <w:r w:rsidR="00DB7AA8">
        <w:t>[</w:t>
      </w:r>
      <w:r w:rsidR="001C09BD">
        <w:t>as</w:t>
      </w:r>
      <w:r w:rsidR="00DB7AA8">
        <w:t>]</w:t>
      </w:r>
      <w:r>
        <w:t xml:space="preserve"> an email.”</w:t>
      </w:r>
      <w:r>
        <w:rPr>
          <w:rStyle w:val="FootnoteReference"/>
        </w:rPr>
        <w:footnoteReference w:id="8"/>
      </w:r>
    </w:p>
    <w:p w:rsidR="00253FFA" w:rsidRPr="0049008B" w:rsidP="00F54C0A">
      <w:pPr>
        <w:pStyle w:val="ParaNum"/>
        <w:tabs>
          <w:tab w:val="clear" w:pos="1080"/>
          <w:tab w:val="num" w:pos="1440"/>
        </w:tabs>
      </w:pPr>
      <w:r>
        <w:t>By this</w:t>
      </w:r>
      <w:r w:rsidR="00CD3CAF">
        <w:t xml:space="preserve"> declaratory ruling, we</w:t>
      </w:r>
      <w:r>
        <w:t xml:space="preserve"> make clear that an online fax service </w:t>
      </w:r>
      <w:r w:rsidR="00BD33CF">
        <w:t xml:space="preserve">that effectively receives faxes “sent as email over the Internet” and is not itself “equipment which </w:t>
      </w:r>
      <w:r w:rsidR="005018C0">
        <w:t>h</w:t>
      </w:r>
      <w:r w:rsidR="00BD33CF">
        <w:t xml:space="preserve">as the </w:t>
      </w:r>
      <w:r w:rsidR="00BD33CF">
        <w:t>capacity .</w:t>
      </w:r>
      <w:r w:rsidR="00BD33CF">
        <w:t xml:space="preserve"> . . to </w:t>
      </w:r>
      <w:r w:rsidR="00BD33CF">
        <w:t>transcribe text or images (or both) from an electronic signal received over a regular telephone line onto paper” is not a “telephone facsimil</w:t>
      </w:r>
      <w:r w:rsidR="00C54D91">
        <w:t>e</w:t>
      </w:r>
      <w:r w:rsidR="00BD33CF">
        <w:t xml:space="preserve"> machine” and thus falls outside the scope of the statutory prohibition.</w:t>
      </w:r>
      <w:r w:rsidR="00F25BB7">
        <w:t xml:space="preserve"> </w:t>
      </w:r>
    </w:p>
    <w:p w:rsidR="00253FFA" w:rsidRPr="001E7E87" w:rsidP="00F54C0A">
      <w:pPr>
        <w:pStyle w:val="Heading1"/>
        <w:rPr>
          <w:rFonts w:ascii="Times New Roman" w:hAnsi="Times New Roman" w:cs="Times New Roman"/>
          <w:sz w:val="22"/>
          <w:szCs w:val="22"/>
        </w:rPr>
      </w:pPr>
      <w:r>
        <w:rPr>
          <w:rFonts w:ascii="Times New Roman" w:hAnsi="Times New Roman" w:cs="Times New Roman"/>
          <w:sz w:val="22"/>
          <w:szCs w:val="22"/>
        </w:rPr>
        <w:t>BACKGROUND</w:t>
      </w:r>
    </w:p>
    <w:p w:rsidR="00BD33CF" w:rsidP="00920FB9">
      <w:pPr>
        <w:pStyle w:val="ParaNum"/>
        <w:tabs>
          <w:tab w:val="clear" w:pos="1080"/>
          <w:tab w:val="num" w:pos="1440"/>
        </w:tabs>
      </w:pPr>
      <w:r>
        <w:t xml:space="preserve">In relevant part, the TCPA prohibits the use of </w:t>
      </w:r>
      <w:r w:rsidR="00A51167">
        <w:t>“</w:t>
      </w:r>
      <w:r>
        <w:t>any telephone fa</w:t>
      </w:r>
      <w:r w:rsidR="00262B5E">
        <w:t>csimile</w:t>
      </w:r>
      <w:r>
        <w:t xml:space="preserve"> machine, computer, or other device to send</w:t>
      </w:r>
      <w:r w:rsidR="00AC4FDC">
        <w:t xml:space="preserve">, </w:t>
      </w:r>
      <w:r>
        <w:t>to a telephone fa</w:t>
      </w:r>
      <w:r w:rsidR="00AC4FDC">
        <w:t>csimile</w:t>
      </w:r>
      <w:r>
        <w:t xml:space="preserve"> machine</w:t>
      </w:r>
      <w:r w:rsidR="00AC4FDC">
        <w:t>, an unsolicited advertisement</w:t>
      </w:r>
      <w:r>
        <w:t>.</w:t>
      </w:r>
      <w:r w:rsidR="00AC4FDC">
        <w:t>”</w:t>
      </w:r>
      <w:r>
        <w:rPr>
          <w:rStyle w:val="FootnoteReference"/>
        </w:rPr>
        <w:footnoteReference w:id="9"/>
      </w:r>
      <w:r>
        <w:t xml:space="preserve">  </w:t>
      </w:r>
      <w:r w:rsidR="00A94EF7">
        <w:t>The TCPA defines the term “telephone facsimile machine” as “equipment which has the capacity (A) to transcribe text or images</w:t>
      </w:r>
      <w:r w:rsidR="00AC4FDC">
        <w:t>,</w:t>
      </w:r>
      <w:r w:rsidR="00A94EF7">
        <w:t xml:space="preserve"> or both, from paper into an electronic signal and to transmit that signal over a regular telephone line, or (B) to transcribe text or images (or both) from an electronic signal received over a regular telephone line onto paper.”</w:t>
      </w:r>
      <w:r>
        <w:rPr>
          <w:rStyle w:val="FootnoteReference"/>
        </w:rPr>
        <w:footnoteReference w:id="10"/>
      </w:r>
    </w:p>
    <w:p w:rsidR="00BD33CF" w:rsidP="00920FB9">
      <w:pPr>
        <w:pStyle w:val="ParaNum"/>
        <w:tabs>
          <w:tab w:val="clear" w:pos="1080"/>
          <w:tab w:val="num" w:pos="1440"/>
        </w:tabs>
      </w:pPr>
      <w:r>
        <w:t>In 2003, the Commission made clear that the TCPA’s prohibition does not extend to facsimile messages “sent as email over the Internet.”</w:t>
      </w:r>
      <w:r>
        <w:rPr>
          <w:rStyle w:val="FootnoteReference"/>
        </w:rPr>
        <w:footnoteReference w:id="11"/>
      </w:r>
      <w:r>
        <w:t xml:space="preserve">  In doing so, the Commission made clear that where the equipment itself could transcribe a fax onto paper—such as a personal computer attached to printer and modem—it would remain within the scope of the statute.</w:t>
      </w:r>
      <w:r>
        <w:rPr>
          <w:vertAlign w:val="superscript"/>
        </w:rPr>
        <w:footnoteReference w:id="12"/>
      </w:r>
      <w:r>
        <w:t xml:space="preserve">  The Consumer and Governmental Affairs Bureau reiterated this finding in the </w:t>
      </w:r>
      <w:r w:rsidRPr="00C579E9">
        <w:rPr>
          <w:i/>
        </w:rPr>
        <w:t>Westfax</w:t>
      </w:r>
      <w:r w:rsidRPr="00C579E9">
        <w:rPr>
          <w:i/>
        </w:rPr>
        <w:t xml:space="preserve"> Declaratory Ruling</w:t>
      </w:r>
      <w:r>
        <w:t>, finding that the “</w:t>
      </w:r>
      <w:r>
        <w:t>efaxes</w:t>
      </w:r>
      <w:r>
        <w:t>” at issue in that case were received by equipment that had “</w:t>
      </w:r>
      <w:r w:rsidRPr="004411FB">
        <w:t xml:space="preserve">the capacity to </w:t>
      </w:r>
      <w:r>
        <w:t>‘</w:t>
      </w:r>
      <w:r w:rsidRPr="004411FB">
        <w:t>transcribe text or images (or both) from an electronic signal received over a telephone line onto paper.</w:t>
      </w:r>
      <w:r>
        <w:t>’</w:t>
      </w:r>
      <w:r w:rsidRPr="004411FB">
        <w:t>”</w:t>
      </w:r>
      <w:r>
        <w:rPr>
          <w:rStyle w:val="FootnoteReference"/>
        </w:rPr>
        <w:footnoteReference w:id="13"/>
      </w:r>
    </w:p>
    <w:p w:rsidR="00253FFA" w:rsidRPr="0049008B" w:rsidP="00B603B0">
      <w:pPr>
        <w:pStyle w:val="ParaNum"/>
        <w:tabs>
          <w:tab w:val="clear" w:pos="1080"/>
          <w:tab w:val="num" w:pos="1440"/>
        </w:tabs>
      </w:pPr>
      <w:r>
        <w:t xml:space="preserve">In </w:t>
      </w:r>
      <w:r w:rsidR="00671994">
        <w:t xml:space="preserve">2017, </w:t>
      </w:r>
      <w:r w:rsidR="00671994">
        <w:t>Amerifactors</w:t>
      </w:r>
      <w:r w:rsidR="00671994">
        <w:t xml:space="preserve"> filed </w:t>
      </w:r>
      <w:r w:rsidR="00BD33CF">
        <w:t>the present</w:t>
      </w:r>
      <w:r w:rsidR="00671994">
        <w:t xml:space="preserve"> </w:t>
      </w:r>
      <w:r w:rsidR="003A4065">
        <w:t>p</w:t>
      </w:r>
      <w:r w:rsidR="00671994">
        <w:t xml:space="preserve">etition for </w:t>
      </w:r>
      <w:r w:rsidR="003A4065">
        <w:t>d</w:t>
      </w:r>
      <w:r w:rsidR="00671994">
        <w:t xml:space="preserve">eclaratory </w:t>
      </w:r>
      <w:r w:rsidR="003A4065">
        <w:t>r</w:t>
      </w:r>
      <w:r w:rsidR="00671994">
        <w:t>uling</w:t>
      </w:r>
      <w:r w:rsidR="00BD33CF">
        <w:t xml:space="preserve"> regarding “online fax services</w:t>
      </w:r>
      <w:r w:rsidR="00671994">
        <w:t>.</w:t>
      </w:r>
      <w:r w:rsidR="00BD33CF">
        <w:t>”</w:t>
      </w:r>
      <w:r>
        <w:rPr>
          <w:rStyle w:val="FootnoteReference"/>
        </w:rPr>
        <w:footnoteReference w:id="14"/>
      </w:r>
      <w:r w:rsidR="00671994">
        <w:t xml:space="preserve">  </w:t>
      </w:r>
      <w:r w:rsidR="00671994">
        <w:t>Amerifactors</w:t>
      </w:r>
      <w:r w:rsidR="00671994">
        <w:t xml:space="preserve"> argues that</w:t>
      </w:r>
      <w:r w:rsidR="00E82BA1">
        <w:t xml:space="preserve"> </w:t>
      </w:r>
      <w:r w:rsidR="00154594">
        <w:t>(</w:t>
      </w:r>
      <w:r w:rsidR="00671994">
        <w:t xml:space="preserve">1) online fax services do not fit within the plain meaning of the TCPA’s prohibition on conventional faxes; </w:t>
      </w:r>
      <w:r w:rsidR="00154594">
        <w:t>(2</w:t>
      </w:r>
      <w:r w:rsidR="00671994">
        <w:t xml:space="preserve">) online faxes do not result in the type of harm the </w:t>
      </w:r>
      <w:r w:rsidR="006E654B">
        <w:t xml:space="preserve">Congress </w:t>
      </w:r>
      <w:r w:rsidR="00671994">
        <w:t>sought to avoid</w:t>
      </w:r>
      <w:r w:rsidR="006E654B">
        <w:t xml:space="preserve"> in the TCPA</w:t>
      </w:r>
      <w:r w:rsidR="00671994">
        <w:t xml:space="preserve">; </w:t>
      </w:r>
      <w:r w:rsidR="00154594">
        <w:t>(</w:t>
      </w:r>
      <w:r w:rsidR="00671994">
        <w:t xml:space="preserve">3) </w:t>
      </w:r>
      <w:r w:rsidR="006E654B">
        <w:t>a declaratory ruling here would be a first step toward curbing abusive litigation practices</w:t>
      </w:r>
      <w:r w:rsidR="00D76205">
        <w:t xml:space="preserve">; and </w:t>
      </w:r>
      <w:r w:rsidR="00154594">
        <w:t>(</w:t>
      </w:r>
      <w:r w:rsidR="00D76205">
        <w:t>4) applying the TCPA to faxes received on a device other than a telephone facsimile machine would be an impermissible restriction on commercial speech in violation of the First Amendment.</w:t>
      </w:r>
      <w:r>
        <w:rPr>
          <w:rStyle w:val="FootnoteReference"/>
        </w:rPr>
        <w:footnoteReference w:id="15"/>
      </w:r>
    </w:p>
    <w:p w:rsidR="00253FFA" w:rsidRPr="00962757" w:rsidP="00F54C0A">
      <w:pPr>
        <w:pStyle w:val="ParaNum"/>
        <w:tabs>
          <w:tab w:val="clear" w:pos="1080"/>
          <w:tab w:val="num" w:pos="1440"/>
        </w:tabs>
      </w:pPr>
      <w:r>
        <w:t>T</w:t>
      </w:r>
      <w:r w:rsidRPr="00962757">
        <w:t xml:space="preserve">he </w:t>
      </w:r>
      <w:r w:rsidR="00862E28">
        <w:t>Bureau</w:t>
      </w:r>
      <w:r w:rsidRPr="00962757">
        <w:t xml:space="preserve"> </w:t>
      </w:r>
      <w:r>
        <w:t xml:space="preserve">sought </w:t>
      </w:r>
      <w:r w:rsidRPr="00962757">
        <w:t xml:space="preserve">comment on </w:t>
      </w:r>
      <w:r w:rsidR="005035E0">
        <w:t>Amerifactors</w:t>
      </w:r>
      <w:r w:rsidR="005F70EC">
        <w:t>’</w:t>
      </w:r>
      <w:r w:rsidR="005035E0">
        <w:t xml:space="preserve"> </w:t>
      </w:r>
      <w:r w:rsidR="005035E0">
        <w:rPr>
          <w:i/>
        </w:rPr>
        <w:t>Petition</w:t>
      </w:r>
      <w:r w:rsidRPr="00962757">
        <w:t>.</w:t>
      </w:r>
      <w:r>
        <w:rPr>
          <w:rStyle w:val="FootnoteReference"/>
        </w:rPr>
        <w:footnoteReference w:id="16"/>
      </w:r>
      <w:r w:rsidRPr="00962757">
        <w:t xml:space="preserve">  </w:t>
      </w:r>
      <w:r w:rsidR="00712A54">
        <w:t>Several</w:t>
      </w:r>
      <w:r w:rsidR="008B301A">
        <w:t xml:space="preserve"> entities and</w:t>
      </w:r>
      <w:r>
        <w:t xml:space="preserve"> individuals filed </w:t>
      </w:r>
      <w:r w:rsidRPr="00962757">
        <w:t xml:space="preserve">comments.  </w:t>
      </w:r>
      <w:r w:rsidR="008B301A">
        <w:t>The majority of</w:t>
      </w:r>
      <w:r>
        <w:t xml:space="preserve"> c</w:t>
      </w:r>
      <w:r w:rsidRPr="0049008B">
        <w:t>ommenters</w:t>
      </w:r>
      <w:r>
        <w:t xml:space="preserve"> support </w:t>
      </w:r>
      <w:r w:rsidR="005035E0">
        <w:t xml:space="preserve">the </w:t>
      </w:r>
      <w:r w:rsidR="005035E0">
        <w:rPr>
          <w:i/>
        </w:rPr>
        <w:t>Petition</w:t>
      </w:r>
      <w:r>
        <w:t xml:space="preserve">.  </w:t>
      </w:r>
      <w:r w:rsidR="00D10970">
        <w:t>In general, these commenter</w:t>
      </w:r>
      <w:r w:rsidR="00C55630">
        <w:t>s</w:t>
      </w:r>
      <w:r w:rsidR="00D10970">
        <w:t xml:space="preserve"> reiterate the arguments made in the </w:t>
      </w:r>
      <w:r w:rsidR="00D10970">
        <w:rPr>
          <w:i/>
        </w:rPr>
        <w:t>Petition</w:t>
      </w:r>
      <w:r w:rsidR="002439F7">
        <w:t>,</w:t>
      </w:r>
      <w:r w:rsidR="00D10970">
        <w:t xml:space="preserve"> including that the TCPA’s </w:t>
      </w:r>
      <w:r w:rsidR="003248FE">
        <w:t>prohibitions</w:t>
      </w:r>
      <w:r w:rsidR="00D10970">
        <w:t xml:space="preserve"> do not apply to faxes received via an online fax service because th</w:t>
      </w:r>
      <w:r w:rsidR="00345A4B">
        <w:t>at technology</w:t>
      </w:r>
      <w:r w:rsidR="00D10970">
        <w:t xml:space="preserve"> does not constitute a telephone facsimile machine.</w:t>
      </w:r>
      <w:r>
        <w:rPr>
          <w:rStyle w:val="FootnoteReference"/>
        </w:rPr>
        <w:footnoteReference w:id="17"/>
      </w:r>
      <w:r w:rsidR="00D10970">
        <w:t xml:space="preserve"> </w:t>
      </w:r>
      <w:r w:rsidR="00D10970">
        <w:rPr>
          <w:i/>
        </w:rPr>
        <w:t xml:space="preserve"> </w:t>
      </w:r>
      <w:r w:rsidR="000C43C1">
        <w:t>F</w:t>
      </w:r>
      <w:r w:rsidR="008B301A">
        <w:t xml:space="preserve">ive commenters oppose </w:t>
      </w:r>
      <w:r w:rsidR="008B301A">
        <w:t>Amerifactors</w:t>
      </w:r>
      <w:r w:rsidR="008B301A">
        <w:t xml:space="preserve">’ petition, one of which is the plaintiff in an ongoing class action lawsuit against </w:t>
      </w:r>
      <w:r w:rsidR="008B301A">
        <w:t>Amerifactors</w:t>
      </w:r>
      <w:r w:rsidR="008B301A">
        <w:t>.</w:t>
      </w:r>
      <w:r>
        <w:rPr>
          <w:rStyle w:val="FootnoteReference"/>
        </w:rPr>
        <w:footnoteReference w:id="18"/>
      </w:r>
      <w:r w:rsidRPr="0049008B">
        <w:t xml:space="preserve"> </w:t>
      </w:r>
      <w:r w:rsidR="001C2E93">
        <w:t xml:space="preserve"> In general, these commenters </w:t>
      </w:r>
      <w:r w:rsidR="003248FE">
        <w:t>argue</w:t>
      </w:r>
      <w:r w:rsidR="001C2E93">
        <w:t xml:space="preserve"> that </w:t>
      </w:r>
      <w:r w:rsidR="00D10970">
        <w:t xml:space="preserve">faxes sent to </w:t>
      </w:r>
      <w:r w:rsidR="00D10970">
        <w:t>fax servers are subject to the TCPA’s prohibitions</w:t>
      </w:r>
      <w:r w:rsidR="003248FE">
        <w:t>,</w:t>
      </w:r>
      <w:r w:rsidR="00D10970">
        <w:t xml:space="preserve"> and that </w:t>
      </w:r>
      <w:r w:rsidR="00746135">
        <w:t xml:space="preserve">the </w:t>
      </w:r>
      <w:r w:rsidR="00D10970">
        <w:t>time</w:t>
      </w:r>
      <w:r w:rsidR="003248FE">
        <w:t xml:space="preserve"> and resources</w:t>
      </w:r>
      <w:r w:rsidR="00D10970">
        <w:t xml:space="preserve"> </w:t>
      </w:r>
      <w:r w:rsidR="003248FE">
        <w:t>expended</w:t>
      </w:r>
      <w:r w:rsidR="00D10970">
        <w:t xml:space="preserve"> to review faxes </w:t>
      </w:r>
      <w:r w:rsidR="003248FE">
        <w:t>cause</w:t>
      </w:r>
      <w:r w:rsidR="00C407F3">
        <w:t>s</w:t>
      </w:r>
      <w:r w:rsidR="003248FE">
        <w:t xml:space="preserve"> harm</w:t>
      </w:r>
      <w:r w:rsidR="00D10970">
        <w:t xml:space="preserve"> </w:t>
      </w:r>
      <w:r w:rsidR="003248FE">
        <w:t xml:space="preserve">even </w:t>
      </w:r>
      <w:r w:rsidR="00D10970">
        <w:t>with online fax services.</w:t>
      </w:r>
      <w:r>
        <w:rPr>
          <w:rStyle w:val="FootnoteReference"/>
        </w:rPr>
        <w:footnoteReference w:id="19"/>
      </w:r>
      <w:r w:rsidR="00E53879">
        <w:t xml:space="preserve">  </w:t>
      </w:r>
      <w:r w:rsidR="002E59C5">
        <w:t xml:space="preserve">In addition, </w:t>
      </w:r>
      <w:r w:rsidR="006C139E">
        <w:t>Career Counseling, the plaintiff in the underlying TCPA litigation</w:t>
      </w:r>
      <w:r w:rsidR="000D5F52">
        <w:t xml:space="preserve"> against </w:t>
      </w:r>
      <w:r w:rsidR="000D5F52">
        <w:t>Amerifactors</w:t>
      </w:r>
      <w:r w:rsidR="006C139E">
        <w:t>,</w:t>
      </w:r>
      <w:r w:rsidR="00E53879">
        <w:t xml:space="preserve"> argue</w:t>
      </w:r>
      <w:r w:rsidR="006C139E">
        <w:t>s</w:t>
      </w:r>
      <w:r w:rsidR="00E53879">
        <w:t xml:space="preserve"> that </w:t>
      </w:r>
      <w:r w:rsidR="00A3545D">
        <w:t>a</w:t>
      </w:r>
      <w:r w:rsidR="00E53879">
        <w:t xml:space="preserve"> declaratory ruling</w:t>
      </w:r>
      <w:r w:rsidR="006C139E">
        <w:t xml:space="preserve"> is procedurally </w:t>
      </w:r>
      <w:r w:rsidR="000D5F52">
        <w:t xml:space="preserve">inappropriate </w:t>
      </w:r>
      <w:r w:rsidR="00A3545D">
        <w:t xml:space="preserve">in this instance </w:t>
      </w:r>
      <w:r w:rsidR="00A46710">
        <w:t xml:space="preserve">as </w:t>
      </w:r>
      <w:r w:rsidR="000D5F52">
        <w:t xml:space="preserve">the </w:t>
      </w:r>
      <w:r w:rsidRPr="000D5F52" w:rsidR="000D5F52">
        <w:rPr>
          <w:i/>
        </w:rPr>
        <w:t>Petition</w:t>
      </w:r>
      <w:r w:rsidR="000D5F52">
        <w:t xml:space="preserve"> </w:t>
      </w:r>
      <w:r w:rsidR="00E53879">
        <w:t xml:space="preserve">raises no controversy </w:t>
      </w:r>
      <w:r w:rsidR="006C139E">
        <w:t xml:space="preserve">or uncertainty </w:t>
      </w:r>
      <w:r w:rsidR="00E53879">
        <w:t>to be resolved</w:t>
      </w:r>
      <w:r w:rsidR="00C407F3">
        <w:t>.</w:t>
      </w:r>
      <w:r>
        <w:rPr>
          <w:rStyle w:val="FootnoteReference"/>
        </w:rPr>
        <w:footnoteReference w:id="20"/>
      </w:r>
    </w:p>
    <w:p w:rsidR="00253FFA" w:rsidRPr="001E7E87" w:rsidP="00F54C0A">
      <w:pPr>
        <w:pStyle w:val="Heading1"/>
        <w:rPr>
          <w:rFonts w:ascii="Times New Roman" w:hAnsi="Times New Roman" w:cs="Times New Roman"/>
          <w:sz w:val="22"/>
          <w:szCs w:val="22"/>
        </w:rPr>
      </w:pPr>
      <w:r>
        <w:rPr>
          <w:rFonts w:ascii="Times New Roman" w:hAnsi="Times New Roman" w:cs="Times New Roman"/>
          <w:sz w:val="22"/>
          <w:szCs w:val="22"/>
        </w:rPr>
        <w:t>DISCUSSION</w:t>
      </w:r>
    </w:p>
    <w:p w:rsidR="000D6DA4" w:rsidP="00932EB9">
      <w:pPr>
        <w:pStyle w:val="ParaNum"/>
        <w:tabs>
          <w:tab w:val="clear" w:pos="1080"/>
          <w:tab w:val="num" w:pos="1440"/>
        </w:tabs>
      </w:pPr>
      <w:r>
        <w:t xml:space="preserve">Based on </w:t>
      </w:r>
      <w:r w:rsidR="00C407F3">
        <w:t>the</w:t>
      </w:r>
      <w:r w:rsidR="00170222">
        <w:t xml:space="preserve"> record</w:t>
      </w:r>
      <w:r w:rsidR="006E654B">
        <w:t xml:space="preserve">, including a great deal of information on the nature and </w:t>
      </w:r>
      <w:r w:rsidR="002D36F2">
        <w:t xml:space="preserve">operations </w:t>
      </w:r>
      <w:r w:rsidR="006E654B">
        <w:t>of current online fax services</w:t>
      </w:r>
      <w:r w:rsidR="00170222">
        <w:t xml:space="preserve">, </w:t>
      </w:r>
      <w:r w:rsidR="00253FFA">
        <w:t xml:space="preserve">we </w:t>
      </w:r>
      <w:r w:rsidR="00487FB7">
        <w:t xml:space="preserve">grant </w:t>
      </w:r>
      <w:r w:rsidR="00487FB7">
        <w:t>A</w:t>
      </w:r>
      <w:r w:rsidR="00714B1C">
        <w:t>merifactors</w:t>
      </w:r>
      <w:r w:rsidR="000E128A">
        <w:t>’</w:t>
      </w:r>
      <w:r w:rsidR="00714B1C">
        <w:t xml:space="preserve"> request for declaratory ruling</w:t>
      </w:r>
      <w:r w:rsidR="00C407F3">
        <w:t xml:space="preserve">.  To the extent an unsolicited facsimile advertisement is sent to a service that effectively receives faxes “sent as email over the Internet” and is not itself “equipment which </w:t>
      </w:r>
      <w:r w:rsidR="00932EB9">
        <w:t>h</w:t>
      </w:r>
      <w:r w:rsidR="00C407F3">
        <w:t xml:space="preserve">as the </w:t>
      </w:r>
      <w:r w:rsidR="00C407F3">
        <w:t>capacity .</w:t>
      </w:r>
      <w:r w:rsidR="00C407F3">
        <w:t xml:space="preserve"> . . to transcribe text or images (or both) from an electronic signal received over a regular telephone line onto paper,” the language of the TCPA and our precedent make clear that service is not a “telephone facsimile machine” and is thus outside the scope of the statutory prohibition. </w:t>
      </w:r>
      <w:r w:rsidR="00487FB7">
        <w:t xml:space="preserve"> </w:t>
      </w:r>
      <w:bookmarkStart w:id="5" w:name="_Hlk22553044"/>
      <w:r w:rsidR="002D36F2">
        <w:t>O</w:t>
      </w:r>
      <w:r w:rsidRPr="006E4331" w:rsidR="006E4331">
        <w:t xml:space="preserve">ur </w:t>
      </w:r>
      <w:r w:rsidR="002D36F2">
        <w:t xml:space="preserve">clarification </w:t>
      </w:r>
      <w:r w:rsidRPr="006E4331" w:rsidR="006E4331">
        <w:t xml:space="preserve">is </w:t>
      </w:r>
      <w:r w:rsidR="006E4331">
        <w:t xml:space="preserve">limited to </w:t>
      </w:r>
      <w:r w:rsidR="00114AEE">
        <w:t xml:space="preserve">an analysis of </w:t>
      </w:r>
      <w:r w:rsidR="006E4331">
        <w:t>online fax services</w:t>
      </w:r>
      <w:r w:rsidR="00922D5D">
        <w:t>, as informed by the</w:t>
      </w:r>
      <w:r w:rsidR="00114AEE">
        <w:t xml:space="preserve"> current record</w:t>
      </w:r>
      <w:r w:rsidR="00922D5D">
        <w:t>,</w:t>
      </w:r>
      <w:r w:rsidR="00114AEE">
        <w:t xml:space="preserve"> </w:t>
      </w:r>
      <w:r w:rsidR="006E4331">
        <w:t xml:space="preserve">and </w:t>
      </w:r>
      <w:r w:rsidR="002D36F2">
        <w:t xml:space="preserve">does not </w:t>
      </w:r>
      <w:r w:rsidR="00922D5D">
        <w:t>prejudge</w:t>
      </w:r>
      <w:r w:rsidRPr="006E4331" w:rsidR="006E4331">
        <w:t xml:space="preserve"> whether </w:t>
      </w:r>
      <w:r w:rsidR="002D36F2">
        <w:t xml:space="preserve">we would arrive at the same conclusion for </w:t>
      </w:r>
      <w:r w:rsidRPr="006E4331" w:rsidR="006E4331">
        <w:t xml:space="preserve">other types of equipment and </w:t>
      </w:r>
      <w:r w:rsidR="00114AEE">
        <w:t>services</w:t>
      </w:r>
      <w:r w:rsidRPr="006E4331" w:rsidR="006E4331">
        <w:t>.</w:t>
      </w:r>
      <w:bookmarkEnd w:id="5"/>
      <w:r w:rsidR="00C407F3">
        <w:t xml:space="preserve">  </w:t>
      </w:r>
    </w:p>
    <w:p w:rsidR="00253FFA" w:rsidRPr="00461C18" w:rsidP="00932EB9">
      <w:pPr>
        <w:pStyle w:val="ParaNum"/>
        <w:tabs>
          <w:tab w:val="clear" w:pos="1080"/>
          <w:tab w:val="num" w:pos="1440"/>
        </w:tabs>
      </w:pPr>
      <w:r>
        <w:t>As an in</w:t>
      </w:r>
      <w:r w:rsidR="007362FE">
        <w:t>i</w:t>
      </w:r>
      <w:r>
        <w:t xml:space="preserve">tial matter, we find sufficient controversy or uncertainty exists to justify issuing a declaratory ruling as set out in section 1.2 of </w:t>
      </w:r>
      <w:r w:rsidR="00F53069">
        <w:t>our</w:t>
      </w:r>
      <w:r>
        <w:t xml:space="preserve"> rules</w:t>
      </w:r>
      <w:r w:rsidR="0008294E">
        <w:t>.</w:t>
      </w:r>
      <w:r>
        <w:rPr>
          <w:rStyle w:val="FootnoteReference"/>
        </w:rPr>
        <w:footnoteReference w:id="21"/>
      </w:r>
      <w:r w:rsidR="008578DF">
        <w:t xml:space="preserve">  Although</w:t>
      </w:r>
      <w:r w:rsidR="0067597F">
        <w:t xml:space="preserve"> </w:t>
      </w:r>
      <w:r w:rsidR="00A46710">
        <w:t>Career Counseling</w:t>
      </w:r>
      <w:r w:rsidR="0067597F">
        <w:t xml:space="preserve"> notes that </w:t>
      </w:r>
      <w:r w:rsidR="0067597F">
        <w:t>Amerifactors</w:t>
      </w:r>
      <w:r w:rsidR="0067597F">
        <w:t xml:space="preserve"> makes no </w:t>
      </w:r>
      <w:r w:rsidR="00FE0C63">
        <w:t xml:space="preserve">direct </w:t>
      </w:r>
      <w:r w:rsidR="0067597F">
        <w:t xml:space="preserve">claim in its petition </w:t>
      </w:r>
      <w:r w:rsidR="00A46710">
        <w:t>that any person received its faxes through an online fax service</w:t>
      </w:r>
      <w:r w:rsidR="0067597F">
        <w:t xml:space="preserve">, </w:t>
      </w:r>
      <w:r w:rsidR="0067597F">
        <w:t>Amerifactors</w:t>
      </w:r>
      <w:r w:rsidR="0067597F">
        <w:t xml:space="preserve"> </w:t>
      </w:r>
      <w:r w:rsidR="00E32289">
        <w:t>indicated to the court in the underlying litigation that it “believes many, if not the majority of the alleged faxes at issue” were received by</w:t>
      </w:r>
      <w:r w:rsidR="00A46710">
        <w:t>, and thus sent to,</w:t>
      </w:r>
      <w:r w:rsidR="00E32289">
        <w:t xml:space="preserve"> an online fax service.</w:t>
      </w:r>
      <w:r>
        <w:rPr>
          <w:rStyle w:val="FootnoteReference"/>
        </w:rPr>
        <w:footnoteReference w:id="22"/>
      </w:r>
      <w:r w:rsidR="00E32289">
        <w:t xml:space="preserve">  </w:t>
      </w:r>
      <w:r w:rsidR="001979F4">
        <w:t xml:space="preserve">In addition, the </w:t>
      </w:r>
      <w:r w:rsidR="002D36F2">
        <w:t xml:space="preserve">issue </w:t>
      </w:r>
      <w:r w:rsidR="004948F3">
        <w:t>Amerifactors</w:t>
      </w:r>
      <w:r w:rsidR="001979F4">
        <w:t xml:space="preserve"> </w:t>
      </w:r>
      <w:r w:rsidR="002D36F2">
        <w:t xml:space="preserve">raises </w:t>
      </w:r>
      <w:r w:rsidRPr="001979F4" w:rsidR="001979F4">
        <w:t xml:space="preserve">extends beyond the </w:t>
      </w:r>
      <w:r w:rsidR="001979F4">
        <w:t xml:space="preserve">parties involved in the </w:t>
      </w:r>
      <w:r w:rsidRPr="001979F4" w:rsidR="001979F4">
        <w:t>current litigation</w:t>
      </w:r>
      <w:r w:rsidR="004948F3">
        <w:t>,</w:t>
      </w:r>
      <w:r w:rsidR="0067597F">
        <w:t xml:space="preserve"> as evidenced by several </w:t>
      </w:r>
      <w:r w:rsidR="006758B1">
        <w:t>commenters</w:t>
      </w:r>
      <w:r w:rsidR="0067597F">
        <w:t xml:space="preserve"> that support clarification of this issue</w:t>
      </w:r>
      <w:r w:rsidRPr="001979F4" w:rsidR="001979F4">
        <w:t>.</w:t>
      </w:r>
      <w:r>
        <w:rPr>
          <w:rStyle w:val="FootnoteReference"/>
        </w:rPr>
        <w:footnoteReference w:id="23"/>
      </w:r>
      <w:r w:rsidRPr="001979F4" w:rsidR="001979F4">
        <w:t xml:space="preserve">  </w:t>
      </w:r>
      <w:r w:rsidR="00F940C2">
        <w:t xml:space="preserve"> </w:t>
      </w:r>
    </w:p>
    <w:p w:rsidR="004A715E" w:rsidP="0090601C">
      <w:pPr>
        <w:pStyle w:val="ParaNum"/>
        <w:widowControl/>
        <w:tabs>
          <w:tab w:val="clear" w:pos="1080"/>
          <w:tab w:val="num" w:pos="1440"/>
        </w:tabs>
      </w:pPr>
      <w:r>
        <w:t xml:space="preserve">Turning to the merits, </w:t>
      </w:r>
      <w:r w:rsidR="00E63B9D">
        <w:t>the TCPA</w:t>
      </w:r>
      <w:r>
        <w:t xml:space="preserve">’s language </w:t>
      </w:r>
      <w:r w:rsidR="00E63B9D">
        <w:t>demonstrate</w:t>
      </w:r>
      <w:r>
        <w:t>s</w:t>
      </w:r>
      <w:r w:rsidR="00E63B9D">
        <w:t xml:space="preserve"> </w:t>
      </w:r>
      <w:r w:rsidR="00A94B8B">
        <w:t>that Congress did not intend the statute</w:t>
      </w:r>
      <w:r w:rsidR="003C5163">
        <w:t>’s prohibition</w:t>
      </w:r>
      <w:r w:rsidR="00A94B8B">
        <w:t xml:space="preserve"> to apply to faxes </w:t>
      </w:r>
      <w:r w:rsidR="003C5163">
        <w:t>sent to</w:t>
      </w:r>
      <w:r w:rsidR="00D35414">
        <w:t xml:space="preserve"> </w:t>
      </w:r>
      <w:r w:rsidR="005819D8">
        <w:t>equipment</w:t>
      </w:r>
      <w:r w:rsidR="00A94B8B">
        <w:t xml:space="preserve"> other than a telephone facsimile machine.  </w:t>
      </w:r>
      <w:bookmarkStart w:id="6" w:name="_Hlk17724755"/>
      <w:r w:rsidR="00527E13">
        <w:t>Specifically, the language of the statute proscribes sending a fax only to a “telephone facsimile machine.”</w:t>
      </w:r>
      <w:r>
        <w:rPr>
          <w:rStyle w:val="FootnoteReference"/>
        </w:rPr>
        <w:footnoteReference w:id="24"/>
      </w:r>
      <w:bookmarkEnd w:id="6"/>
      <w:r w:rsidR="00527E13">
        <w:t xml:space="preserve">  In contrast, Congress made clear that the proscription applies when such a fax is sent from other devices as well—specifically, an </w:t>
      </w:r>
      <w:r w:rsidR="00A94B8B">
        <w:t>unsolicited fa</w:t>
      </w:r>
      <w:r w:rsidR="00042188">
        <w:t>csimile</w:t>
      </w:r>
      <w:r w:rsidR="00A94B8B">
        <w:t xml:space="preserve"> advertisement </w:t>
      </w:r>
      <w:r w:rsidR="00527E13">
        <w:t>can</w:t>
      </w:r>
      <w:r w:rsidR="00A94B8B">
        <w:t xml:space="preserve"> </w:t>
      </w:r>
      <w:r w:rsidRPr="00527E13" w:rsidR="00A94B8B">
        <w:t>originate</w:t>
      </w:r>
      <w:r w:rsidR="00A94B8B">
        <w:t xml:space="preserve"> on </w:t>
      </w:r>
      <w:r w:rsidR="0099357E">
        <w:t xml:space="preserve">any </w:t>
      </w:r>
      <w:r w:rsidR="00A94B8B">
        <w:t>of three types of equipment:  a “telephone facsimile machine,” a “computer,” or an</w:t>
      </w:r>
      <w:r w:rsidR="00C60243">
        <w:t>y</w:t>
      </w:r>
      <w:r w:rsidR="00A94B8B">
        <w:t xml:space="preserve"> “other device.”</w:t>
      </w:r>
      <w:r>
        <w:rPr>
          <w:rStyle w:val="FootnoteReference"/>
        </w:rPr>
        <w:footnoteReference w:id="25"/>
      </w:r>
      <w:r w:rsidR="00A94B8B">
        <w:t xml:space="preserve">  </w:t>
      </w:r>
    </w:p>
    <w:p w:rsidR="00527E13" w:rsidP="00F54C0A">
      <w:pPr>
        <w:pStyle w:val="ParaNum"/>
        <w:widowControl/>
        <w:tabs>
          <w:tab w:val="clear" w:pos="1080"/>
          <w:tab w:val="num" w:pos="1440"/>
        </w:tabs>
      </w:pPr>
      <w:r>
        <w:t xml:space="preserve">Next, we turn to whether an online fax service is a “telephone facsimile machine.”  As described in the record, </w:t>
      </w:r>
      <w:r w:rsidR="003A0C2C">
        <w:t xml:space="preserve">a fax received by </w:t>
      </w:r>
      <w:r>
        <w:t xml:space="preserve">an online fax service as an electronic message </w:t>
      </w:r>
      <w:r w:rsidR="00CE3D6C">
        <w:t xml:space="preserve">is effectively </w:t>
      </w:r>
      <w:r>
        <w:t xml:space="preserve">an email.  Under our precedent, </w:t>
      </w:r>
      <w:r w:rsidR="00FC1282">
        <w:t>faxes “sent as email over the Internet” are not subject to the TCPA.</w:t>
      </w:r>
      <w:r>
        <w:rPr>
          <w:rStyle w:val="FootnoteReference"/>
        </w:rPr>
        <w:footnoteReference w:id="26"/>
      </w:r>
      <w:r w:rsidR="00FC1282">
        <w:t xml:space="preserve">  Faxes sent to online fax services via an attachment that the consumer can delete without printing are effectively the same as “email sent over the Internet.”</w:t>
      </w:r>
      <w:r>
        <w:rPr>
          <w:rStyle w:val="FootnoteReference"/>
        </w:rPr>
        <w:footnoteReference w:id="27"/>
      </w:r>
      <w:r w:rsidR="00FC1282">
        <w:t xml:space="preserve">  Consumers can manage those messages the same way they manage email by blocking senders or deleting incoming messages without printing them.  </w:t>
      </w:r>
      <w:r>
        <w:t xml:space="preserve">We also understand that an online fax service cannot itself print a fax—the user of an online fax service must connect his or her own equipment in order to do so.  As such, </w:t>
      </w:r>
      <w:r w:rsidR="00C54D91">
        <w:t xml:space="preserve">an online fax </w:t>
      </w:r>
      <w:r>
        <w:t xml:space="preserve">service is plainly not “equipment which </w:t>
      </w:r>
      <w:r w:rsidR="00DF7003">
        <w:t>h</w:t>
      </w:r>
      <w:r>
        <w:t xml:space="preserve">as the </w:t>
      </w:r>
      <w:r>
        <w:t>capacity .</w:t>
      </w:r>
      <w:r>
        <w:t> . . to transcribe text or images (or both) from an electronic signal received over a regular telephone line onto paper.”  Accordingly, under the plain terms of the Act, an online fax service is not a “telephone facsimile machine” and a fax sent to one is not “an unsolicited facsimile advertisement” prohibited by the TCPA.</w:t>
      </w:r>
    </w:p>
    <w:p w:rsidR="00C54D91" w:rsidP="00FC1282">
      <w:pPr>
        <w:pStyle w:val="ParaNum"/>
        <w:widowControl/>
        <w:tabs>
          <w:tab w:val="clear" w:pos="1080"/>
          <w:tab w:val="num" w:pos="1440"/>
        </w:tabs>
      </w:pPr>
      <w:r>
        <w:t>What is more</w:t>
      </w:r>
      <w:r w:rsidR="0042142B">
        <w:t xml:space="preserve">, we agree with commenters </w:t>
      </w:r>
      <w:r w:rsidR="00BA28C9">
        <w:t xml:space="preserve">that </w:t>
      </w:r>
      <w:r w:rsidR="004948F3">
        <w:t xml:space="preserve">faxes sent to </w:t>
      </w:r>
      <w:r w:rsidR="0008294E">
        <w:t xml:space="preserve">online fax services do not </w:t>
      </w:r>
      <w:r w:rsidR="00BA28C9">
        <w:t>cause</w:t>
      </w:r>
      <w:r w:rsidR="0008294E">
        <w:t xml:space="preserve"> the </w:t>
      </w:r>
      <w:r w:rsidR="00114AEE">
        <w:t xml:space="preserve">specific </w:t>
      </w:r>
      <w:r w:rsidR="0008294E">
        <w:t>harm</w:t>
      </w:r>
      <w:r w:rsidR="004C4251">
        <w:t>s</w:t>
      </w:r>
      <w:r w:rsidR="0008294E">
        <w:t xml:space="preserve"> to consumers </w:t>
      </w:r>
      <w:r w:rsidR="0042142B">
        <w:t xml:space="preserve">Congress sought to address in </w:t>
      </w:r>
      <w:r w:rsidR="0008294E">
        <w:t>the TCPA</w:t>
      </w:r>
      <w:r w:rsidR="0042142B">
        <w:t>.</w:t>
      </w:r>
      <w:r>
        <w:rPr>
          <w:rStyle w:val="FootnoteReference"/>
        </w:rPr>
        <w:footnoteReference w:id="28"/>
      </w:r>
      <w:r w:rsidR="0042142B">
        <w:t xml:space="preserve">  </w:t>
      </w:r>
      <w:r w:rsidR="00ED3303">
        <w:t xml:space="preserve">The House Report on the TCPA makes </w:t>
      </w:r>
      <w:r w:rsidR="0042142B">
        <w:t xml:space="preserve">clear that the facsimile provisions of the </w:t>
      </w:r>
      <w:r w:rsidR="00ED3303">
        <w:t xml:space="preserve">statute </w:t>
      </w:r>
      <w:r w:rsidR="0042142B">
        <w:t>were intended to curb two specific harm</w:t>
      </w:r>
      <w:r w:rsidR="00C84D5E">
        <w:t>s</w:t>
      </w:r>
      <w:r w:rsidR="0042142B">
        <w:t>:  “First, [a fax advertisement] shifts some of the costs of advertising from the sender to the recipient.  Second, it occupies the recipient’s facsimile machine so that it is unavailable for legitimate business messages while processing and printing the junk fax.”</w:t>
      </w:r>
      <w:r>
        <w:rPr>
          <w:rStyle w:val="FootnoteReference"/>
        </w:rPr>
        <w:footnoteReference w:id="29"/>
      </w:r>
      <w:r w:rsidR="005D41D7">
        <w:t xml:space="preserve">  </w:t>
      </w:r>
      <w:r w:rsidR="0008294E">
        <w:t xml:space="preserve">The record is clear that </w:t>
      </w:r>
      <w:r w:rsidR="00DD72A9">
        <w:t xml:space="preserve">faxes sent to </w:t>
      </w:r>
      <w:r w:rsidR="0008294E">
        <w:t>online fax</w:t>
      </w:r>
      <w:r w:rsidR="00114AEE">
        <w:t xml:space="preserve"> </w:t>
      </w:r>
      <w:r w:rsidR="0008294E">
        <w:t xml:space="preserve">services do not pose these harms and, </w:t>
      </w:r>
      <w:r w:rsidR="00C84D5E">
        <w:t xml:space="preserve">in fact </w:t>
      </w:r>
      <w:r w:rsidR="0008294E">
        <w:t xml:space="preserve">give consumers tools such as blocking capabilities to </w:t>
      </w:r>
      <w:r w:rsidR="00114B52">
        <w:t xml:space="preserve">control </w:t>
      </w:r>
      <w:r w:rsidR="00DD72A9">
        <w:t xml:space="preserve">these </w:t>
      </w:r>
      <w:r w:rsidR="00114B52">
        <w:t>costs</w:t>
      </w:r>
      <w:r w:rsidR="00DD72A9">
        <w:t>.</w:t>
      </w:r>
      <w:r>
        <w:rPr>
          <w:rStyle w:val="FootnoteReference"/>
        </w:rPr>
        <w:footnoteReference w:id="30"/>
      </w:r>
      <w:r w:rsidR="00DD72A9">
        <w:t xml:space="preserve">  </w:t>
      </w:r>
      <w:r w:rsidR="00FC1282">
        <w:t xml:space="preserve">Specifically, we find that the advertiser cost-shifting that Congress sought to prevent, such as the use of a recipient’s paper and ink, is not a factor with online fax services.  </w:t>
      </w:r>
      <w:r w:rsidRPr="007344D7" w:rsidR="00FC1282">
        <w:t xml:space="preserve">The House Report on the TCPA explained in 1991 that fax machines were “designed </w:t>
      </w:r>
      <w:r w:rsidR="00FC1282">
        <w:t xml:space="preserve">to accept, process, and print </w:t>
      </w:r>
      <w:r w:rsidRPr="0008294E" w:rsidR="00FC1282">
        <w:rPr>
          <w:i/>
        </w:rPr>
        <w:t>all</w:t>
      </w:r>
      <w:r w:rsidR="00FC1282">
        <w:t xml:space="preserve"> messages which arrive over their dedicated lines.”</w:t>
      </w:r>
      <w:r>
        <w:rPr>
          <w:rStyle w:val="FootnoteReference"/>
        </w:rPr>
        <w:footnoteReference w:id="31"/>
      </w:r>
      <w:r w:rsidR="00FC1282">
        <w:t xml:space="preserve">  </w:t>
      </w:r>
    </w:p>
    <w:p w:rsidR="00FC1282" w:rsidP="00FC1282">
      <w:pPr>
        <w:pStyle w:val="ParaNum"/>
        <w:widowControl/>
        <w:tabs>
          <w:tab w:val="clear" w:pos="1080"/>
          <w:tab w:val="num" w:pos="1440"/>
        </w:tabs>
      </w:pPr>
      <w:r>
        <w:t>By contrast, t</w:t>
      </w:r>
      <w:r w:rsidRPr="007F03AD">
        <w:t xml:space="preserve">he record </w:t>
      </w:r>
      <w:r>
        <w:t>here confirms</w:t>
      </w:r>
      <w:r w:rsidRPr="007F03AD">
        <w:t xml:space="preserve"> that online fax services</w:t>
      </w:r>
      <w:r>
        <w:t xml:space="preserve"> hold</w:t>
      </w:r>
      <w:r w:rsidRPr="007F03AD">
        <w:t xml:space="preserve"> </w:t>
      </w:r>
      <w:r>
        <w:t>i</w:t>
      </w:r>
      <w:r w:rsidRPr="007F03AD">
        <w:t>nbound faxes in digital form on a cloud-based server, where the user accesses the document via the online portal or via an email attachment</w:t>
      </w:r>
      <w:r>
        <w:t xml:space="preserve"> and has the option to view, delete, or print them as desired</w:t>
      </w:r>
      <w:r w:rsidRPr="007F03AD">
        <w:t>.</w:t>
      </w:r>
      <w:r>
        <w:rPr>
          <w:vertAlign w:val="superscript"/>
        </w:rPr>
        <w:footnoteReference w:id="32"/>
      </w:r>
      <w:r w:rsidRPr="007F03AD">
        <w:t xml:space="preserve">  </w:t>
      </w:r>
      <w:r>
        <w:t>F</w:t>
      </w:r>
      <w:r w:rsidRPr="007F03AD">
        <w:t>ax</w:t>
      </w:r>
      <w:r>
        <w:t>es sent</w:t>
      </w:r>
      <w:r w:rsidRPr="007F03AD">
        <w:t xml:space="preserve"> </w:t>
      </w:r>
      <w:r>
        <w:t xml:space="preserve">to online fax services </w:t>
      </w:r>
      <w:r w:rsidRPr="007F03AD">
        <w:t xml:space="preserve">use paper and ink </w:t>
      </w:r>
      <w:r>
        <w:t xml:space="preserve">only </w:t>
      </w:r>
      <w:r w:rsidRPr="007F03AD">
        <w:t xml:space="preserve">when the recipient </w:t>
      </w:r>
      <w:r w:rsidRPr="0034494E">
        <w:rPr>
          <w:i/>
        </w:rPr>
        <w:t>chooses to</w:t>
      </w:r>
      <w:r w:rsidRPr="007F03AD">
        <w:t xml:space="preserve"> print it</w:t>
      </w:r>
      <w:r>
        <w:t xml:space="preserve"> using their own separately provided equipment</w:t>
      </w:r>
      <w:r w:rsidRPr="007F03AD">
        <w:t xml:space="preserve">.  </w:t>
      </w:r>
      <w:r>
        <w:t xml:space="preserve">Neither is Congress’ concern about junk faxes occupying the recipient’s fax </w:t>
      </w:r>
      <w:r>
        <w:t>machine</w:t>
      </w:r>
      <w:r>
        <w:t xml:space="preserve"> so it is unavailable for other transmissions an issue with online fax services.  These services can handle multiple simultaneous incoming transmissions and thus receipt of any one fax does not render the service unavailable for others.</w:t>
      </w:r>
      <w:r>
        <w:rPr>
          <w:rStyle w:val="FootnoteReference"/>
        </w:rPr>
        <w:footnoteReference w:id="33"/>
      </w:r>
      <w:r>
        <w:t xml:space="preserve">  In short, online fax services differ in critical ways from the traditional faxes sent </w:t>
      </w:r>
      <w:r>
        <w:t>to telephone facsimile machines Congress addressed in the TCPA.</w:t>
      </w:r>
      <w:r>
        <w:rPr>
          <w:rStyle w:val="FootnoteReference"/>
        </w:rPr>
        <w:footnoteReference w:id="34"/>
      </w:r>
      <w:r>
        <w:t xml:space="preserve">  These faxes are more accurately characterized as faxes sent to a “computer” or “other device,” and not a “telephone facsimile machine.”</w:t>
      </w:r>
      <w:r>
        <w:rPr>
          <w:rStyle w:val="FootnoteReference"/>
        </w:rPr>
        <w:footnoteReference w:id="35"/>
      </w:r>
    </w:p>
    <w:p w:rsidR="00FC1282" w:rsidP="00F54C0A">
      <w:pPr>
        <w:pStyle w:val="ParaNum"/>
        <w:widowControl/>
        <w:tabs>
          <w:tab w:val="clear" w:pos="1080"/>
          <w:tab w:val="num" w:pos="1440"/>
        </w:tabs>
      </w:pPr>
      <w:r>
        <w:t>We disagree with those commenters who suggest that other consumer inconveniences necessitate that all computers and devices capable of being sent faxes be deemed telephone facsimile machines.</w:t>
      </w:r>
      <w:r>
        <w:rPr>
          <w:rStyle w:val="FootnoteReference"/>
        </w:rPr>
        <w:footnoteReference w:id="36"/>
      </w:r>
      <w:r>
        <w:t xml:space="preserve">  </w:t>
      </w:r>
      <w:r>
        <w:rPr>
          <w:i/>
        </w:rPr>
        <w:t>For one</w:t>
      </w:r>
      <w:r>
        <w:t>, we see no discretion contained in the statute to expand the meaning of a telephone facsimil</w:t>
      </w:r>
      <w:r w:rsidR="00C54D91">
        <w:t>e</w:t>
      </w:r>
      <w:r>
        <w:t xml:space="preserve"> machine beyond its defined scope.  </w:t>
      </w:r>
      <w:r>
        <w:rPr>
          <w:i/>
        </w:rPr>
        <w:t>For another</w:t>
      </w:r>
      <w:r>
        <w:t>, the more general harms that such commenters point to—such as time spent monitoring unwanted faxes stored by online fax services—are more generalized harms that go beyond the specific harms Congress identified in enacting the TCPA.</w:t>
      </w:r>
      <w:r>
        <w:rPr>
          <w:rStyle w:val="FootnoteReference"/>
        </w:rPr>
        <w:footnoteReference w:id="37"/>
      </w:r>
    </w:p>
    <w:p w:rsidR="00FC1282" w:rsidP="00F54C0A">
      <w:pPr>
        <w:pStyle w:val="ParaNum"/>
        <w:widowControl/>
        <w:tabs>
          <w:tab w:val="clear" w:pos="1080"/>
          <w:tab w:val="num" w:pos="1440"/>
        </w:tabs>
      </w:pPr>
      <w:r>
        <w:t xml:space="preserve">We also disagree with those that suggest this case is governed by the </w:t>
      </w:r>
      <w:r w:rsidRPr="0034494E">
        <w:rPr>
          <w:i/>
        </w:rPr>
        <w:t>Westfax</w:t>
      </w:r>
      <w:r w:rsidRPr="0034494E">
        <w:rPr>
          <w:i/>
        </w:rPr>
        <w:t xml:space="preserve"> Declaratory Ruling</w:t>
      </w:r>
      <w:r>
        <w:t>.</w:t>
      </w:r>
      <w:r w:rsidR="00DC0652">
        <w:t xml:space="preserve">  That decision focused on whether the mere conversion of a conventional fax to email at some point in the transmission chain removed the fax from the TCPA’s reach—and found that it did not.</w:t>
      </w:r>
      <w:r>
        <w:rPr>
          <w:rStyle w:val="FootnoteReference"/>
        </w:rPr>
        <w:footnoteReference w:id="38"/>
      </w:r>
      <w:r w:rsidR="00DC0652">
        <w:t xml:space="preserve">  And based on a limited record, it assumed that the “</w:t>
      </w:r>
      <w:r w:rsidR="00DC0652">
        <w:t>efax</w:t>
      </w:r>
      <w:r w:rsidR="00DC0652">
        <w:t>” in question was sent to a computer with an attached fax modem that had the capacity to print the fax, as required by statute.</w:t>
      </w:r>
      <w:r>
        <w:rPr>
          <w:rStyle w:val="FootnoteReference"/>
        </w:rPr>
        <w:footnoteReference w:id="39"/>
      </w:r>
      <w:r w:rsidR="00DC0652">
        <w:t xml:space="preserve">  That decision did not consider the online fax services that have no such capacity at issue here.</w:t>
      </w:r>
    </w:p>
    <w:p w:rsidR="00473020" w:rsidP="009B60AB">
      <w:pPr>
        <w:pStyle w:val="ParaNum"/>
        <w:tabs>
          <w:tab w:val="clear" w:pos="1080"/>
          <w:tab w:val="num" w:pos="1440"/>
        </w:tabs>
      </w:pPr>
      <w:r>
        <w:t xml:space="preserve">Having granted </w:t>
      </w:r>
      <w:r>
        <w:t>Amerifactors</w:t>
      </w:r>
      <w:r w:rsidR="0090465F">
        <w:t xml:space="preserve"> the relief it requests </w:t>
      </w:r>
      <w:r w:rsidR="00CE7D3D">
        <w:t>as</w:t>
      </w:r>
      <w:r w:rsidR="0090465F">
        <w:t xml:space="preserve"> described above, </w:t>
      </w:r>
      <w:r>
        <w:t xml:space="preserve">we decline to address </w:t>
      </w:r>
      <w:r w:rsidR="0090465F">
        <w:t xml:space="preserve">its other arguments, </w:t>
      </w:r>
      <w:r>
        <w:t>including the claim</w:t>
      </w:r>
      <w:r w:rsidR="00575F28">
        <w:t xml:space="preserve"> </w:t>
      </w:r>
      <w:r>
        <w:t xml:space="preserve">that </w:t>
      </w:r>
      <w:r w:rsidR="00CE7D3D">
        <w:t>applying the TCPA prohibition to faxes sent to online fax services would violate the First Amendment</w:t>
      </w:r>
      <w:r>
        <w:t xml:space="preserve">.  </w:t>
      </w:r>
    </w:p>
    <w:p w:rsidR="00253FFA" w:rsidRPr="00880FA0" w:rsidP="00F54C0A">
      <w:pPr>
        <w:pStyle w:val="Heading1"/>
        <w:widowControl/>
        <w:rPr>
          <w:rFonts w:ascii="Times New Roman" w:hAnsi="Times New Roman"/>
          <w:sz w:val="22"/>
        </w:rPr>
      </w:pPr>
      <w:r w:rsidRPr="00880FA0">
        <w:rPr>
          <w:rFonts w:ascii="Times New Roman" w:hAnsi="Times New Roman"/>
          <w:sz w:val="22"/>
        </w:rPr>
        <w:t>ORDERING CLAUSES</w:t>
      </w:r>
    </w:p>
    <w:p w:rsidR="00871C32" w:rsidP="00F54C0A">
      <w:pPr>
        <w:pStyle w:val="ParaNum"/>
        <w:widowControl/>
        <w:tabs>
          <w:tab w:val="clear" w:pos="1080"/>
          <w:tab w:val="left" w:pos="1440"/>
        </w:tabs>
      </w:pPr>
      <w:r w:rsidRPr="0049008B">
        <w:t xml:space="preserve">For the reasons stated above, IT IS ORDERED, pursuant to sections </w:t>
      </w:r>
      <w:r w:rsidR="00FB1692">
        <w:t>1</w:t>
      </w:r>
      <w:r w:rsidRPr="0049008B">
        <w:t>-4 and 227 of the Communications Act of 1934, as amended, 47 U.S.C. §§ 151-154, 227, sections 1.2 and 64.1200 of the Commission’s Rules, 47 CFR §§ 1.2, 64.1200</w:t>
      </w:r>
      <w:r w:rsidRPr="00871C32">
        <w:t>,</w:t>
      </w:r>
      <w:r w:rsidRPr="00475CF8">
        <w:t xml:space="preserve"> </w:t>
      </w:r>
      <w:r w:rsidRPr="00475CF8">
        <w:rPr>
          <w:kern w:val="0"/>
        </w:rPr>
        <w:t>and the authority delegated in sections 0.141</w:t>
      </w:r>
      <w:r w:rsidR="00070A8D">
        <w:rPr>
          <w:kern w:val="0"/>
        </w:rPr>
        <w:t xml:space="preserve"> and</w:t>
      </w:r>
      <w:r w:rsidRPr="00475CF8">
        <w:rPr>
          <w:kern w:val="0"/>
        </w:rPr>
        <w:t xml:space="preserve"> 0.361</w:t>
      </w:r>
      <w:r w:rsidR="00070A8D">
        <w:rPr>
          <w:kern w:val="0"/>
        </w:rPr>
        <w:t xml:space="preserve"> </w:t>
      </w:r>
      <w:r w:rsidRPr="00475CF8">
        <w:rPr>
          <w:kern w:val="0"/>
        </w:rPr>
        <w:t xml:space="preserve">of the Commission’s rules, 47 CFR §§ 0.141, 0.361, </w:t>
      </w:r>
      <w:r w:rsidR="00070A8D">
        <w:t xml:space="preserve">that </w:t>
      </w:r>
      <w:r w:rsidRPr="0049008B">
        <w:t xml:space="preserve">the Petition for </w:t>
      </w:r>
      <w:r w:rsidR="00243C17">
        <w:t>Expedited Declaratory Ruling</w:t>
      </w:r>
      <w:r>
        <w:t xml:space="preserve"> </w:t>
      </w:r>
      <w:r w:rsidRPr="0049008B">
        <w:t xml:space="preserve">filed by </w:t>
      </w:r>
      <w:r w:rsidR="00243C17">
        <w:t>Amerifactors</w:t>
      </w:r>
      <w:r w:rsidR="00243C17">
        <w:t xml:space="preserve"> Financial Group, LLC</w:t>
      </w:r>
      <w:r>
        <w:t xml:space="preserve"> </w:t>
      </w:r>
      <w:r w:rsidRPr="0049008B">
        <w:t xml:space="preserve">on </w:t>
      </w:r>
      <w:r w:rsidR="00243C17">
        <w:t>July 13, 2017,</w:t>
      </w:r>
      <w:r>
        <w:t xml:space="preserve"> IS </w:t>
      </w:r>
      <w:r w:rsidRPr="00A448C7">
        <w:rPr>
          <w:caps/>
        </w:rPr>
        <w:t>granted</w:t>
      </w:r>
      <w:r w:rsidR="00EE5C10">
        <w:rPr>
          <w:caps/>
        </w:rPr>
        <w:t xml:space="preserve"> to the extent described herein</w:t>
      </w:r>
      <w:r w:rsidRPr="0049008B">
        <w:t>.</w:t>
      </w:r>
    </w:p>
    <w:p w:rsidR="00FD5ADF" w:rsidP="00FD5ADF">
      <w:pPr>
        <w:pStyle w:val="ParaNum"/>
        <w:widowControl/>
        <w:numPr>
          <w:ilvl w:val="0"/>
          <w:numId w:val="0"/>
        </w:numPr>
        <w:tabs>
          <w:tab w:val="left" w:pos="1440"/>
        </w:tabs>
        <w:ind w:firstLine="720"/>
      </w:pPr>
    </w:p>
    <w:p w:rsidR="00FD5ADF" w:rsidP="00FD5ADF">
      <w:pPr>
        <w:pStyle w:val="ParaNum"/>
        <w:widowControl/>
        <w:numPr>
          <w:ilvl w:val="0"/>
          <w:numId w:val="0"/>
        </w:numPr>
        <w:tabs>
          <w:tab w:val="left" w:pos="1440"/>
        </w:tabs>
        <w:ind w:firstLine="720"/>
      </w:pPr>
    </w:p>
    <w:p w:rsidR="00FD5ADF" w:rsidP="00FD5ADF">
      <w:pPr>
        <w:pStyle w:val="ParaNum"/>
        <w:widowControl/>
        <w:numPr>
          <w:ilvl w:val="0"/>
          <w:numId w:val="0"/>
        </w:numPr>
        <w:tabs>
          <w:tab w:val="left" w:pos="1440"/>
        </w:tabs>
        <w:ind w:firstLine="720"/>
      </w:pPr>
    </w:p>
    <w:p w:rsidR="00FD5ADF" w:rsidRPr="0049008B" w:rsidP="00FD5ADF">
      <w:pPr>
        <w:pStyle w:val="ParaNum"/>
        <w:widowControl/>
        <w:numPr>
          <w:ilvl w:val="0"/>
          <w:numId w:val="0"/>
        </w:numPr>
        <w:tabs>
          <w:tab w:val="left" w:pos="1440"/>
        </w:tabs>
        <w:ind w:firstLine="720"/>
      </w:pPr>
    </w:p>
    <w:p w:rsidR="00253FFA" w:rsidP="00F54C0A">
      <w:pPr>
        <w:pStyle w:val="ParaNum"/>
        <w:tabs>
          <w:tab w:val="clear" w:pos="1080"/>
          <w:tab w:val="num" w:pos="1440"/>
        </w:tabs>
      </w:pPr>
      <w:r w:rsidRPr="0049008B">
        <w:t>IT IS FURTHER ORDERED that this Declaratory Ruling shall be effective upon release.</w:t>
      </w:r>
    </w:p>
    <w:p w:rsidR="00891D02" w:rsidP="00891D02">
      <w:pPr>
        <w:pStyle w:val="ParaNum"/>
        <w:numPr>
          <w:ilvl w:val="0"/>
          <w:numId w:val="0"/>
        </w:numPr>
        <w:ind w:left="720"/>
      </w:pPr>
    </w:p>
    <w:p w:rsidR="00891D02" w:rsidP="00891D02">
      <w:pPr>
        <w:pStyle w:val="ParaNum"/>
        <w:numPr>
          <w:ilvl w:val="0"/>
          <w:numId w:val="0"/>
        </w:numPr>
        <w:ind w:left="3600" w:firstLine="720"/>
      </w:pPr>
      <w:r>
        <w:t>FEDERAL COMMUNICATIONS COMMISSION</w:t>
      </w:r>
    </w:p>
    <w:p w:rsidR="00891D02" w:rsidP="00891D02">
      <w:pPr>
        <w:pStyle w:val="ParaNum"/>
        <w:numPr>
          <w:ilvl w:val="0"/>
          <w:numId w:val="0"/>
        </w:numPr>
        <w:ind w:left="3600" w:firstLine="720"/>
      </w:pPr>
    </w:p>
    <w:p w:rsidR="00891D02" w:rsidP="00891D02">
      <w:pPr>
        <w:pStyle w:val="ParaNum"/>
        <w:numPr>
          <w:ilvl w:val="0"/>
          <w:numId w:val="0"/>
        </w:numPr>
      </w:pPr>
    </w:p>
    <w:p w:rsidR="00891D02" w:rsidP="00891D02">
      <w:pPr>
        <w:pStyle w:val="ParaNum"/>
        <w:numPr>
          <w:ilvl w:val="0"/>
          <w:numId w:val="0"/>
        </w:numPr>
        <w:spacing w:after="0"/>
      </w:pPr>
      <w:r>
        <w:tab/>
      </w:r>
      <w:r>
        <w:tab/>
      </w:r>
      <w:r>
        <w:tab/>
      </w:r>
      <w:r>
        <w:tab/>
      </w:r>
      <w:r>
        <w:tab/>
      </w:r>
      <w:r>
        <w:tab/>
        <w:t>Patrick Webre</w:t>
      </w:r>
    </w:p>
    <w:p w:rsidR="00891D02" w:rsidP="00891D02">
      <w:pPr>
        <w:pStyle w:val="ParaNum"/>
        <w:numPr>
          <w:ilvl w:val="0"/>
          <w:numId w:val="0"/>
        </w:numPr>
        <w:spacing w:after="0"/>
      </w:pPr>
      <w:r>
        <w:tab/>
      </w:r>
      <w:r>
        <w:tab/>
      </w:r>
      <w:r>
        <w:tab/>
      </w:r>
      <w:r>
        <w:tab/>
      </w:r>
      <w:r>
        <w:tab/>
      </w:r>
      <w:r>
        <w:tab/>
        <w:t>Chief</w:t>
      </w:r>
    </w:p>
    <w:p w:rsidR="00891D02" w:rsidP="00891D02">
      <w:pPr>
        <w:pStyle w:val="ParaNum"/>
        <w:numPr>
          <w:ilvl w:val="0"/>
          <w:numId w:val="0"/>
        </w:numPr>
        <w:spacing w:after="0"/>
      </w:pPr>
      <w:r>
        <w:tab/>
      </w:r>
      <w:r>
        <w:tab/>
      </w:r>
      <w:r>
        <w:tab/>
      </w:r>
      <w:r>
        <w:tab/>
      </w:r>
      <w:r>
        <w:tab/>
      </w:r>
      <w:r>
        <w:tab/>
        <w:t>Consumer and Governmental Affairs Bureau</w:t>
      </w:r>
    </w:p>
    <w:p w:rsidR="0034494E" w:rsidP="00891D02">
      <w:pPr>
        <w:pStyle w:val="ParaNum"/>
        <w:numPr>
          <w:ilvl w:val="0"/>
          <w:numId w:val="0"/>
        </w:numPr>
        <w:spacing w:after="0"/>
      </w:pPr>
    </w:p>
    <w:p w:rsidR="00891D02" w:rsidRPr="00577B12" w:rsidP="00CB7B84">
      <w:pPr>
        <w:widowControl/>
      </w:pPr>
      <w:r>
        <w:br w:type="page"/>
      </w:r>
    </w:p>
    <w:p w:rsidR="00253FFA" w:rsidRPr="00A61BCB" w:rsidP="0090465F">
      <w:pPr>
        <w:pStyle w:val="Header"/>
      </w:pPr>
      <w:r w:rsidRPr="00A61BCB">
        <w:t xml:space="preserve">Appendix </w:t>
      </w:r>
    </w:p>
    <w:p w:rsidR="00253FFA" w:rsidRPr="00A61BCB" w:rsidP="0090465F">
      <w:pPr>
        <w:pStyle w:val="Header"/>
      </w:pPr>
    </w:p>
    <w:p w:rsidR="00253FFA" w:rsidRPr="00A61BCB" w:rsidP="0090465F">
      <w:pPr>
        <w:pStyle w:val="Header"/>
      </w:pPr>
      <w:r w:rsidRPr="00A61BCB">
        <w:t>List of Commenters</w:t>
      </w:r>
    </w:p>
    <w:p w:rsidR="00253FFA" w:rsidRPr="00243C17" w:rsidP="0090465F">
      <w:pPr>
        <w:pStyle w:val="Header"/>
      </w:pPr>
    </w:p>
    <w:p w:rsidR="00A61BCB" w:rsidP="0090465F">
      <w:pPr>
        <w:pStyle w:val="Header"/>
      </w:pPr>
      <w:r w:rsidRPr="009E6AC6">
        <w:t>Commenters</w:t>
      </w:r>
      <w:r w:rsidRPr="007739D9" w:rsidR="000449AB">
        <w:tab/>
      </w:r>
      <w:r w:rsidRPr="007739D9" w:rsidR="000449AB">
        <w:tab/>
      </w:r>
      <w:r w:rsidRPr="009E6AC6" w:rsidR="000449AB">
        <w:t>Abbreviation</w:t>
      </w:r>
    </w:p>
    <w:p w:rsidR="00253FFA" w:rsidRPr="00F16D4E" w:rsidP="0090465F">
      <w:pPr>
        <w:pStyle w:val="Header"/>
        <w:rPr>
          <w:b w:val="0"/>
        </w:rPr>
      </w:pPr>
      <w:r w:rsidRPr="00F16D4E">
        <w:rPr>
          <w:b w:val="0"/>
        </w:rPr>
        <w:t>American Bankers Association</w:t>
      </w:r>
      <w:r w:rsidRPr="00F16D4E">
        <w:rPr>
          <w:b w:val="0"/>
        </w:rPr>
        <w:tab/>
      </w:r>
      <w:r w:rsidRPr="00F16D4E">
        <w:rPr>
          <w:b w:val="0"/>
        </w:rPr>
        <w:tab/>
      </w:r>
      <w:r w:rsidRPr="00F16D4E">
        <w:rPr>
          <w:b w:val="0"/>
        </w:rPr>
        <w:t>ABA</w:t>
      </w:r>
    </w:p>
    <w:p w:rsidR="00253FFA" w:rsidRPr="00F16D4E" w:rsidP="0090465F">
      <w:pPr>
        <w:pStyle w:val="Header"/>
        <w:rPr>
          <w:b w:val="0"/>
        </w:rPr>
      </w:pPr>
      <w:r w:rsidRPr="00F16D4E">
        <w:rPr>
          <w:b w:val="0"/>
        </w:rPr>
        <w:t>Am</w:t>
      </w:r>
      <w:r w:rsidRPr="00F16D4E" w:rsidR="007739D9">
        <w:rPr>
          <w:b w:val="0"/>
        </w:rPr>
        <w:t>erifactors</w:t>
      </w:r>
      <w:r w:rsidRPr="00F16D4E" w:rsidR="007739D9">
        <w:rPr>
          <w:b w:val="0"/>
        </w:rPr>
        <w:t xml:space="preserve"> Financial Group, LLC</w:t>
      </w:r>
      <w:r w:rsidRPr="00F16D4E">
        <w:rPr>
          <w:b w:val="0"/>
        </w:rPr>
        <w:tab/>
        <w:t xml:space="preserve">             </w:t>
      </w:r>
      <w:r w:rsidRPr="00F16D4E" w:rsidR="000449AB">
        <w:rPr>
          <w:b w:val="0"/>
        </w:rPr>
        <w:tab/>
      </w:r>
      <w:r w:rsidRPr="00F16D4E">
        <w:rPr>
          <w:b w:val="0"/>
        </w:rPr>
        <w:t>Am</w:t>
      </w:r>
      <w:r w:rsidRPr="00F16D4E" w:rsidR="007739D9">
        <w:rPr>
          <w:b w:val="0"/>
        </w:rPr>
        <w:t>erifactors</w:t>
      </w:r>
    </w:p>
    <w:p w:rsidR="00F16C60" w:rsidRPr="00F16D4E" w:rsidP="0090465F">
      <w:pPr>
        <w:pStyle w:val="Header"/>
        <w:rPr>
          <w:b w:val="0"/>
        </w:rPr>
      </w:pPr>
      <w:r w:rsidRPr="00F16D4E">
        <w:rPr>
          <w:b w:val="0"/>
        </w:rPr>
        <w:t xml:space="preserve">Amsterdam Printing &amp; </w:t>
      </w:r>
      <w:r w:rsidRPr="00F16D4E">
        <w:rPr>
          <w:b w:val="0"/>
        </w:rPr>
        <w:t>Litho</w:t>
      </w:r>
      <w:r w:rsidRPr="00F16D4E">
        <w:rPr>
          <w:b w:val="0"/>
        </w:rPr>
        <w:tab/>
      </w:r>
      <w:r w:rsidRPr="00F16D4E">
        <w:rPr>
          <w:b w:val="0"/>
        </w:rPr>
        <w:tab/>
      </w:r>
      <w:r w:rsidRPr="00F16D4E">
        <w:rPr>
          <w:b w:val="0"/>
        </w:rPr>
        <w:t>Amsterdam P&amp;L</w:t>
      </w:r>
    </w:p>
    <w:p w:rsidR="007739D9" w:rsidRPr="00F16D4E" w:rsidP="0090465F">
      <w:pPr>
        <w:pStyle w:val="Header"/>
        <w:rPr>
          <w:b w:val="0"/>
        </w:rPr>
      </w:pPr>
      <w:r w:rsidRPr="00F16D4E">
        <w:rPr>
          <w:b w:val="0"/>
        </w:rPr>
        <w:t>Barry, Peter/Barry/</w:t>
      </w:r>
      <w:r w:rsidRPr="00F16D4E">
        <w:rPr>
          <w:b w:val="0"/>
        </w:rPr>
        <w:t>Helwig</w:t>
      </w:r>
      <w:r w:rsidRPr="00F16D4E">
        <w:rPr>
          <w:b w:val="0"/>
        </w:rPr>
        <w:t>, LLC</w:t>
      </w:r>
      <w:r w:rsidRPr="00F16D4E">
        <w:rPr>
          <w:b w:val="0"/>
        </w:rPr>
        <w:tab/>
      </w:r>
      <w:r w:rsidRPr="00F16D4E">
        <w:rPr>
          <w:b w:val="0"/>
        </w:rPr>
        <w:tab/>
        <w:t>Berry</w:t>
      </w:r>
    </w:p>
    <w:p w:rsidR="00F16C60" w:rsidRPr="00F16D4E" w:rsidP="0090465F">
      <w:pPr>
        <w:pStyle w:val="Header"/>
        <w:rPr>
          <w:b w:val="0"/>
        </w:rPr>
      </w:pPr>
      <w:r w:rsidRPr="00F16D4E">
        <w:rPr>
          <w:b w:val="0"/>
        </w:rPr>
        <w:t>Robert Biggerstaff</w:t>
      </w:r>
      <w:r w:rsidRPr="00F16D4E">
        <w:rPr>
          <w:b w:val="0"/>
        </w:rPr>
        <w:tab/>
      </w:r>
      <w:r w:rsidRPr="00F16D4E">
        <w:rPr>
          <w:b w:val="0"/>
        </w:rPr>
        <w:tab/>
        <w:t>Biggerstaff</w:t>
      </w:r>
    </w:p>
    <w:p w:rsidR="00F16C60" w:rsidRPr="00F16D4E" w:rsidP="0090465F">
      <w:pPr>
        <w:pStyle w:val="Header"/>
        <w:rPr>
          <w:b w:val="0"/>
        </w:rPr>
      </w:pPr>
      <w:r w:rsidRPr="00F16D4E">
        <w:rPr>
          <w:b w:val="0"/>
        </w:rPr>
        <w:t>Cynthia Brinker</w:t>
      </w:r>
      <w:r w:rsidRPr="00F16D4E">
        <w:rPr>
          <w:b w:val="0"/>
        </w:rPr>
        <w:tab/>
      </w:r>
      <w:r w:rsidRPr="00F16D4E">
        <w:rPr>
          <w:b w:val="0"/>
        </w:rPr>
        <w:tab/>
        <w:t>Brinker</w:t>
      </w:r>
    </w:p>
    <w:p w:rsidR="00F16C60" w:rsidRPr="00F16D4E" w:rsidP="0090465F">
      <w:pPr>
        <w:pStyle w:val="Header"/>
        <w:rPr>
          <w:b w:val="0"/>
        </w:rPr>
      </w:pPr>
      <w:r w:rsidRPr="00F16D4E">
        <w:rPr>
          <w:b w:val="0"/>
        </w:rPr>
        <w:t>Career Counseling, Inc.</w:t>
      </w:r>
      <w:r w:rsidRPr="00F16D4E">
        <w:rPr>
          <w:b w:val="0"/>
        </w:rPr>
        <w:tab/>
      </w:r>
      <w:r w:rsidRPr="00F16D4E">
        <w:rPr>
          <w:b w:val="0"/>
        </w:rPr>
        <w:tab/>
        <w:t>Career Counseling</w:t>
      </w:r>
    </w:p>
    <w:p w:rsidR="00F16C60" w:rsidRPr="00F16D4E" w:rsidP="0090465F">
      <w:pPr>
        <w:pStyle w:val="Header"/>
        <w:rPr>
          <w:b w:val="0"/>
        </w:rPr>
      </w:pPr>
      <w:r w:rsidRPr="00F16D4E">
        <w:rPr>
          <w:b w:val="0"/>
        </w:rPr>
        <w:t>David Cover</w:t>
      </w:r>
      <w:r w:rsidRPr="00F16D4E">
        <w:rPr>
          <w:b w:val="0"/>
        </w:rPr>
        <w:tab/>
      </w:r>
      <w:r w:rsidRPr="00F16D4E">
        <w:rPr>
          <w:b w:val="0"/>
        </w:rPr>
        <w:tab/>
        <w:t>Cover</w:t>
      </w:r>
    </w:p>
    <w:p w:rsidR="00F16C60" w:rsidRPr="00F16D4E" w:rsidP="0090465F">
      <w:pPr>
        <w:pStyle w:val="Header"/>
        <w:rPr>
          <w:b w:val="0"/>
        </w:rPr>
      </w:pPr>
      <w:r w:rsidRPr="00F16D4E">
        <w:rPr>
          <w:b w:val="0"/>
        </w:rPr>
        <w:t xml:space="preserve">Johnny </w:t>
      </w:r>
      <w:r w:rsidRPr="00F16D4E">
        <w:rPr>
          <w:b w:val="0"/>
        </w:rPr>
        <w:t>Daciolas</w:t>
      </w:r>
      <w:r w:rsidRPr="00F16D4E">
        <w:rPr>
          <w:b w:val="0"/>
        </w:rPr>
        <w:tab/>
      </w:r>
      <w:r w:rsidRPr="00F16D4E">
        <w:rPr>
          <w:b w:val="0"/>
        </w:rPr>
        <w:tab/>
      </w:r>
      <w:r w:rsidRPr="00F16D4E">
        <w:rPr>
          <w:b w:val="0"/>
        </w:rPr>
        <w:t>Daciolas</w:t>
      </w:r>
    </w:p>
    <w:p w:rsidR="00F16C60" w:rsidRPr="00F16D4E" w:rsidP="0090465F">
      <w:pPr>
        <w:pStyle w:val="Header"/>
        <w:rPr>
          <w:b w:val="0"/>
        </w:rPr>
      </w:pPr>
      <w:r w:rsidRPr="00F16D4E">
        <w:rPr>
          <w:b w:val="0"/>
        </w:rPr>
        <w:t xml:space="preserve">Leslie </w:t>
      </w:r>
      <w:r w:rsidRPr="00F16D4E">
        <w:rPr>
          <w:b w:val="0"/>
        </w:rPr>
        <w:t>Delahoya</w:t>
      </w:r>
      <w:r w:rsidRPr="00F16D4E">
        <w:rPr>
          <w:b w:val="0"/>
        </w:rPr>
        <w:tab/>
      </w:r>
      <w:r w:rsidRPr="00F16D4E">
        <w:rPr>
          <w:b w:val="0"/>
        </w:rPr>
        <w:tab/>
      </w:r>
      <w:r w:rsidRPr="00F16D4E">
        <w:rPr>
          <w:b w:val="0"/>
        </w:rPr>
        <w:t>Delahoya</w:t>
      </w:r>
    </w:p>
    <w:p w:rsidR="00F16C60" w:rsidRPr="00F16D4E" w:rsidP="0090465F">
      <w:pPr>
        <w:pStyle w:val="Header"/>
        <w:rPr>
          <w:b w:val="0"/>
        </w:rPr>
      </w:pPr>
      <w:r w:rsidRPr="00F16D4E">
        <w:rPr>
          <w:b w:val="0"/>
        </w:rPr>
        <w:t>Erika Eaton</w:t>
      </w:r>
      <w:r w:rsidRPr="00F16D4E">
        <w:rPr>
          <w:b w:val="0"/>
        </w:rPr>
        <w:tab/>
      </w:r>
      <w:r w:rsidRPr="00F16D4E">
        <w:rPr>
          <w:b w:val="0"/>
        </w:rPr>
        <w:tab/>
        <w:t>Eaton</w:t>
      </w:r>
    </w:p>
    <w:p w:rsidR="00F16C60" w:rsidRPr="00F16D4E" w:rsidP="0090465F">
      <w:pPr>
        <w:pStyle w:val="Header"/>
        <w:rPr>
          <w:b w:val="0"/>
        </w:rPr>
      </w:pPr>
      <w:r w:rsidRPr="00F16D4E">
        <w:rPr>
          <w:b w:val="0"/>
        </w:rPr>
        <w:t>Stephanie Elizabeth</w:t>
      </w:r>
      <w:r w:rsidRPr="00F16D4E">
        <w:rPr>
          <w:b w:val="0"/>
        </w:rPr>
        <w:tab/>
      </w:r>
      <w:r w:rsidRPr="00F16D4E">
        <w:rPr>
          <w:b w:val="0"/>
        </w:rPr>
        <w:tab/>
        <w:t>Elizabeth</w:t>
      </w:r>
    </w:p>
    <w:p w:rsidR="00F16C60" w:rsidRPr="00F16D4E" w:rsidP="0090465F">
      <w:pPr>
        <w:pStyle w:val="Header"/>
        <w:rPr>
          <w:b w:val="0"/>
        </w:rPr>
      </w:pPr>
      <w:r w:rsidRPr="00F16D4E">
        <w:rPr>
          <w:b w:val="0"/>
        </w:rPr>
        <w:t>Gary Evans</w:t>
      </w:r>
      <w:r w:rsidRPr="00F16D4E">
        <w:rPr>
          <w:b w:val="0"/>
        </w:rPr>
        <w:tab/>
      </w:r>
      <w:r w:rsidRPr="00F16D4E">
        <w:rPr>
          <w:b w:val="0"/>
        </w:rPr>
        <w:tab/>
        <w:t>Evans</w:t>
      </w:r>
    </w:p>
    <w:p w:rsidR="00F16C60" w:rsidRPr="00F16D4E" w:rsidP="0090465F">
      <w:pPr>
        <w:pStyle w:val="Header"/>
        <w:rPr>
          <w:b w:val="0"/>
        </w:rPr>
      </w:pPr>
      <w:r w:rsidRPr="00F16D4E">
        <w:rPr>
          <w:b w:val="0"/>
        </w:rPr>
        <w:t>Michael Friend</w:t>
      </w:r>
      <w:r w:rsidRPr="00F16D4E">
        <w:rPr>
          <w:b w:val="0"/>
        </w:rPr>
        <w:tab/>
      </w:r>
      <w:r w:rsidRPr="00F16D4E">
        <w:rPr>
          <w:b w:val="0"/>
        </w:rPr>
        <w:tab/>
        <w:t>Friend</w:t>
      </w:r>
    </w:p>
    <w:p w:rsidR="00F16C60" w:rsidRPr="00F16D4E" w:rsidP="0090465F">
      <w:pPr>
        <w:pStyle w:val="Header"/>
        <w:rPr>
          <w:b w:val="0"/>
        </w:rPr>
      </w:pPr>
      <w:r w:rsidRPr="00F16D4E">
        <w:rPr>
          <w:b w:val="0"/>
        </w:rPr>
        <w:t>Javier Gonzalez</w:t>
      </w:r>
      <w:r w:rsidRPr="00F16D4E">
        <w:rPr>
          <w:b w:val="0"/>
        </w:rPr>
        <w:tab/>
      </w:r>
      <w:r w:rsidRPr="00F16D4E">
        <w:rPr>
          <w:b w:val="0"/>
        </w:rPr>
        <w:tab/>
        <w:t>Gonzalez</w:t>
      </w:r>
    </w:p>
    <w:p w:rsidR="00F16C60" w:rsidRPr="00F16D4E" w:rsidP="0090465F">
      <w:pPr>
        <w:pStyle w:val="Header"/>
        <w:rPr>
          <w:b w:val="0"/>
        </w:rPr>
      </w:pPr>
      <w:r w:rsidRPr="00F16D4E">
        <w:rPr>
          <w:b w:val="0"/>
        </w:rPr>
        <w:t>Mark Gregg</w:t>
      </w:r>
      <w:r w:rsidRPr="00F16D4E">
        <w:rPr>
          <w:b w:val="0"/>
        </w:rPr>
        <w:tab/>
      </w:r>
      <w:r w:rsidRPr="00F16D4E">
        <w:rPr>
          <w:b w:val="0"/>
        </w:rPr>
        <w:tab/>
        <w:t>Gregg</w:t>
      </w:r>
    </w:p>
    <w:p w:rsidR="00F16C60" w:rsidRPr="00F16D4E" w:rsidP="0090465F">
      <w:pPr>
        <w:pStyle w:val="Header"/>
        <w:rPr>
          <w:b w:val="0"/>
        </w:rPr>
      </w:pPr>
      <w:r w:rsidRPr="00F16D4E">
        <w:rPr>
          <w:b w:val="0"/>
        </w:rPr>
        <w:t>Joe Horner</w:t>
      </w:r>
      <w:r w:rsidRPr="00F16D4E">
        <w:rPr>
          <w:b w:val="0"/>
        </w:rPr>
        <w:tab/>
      </w:r>
      <w:r w:rsidRPr="00F16D4E">
        <w:rPr>
          <w:b w:val="0"/>
        </w:rPr>
        <w:tab/>
        <w:t>Horner</w:t>
      </w:r>
    </w:p>
    <w:p w:rsidR="00F16C60" w:rsidRPr="00F16D4E" w:rsidP="0090465F">
      <w:pPr>
        <w:pStyle w:val="Header"/>
        <w:rPr>
          <w:b w:val="0"/>
        </w:rPr>
      </w:pPr>
      <w:r w:rsidRPr="00F16D4E">
        <w:rPr>
          <w:b w:val="0"/>
        </w:rPr>
        <w:t xml:space="preserve">Kim </w:t>
      </w:r>
      <w:r w:rsidRPr="00F16D4E">
        <w:rPr>
          <w:b w:val="0"/>
        </w:rPr>
        <w:t>Jarreau</w:t>
      </w:r>
      <w:r w:rsidRPr="00F16D4E">
        <w:rPr>
          <w:b w:val="0"/>
        </w:rPr>
        <w:tab/>
      </w:r>
      <w:r w:rsidRPr="00F16D4E">
        <w:rPr>
          <w:b w:val="0"/>
        </w:rPr>
        <w:tab/>
      </w:r>
      <w:r w:rsidRPr="00F16D4E">
        <w:rPr>
          <w:b w:val="0"/>
        </w:rPr>
        <w:t>Jarreau</w:t>
      </w:r>
    </w:p>
    <w:p w:rsidR="00F16C60" w:rsidRPr="00F16D4E" w:rsidP="0090465F">
      <w:pPr>
        <w:pStyle w:val="Header"/>
        <w:rPr>
          <w:b w:val="0"/>
        </w:rPr>
      </w:pPr>
      <w:r w:rsidRPr="00F16D4E">
        <w:rPr>
          <w:b w:val="0"/>
        </w:rPr>
        <w:t>Jefferson Business Council</w:t>
      </w:r>
      <w:r w:rsidRPr="00F16D4E">
        <w:rPr>
          <w:b w:val="0"/>
        </w:rPr>
        <w:tab/>
      </w:r>
      <w:r w:rsidRPr="00F16D4E">
        <w:rPr>
          <w:b w:val="0"/>
        </w:rPr>
        <w:tab/>
        <w:t>Jefferson Business</w:t>
      </w:r>
    </w:p>
    <w:p w:rsidR="00F16C60" w:rsidRPr="00F16D4E" w:rsidP="0090465F">
      <w:pPr>
        <w:pStyle w:val="Header"/>
        <w:rPr>
          <w:b w:val="0"/>
        </w:rPr>
      </w:pPr>
      <w:r w:rsidRPr="00F16D4E">
        <w:rPr>
          <w:b w:val="0"/>
        </w:rPr>
        <w:t xml:space="preserve">Gary </w:t>
      </w:r>
      <w:r w:rsidRPr="00F16D4E">
        <w:rPr>
          <w:b w:val="0"/>
        </w:rPr>
        <w:t>Lafountain</w:t>
      </w:r>
      <w:r w:rsidRPr="00F16D4E">
        <w:rPr>
          <w:b w:val="0"/>
        </w:rPr>
        <w:tab/>
      </w:r>
      <w:r w:rsidRPr="00F16D4E">
        <w:rPr>
          <w:b w:val="0"/>
        </w:rPr>
        <w:tab/>
      </w:r>
      <w:r w:rsidRPr="00F16D4E">
        <w:rPr>
          <w:b w:val="0"/>
        </w:rPr>
        <w:t>Lafountain</w:t>
      </w:r>
    </w:p>
    <w:p w:rsidR="00F16C60" w:rsidRPr="00F16D4E" w:rsidP="0090465F">
      <w:pPr>
        <w:pStyle w:val="Header"/>
        <w:rPr>
          <w:b w:val="0"/>
        </w:rPr>
      </w:pPr>
      <w:r w:rsidRPr="00F16D4E">
        <w:rPr>
          <w:b w:val="0"/>
        </w:rPr>
        <w:t>Legal &amp; General America, Inc.</w:t>
      </w:r>
      <w:r w:rsidRPr="00F16D4E">
        <w:rPr>
          <w:b w:val="0"/>
        </w:rPr>
        <w:tab/>
      </w:r>
      <w:r w:rsidRPr="00F16D4E">
        <w:rPr>
          <w:b w:val="0"/>
        </w:rPr>
        <w:tab/>
        <w:t>Legal &amp; General America</w:t>
      </w:r>
    </w:p>
    <w:p w:rsidR="00F16C60" w:rsidRPr="00F16D4E" w:rsidP="0090465F">
      <w:pPr>
        <w:pStyle w:val="Header"/>
        <w:rPr>
          <w:b w:val="0"/>
        </w:rPr>
      </w:pPr>
      <w:r w:rsidRPr="00F16D4E">
        <w:rPr>
          <w:b w:val="0"/>
        </w:rPr>
        <w:t>David Lloyd</w:t>
      </w:r>
      <w:r w:rsidRPr="00F16D4E">
        <w:rPr>
          <w:b w:val="0"/>
        </w:rPr>
        <w:tab/>
      </w:r>
      <w:r w:rsidRPr="00F16D4E">
        <w:rPr>
          <w:b w:val="0"/>
        </w:rPr>
        <w:tab/>
        <w:t>Lloyd</w:t>
      </w:r>
    </w:p>
    <w:p w:rsidR="00F16C60" w:rsidRPr="00F16D4E" w:rsidP="0090465F">
      <w:pPr>
        <w:pStyle w:val="Header"/>
        <w:rPr>
          <w:b w:val="0"/>
        </w:rPr>
      </w:pPr>
      <w:r w:rsidRPr="00F16D4E">
        <w:rPr>
          <w:b w:val="0"/>
        </w:rPr>
        <w:t>Derek Mannion</w:t>
      </w:r>
      <w:r w:rsidRPr="00F16D4E">
        <w:rPr>
          <w:b w:val="0"/>
        </w:rPr>
        <w:tab/>
      </w:r>
      <w:r w:rsidRPr="00F16D4E">
        <w:rPr>
          <w:b w:val="0"/>
        </w:rPr>
        <w:tab/>
        <w:t>Mannion</w:t>
      </w:r>
    </w:p>
    <w:p w:rsidR="00F16C60" w:rsidRPr="00F16D4E" w:rsidP="0090465F">
      <w:pPr>
        <w:pStyle w:val="Header"/>
        <w:rPr>
          <w:b w:val="0"/>
        </w:rPr>
      </w:pPr>
      <w:r w:rsidRPr="00F16D4E">
        <w:rPr>
          <w:b w:val="0"/>
        </w:rPr>
        <w:t>Christopher Robert</w:t>
      </w:r>
      <w:r w:rsidRPr="00F16D4E">
        <w:rPr>
          <w:b w:val="0"/>
        </w:rPr>
        <w:tab/>
      </w:r>
      <w:r w:rsidRPr="00F16D4E">
        <w:rPr>
          <w:b w:val="0"/>
        </w:rPr>
        <w:tab/>
        <w:t>Robert</w:t>
      </w:r>
    </w:p>
    <w:p w:rsidR="00F16C60" w:rsidRPr="00F16D4E" w:rsidP="0090465F">
      <w:pPr>
        <w:pStyle w:val="Header"/>
        <w:rPr>
          <w:b w:val="0"/>
        </w:rPr>
      </w:pPr>
      <w:r w:rsidRPr="00F16D4E">
        <w:rPr>
          <w:b w:val="0"/>
        </w:rPr>
        <w:t>Lalo Robles</w:t>
      </w:r>
      <w:r w:rsidRPr="00F16D4E">
        <w:rPr>
          <w:b w:val="0"/>
        </w:rPr>
        <w:tab/>
      </w:r>
      <w:r w:rsidRPr="00F16D4E">
        <w:rPr>
          <w:b w:val="0"/>
        </w:rPr>
        <w:tab/>
        <w:t>Robles</w:t>
      </w:r>
    </w:p>
    <w:p w:rsidR="00F16C60" w:rsidRPr="00F16D4E" w:rsidP="0090465F">
      <w:pPr>
        <w:pStyle w:val="Header"/>
        <w:rPr>
          <w:b w:val="0"/>
        </w:rPr>
      </w:pPr>
      <w:r w:rsidRPr="00F16D4E">
        <w:rPr>
          <w:b w:val="0"/>
        </w:rPr>
        <w:t>John Shaw</w:t>
      </w:r>
      <w:r w:rsidRPr="00F16D4E">
        <w:rPr>
          <w:b w:val="0"/>
        </w:rPr>
        <w:tab/>
      </w:r>
      <w:r w:rsidRPr="00F16D4E">
        <w:rPr>
          <w:b w:val="0"/>
        </w:rPr>
        <w:tab/>
        <w:t>Shaw</w:t>
      </w:r>
    </w:p>
    <w:p w:rsidR="00333A2A" w:rsidRPr="00F16D4E" w:rsidP="0090465F">
      <w:pPr>
        <w:pStyle w:val="Header"/>
        <w:rPr>
          <w:b w:val="0"/>
        </w:rPr>
      </w:pPr>
      <w:r w:rsidRPr="00F16D4E">
        <w:rPr>
          <w:b w:val="0"/>
        </w:rPr>
        <w:t>Jason Stephens</w:t>
      </w:r>
      <w:r w:rsidRPr="00F16D4E">
        <w:rPr>
          <w:b w:val="0"/>
        </w:rPr>
        <w:tab/>
      </w:r>
      <w:r w:rsidRPr="00F16D4E">
        <w:rPr>
          <w:b w:val="0"/>
        </w:rPr>
        <w:tab/>
        <w:t>Stephens</w:t>
      </w:r>
    </w:p>
    <w:p w:rsidR="00333A2A" w:rsidRPr="00F16D4E" w:rsidP="0090465F">
      <w:pPr>
        <w:pStyle w:val="Header"/>
        <w:rPr>
          <w:b w:val="0"/>
        </w:rPr>
      </w:pPr>
      <w:r w:rsidRPr="00F16D4E">
        <w:rPr>
          <w:b w:val="0"/>
        </w:rPr>
        <w:t>J</w:t>
      </w:r>
      <w:r w:rsidRPr="00F16D4E" w:rsidR="00C238BD">
        <w:rPr>
          <w:b w:val="0"/>
        </w:rPr>
        <w:t>immy</w:t>
      </w:r>
      <w:r w:rsidRPr="00F16D4E">
        <w:rPr>
          <w:b w:val="0"/>
        </w:rPr>
        <w:t xml:space="preserve"> Sutton</w:t>
      </w:r>
      <w:r w:rsidRPr="00F16D4E">
        <w:rPr>
          <w:b w:val="0"/>
        </w:rPr>
        <w:tab/>
      </w:r>
      <w:r w:rsidRPr="00F16D4E">
        <w:rPr>
          <w:b w:val="0"/>
        </w:rPr>
        <w:tab/>
        <w:t>Sutton</w:t>
      </w:r>
    </w:p>
    <w:p w:rsidR="00333A2A" w:rsidRPr="00F16D4E" w:rsidP="0090465F">
      <w:pPr>
        <w:pStyle w:val="Header"/>
        <w:rPr>
          <w:b w:val="0"/>
        </w:rPr>
      </w:pPr>
      <w:r w:rsidRPr="00F16D4E">
        <w:rPr>
          <w:b w:val="0"/>
        </w:rPr>
        <w:t>Mark Valencia</w:t>
      </w:r>
      <w:r w:rsidRPr="00F16D4E">
        <w:rPr>
          <w:b w:val="0"/>
        </w:rPr>
        <w:tab/>
      </w:r>
      <w:r w:rsidRPr="00F16D4E">
        <w:rPr>
          <w:b w:val="0"/>
        </w:rPr>
        <w:tab/>
        <w:t>Valencia</w:t>
      </w:r>
    </w:p>
    <w:p w:rsidR="00E7456C" w:rsidRPr="00F16D4E" w:rsidP="0090465F">
      <w:pPr>
        <w:pStyle w:val="Header"/>
        <w:rPr>
          <w:b w:val="0"/>
        </w:rPr>
      </w:pPr>
      <w:r w:rsidRPr="00F16D4E">
        <w:rPr>
          <w:b w:val="0"/>
        </w:rPr>
        <w:t>Westfax</w:t>
      </w:r>
      <w:r w:rsidRPr="00F16D4E">
        <w:rPr>
          <w:b w:val="0"/>
        </w:rPr>
        <w:t>, Inc.</w:t>
      </w:r>
      <w:r w:rsidRPr="00F16D4E">
        <w:rPr>
          <w:b w:val="0"/>
        </w:rPr>
        <w:tab/>
      </w:r>
      <w:r w:rsidRPr="00F16D4E">
        <w:rPr>
          <w:b w:val="0"/>
        </w:rPr>
        <w:tab/>
      </w:r>
      <w:r w:rsidRPr="00F16D4E">
        <w:rPr>
          <w:b w:val="0"/>
        </w:rPr>
        <w:t>Westfax</w:t>
      </w:r>
    </w:p>
    <w:p w:rsidR="00253FFA" w:rsidRPr="00F16D4E" w:rsidP="0090465F">
      <w:pPr>
        <w:pStyle w:val="Header"/>
        <w:rPr>
          <w:b w:val="0"/>
        </w:rPr>
      </w:pPr>
    </w:p>
    <w:sectPr w:rsidSect="00F4471F">
      <w:headerReference w:type="default" r:id="rId5"/>
      <w:footerReference w:type="default" r:id="rId6"/>
      <w:headerReference w:type="first" r:id="rId7"/>
      <w:pgSz w:w="12240" w:h="158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0D8">
    <w:pPr>
      <w:pStyle w:val="Footer"/>
      <w:jc w:val="center"/>
    </w:pPr>
    <w:r>
      <w:rPr>
        <w:rStyle w:val="PageNumber"/>
      </w:rPr>
      <w:fldChar w:fldCharType="begin"/>
    </w:r>
    <w:r>
      <w:rPr>
        <w:rStyle w:val="PageNumber"/>
      </w:rPr>
      <w:instrText xml:space="preserve"> PAGE </w:instrText>
    </w:r>
    <w:r>
      <w:rPr>
        <w:rStyle w:val="PageNumber"/>
      </w:rPr>
      <w:fldChar w:fldCharType="separate"/>
    </w:r>
    <w:r w:rsidR="00E626D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2643">
      <w:pPr>
        <w:rPr>
          <w:sz w:val="20"/>
          <w:szCs w:val="20"/>
        </w:rPr>
      </w:pPr>
      <w:r>
        <w:rPr>
          <w:sz w:val="20"/>
          <w:szCs w:val="20"/>
        </w:rPr>
        <w:separator/>
      </w:r>
    </w:p>
  </w:footnote>
  <w:footnote w:type="continuationSeparator" w:id="1">
    <w:p w:rsidR="005C2643">
      <w:pPr>
        <w:rPr>
          <w:sz w:val="20"/>
          <w:szCs w:val="20"/>
        </w:rPr>
      </w:pPr>
      <w:r>
        <w:rPr>
          <w:sz w:val="20"/>
          <w:szCs w:val="20"/>
        </w:rPr>
        <w:separator/>
      </w:r>
    </w:p>
    <w:p w:rsidR="005C2643">
      <w:pPr>
        <w:rPr>
          <w:sz w:val="20"/>
          <w:szCs w:val="20"/>
        </w:rPr>
      </w:pPr>
      <w:r>
        <w:rPr>
          <w:sz w:val="20"/>
          <w:szCs w:val="20"/>
        </w:rPr>
        <w:t>(...continued from previous page)</w:t>
      </w:r>
    </w:p>
  </w:footnote>
  <w:footnote w:type="continuationNotice" w:id="2">
    <w:p w:rsidR="005C2643">
      <w:pPr>
        <w:jc w:val="right"/>
        <w:rPr>
          <w:sz w:val="20"/>
          <w:szCs w:val="20"/>
        </w:rPr>
      </w:pPr>
    </w:p>
  </w:footnote>
  <w:footnote w:id="3">
    <w:p w:rsidR="00004431">
      <w:pPr>
        <w:pStyle w:val="FootnoteText"/>
      </w:pPr>
      <w:r>
        <w:rPr>
          <w:rStyle w:val="FootnoteReference"/>
        </w:rPr>
        <w:footnoteRef/>
      </w:r>
      <w:r>
        <w:t xml:space="preserve"> </w:t>
      </w:r>
      <w:bookmarkStart w:id="1" w:name="_Hlk26172631"/>
      <w:r w:rsidRPr="00B56F66" w:rsidR="00F16C97">
        <w:t>47 U.S.C. § 227</w:t>
      </w:r>
      <w:bookmarkEnd w:id="1"/>
      <w:r w:rsidRPr="00B56F66" w:rsidR="00F16C97">
        <w:t>(b)(1)(C)</w:t>
      </w:r>
      <w:r w:rsidRPr="00B56F66">
        <w:t>.</w:t>
      </w:r>
    </w:p>
  </w:footnote>
  <w:footnote w:id="4">
    <w:p w:rsidR="00F16C97">
      <w:pPr>
        <w:pStyle w:val="FootnoteText"/>
      </w:pPr>
      <w:r>
        <w:rPr>
          <w:rStyle w:val="FootnoteReference"/>
        </w:rPr>
        <w:footnoteRef/>
      </w:r>
      <w:r>
        <w:t xml:space="preserve"> </w:t>
      </w:r>
      <w:r w:rsidRPr="00A94EF7">
        <w:rPr>
          <w:i/>
          <w:iCs/>
        </w:rPr>
        <w:t xml:space="preserve">Id. </w:t>
      </w:r>
      <w:r w:rsidRPr="00A94EF7">
        <w:t>§ 227(</w:t>
      </w:r>
      <w:r>
        <w:t>a</w:t>
      </w:r>
      <w:r w:rsidRPr="00A94EF7">
        <w:t>)(</w:t>
      </w:r>
      <w:r>
        <w:t>3)</w:t>
      </w:r>
      <w:r w:rsidRPr="00A94EF7">
        <w:t>.</w:t>
      </w:r>
    </w:p>
  </w:footnote>
  <w:footnote w:id="5">
    <w:p w:rsidR="00F16C97" w:rsidP="00F16C97">
      <w:pPr>
        <w:pStyle w:val="FootnoteText"/>
      </w:pPr>
      <w:r>
        <w:rPr>
          <w:rStyle w:val="FootnoteReference"/>
        </w:rPr>
        <w:footnoteRef/>
      </w:r>
      <w:r>
        <w:t xml:space="preserve"> </w:t>
      </w:r>
      <w:r w:rsidRPr="00B57733" w:rsidR="004B6C0B">
        <w:rPr>
          <w:i/>
        </w:rPr>
        <w:t>Rules and Regulations Implementing the Telephone Consumer Protection Act of 1991</w:t>
      </w:r>
      <w:r w:rsidRPr="00B57733" w:rsidR="004B6C0B">
        <w:t xml:space="preserve">, CG Docket 02-278, 18 FCC </w:t>
      </w:r>
      <w:r w:rsidRPr="00B57733" w:rsidR="004B6C0B">
        <w:t>Rcd</w:t>
      </w:r>
      <w:r w:rsidRPr="00B57733" w:rsidR="004B6C0B">
        <w:t xml:space="preserve"> 14014, 1413</w:t>
      </w:r>
      <w:r w:rsidR="004B6C0B">
        <w:t>3</w:t>
      </w:r>
      <w:r w:rsidRPr="00B57733" w:rsidR="004B6C0B">
        <w:t xml:space="preserve">, para. </w:t>
      </w:r>
      <w:r w:rsidR="004B6C0B">
        <w:t>200</w:t>
      </w:r>
      <w:r w:rsidRPr="00B57733" w:rsidR="004B6C0B">
        <w:t xml:space="preserve"> (2003) (</w:t>
      </w:r>
      <w:r w:rsidRPr="00B57733" w:rsidR="004B6C0B">
        <w:rPr>
          <w:i/>
        </w:rPr>
        <w:t>2003 TCPA Order</w:t>
      </w:r>
      <w:r w:rsidRPr="00B57733" w:rsidR="004B6C0B">
        <w:t>)</w:t>
      </w:r>
      <w:r w:rsidR="004B6C0B">
        <w:t>.</w:t>
      </w:r>
    </w:p>
  </w:footnote>
  <w:footnote w:id="6">
    <w:p w:rsidR="00BD33CF" w:rsidP="00BD33CF">
      <w:pPr>
        <w:pStyle w:val="FootnoteText"/>
      </w:pPr>
      <w:r>
        <w:rPr>
          <w:rStyle w:val="FootnoteReference"/>
        </w:rPr>
        <w:footnoteRef/>
      </w:r>
      <w:r>
        <w:t xml:space="preserve"> </w:t>
      </w:r>
      <w:r>
        <w:rPr>
          <w:i/>
        </w:rPr>
        <w:t xml:space="preserve">See Petition for Expedited Declaratory Ruling of </w:t>
      </w:r>
      <w:r>
        <w:rPr>
          <w:i/>
        </w:rPr>
        <w:t>Amerifactors</w:t>
      </w:r>
      <w:r>
        <w:rPr>
          <w:i/>
        </w:rPr>
        <w:t xml:space="preserve"> Financial Group, LLC</w:t>
      </w:r>
      <w:r>
        <w:t>, CG Docket Nos. 02-278, 05-338, at 2 (filed July 13, 2017) (</w:t>
      </w:r>
      <w:r>
        <w:rPr>
          <w:i/>
        </w:rPr>
        <w:t>Petition</w:t>
      </w:r>
      <w:r>
        <w:t xml:space="preserve">).  </w:t>
      </w:r>
    </w:p>
  </w:footnote>
  <w:footnote w:id="7">
    <w:p w:rsidR="004B6C0B" w:rsidP="004B6C0B">
      <w:pPr>
        <w:pStyle w:val="FootnoteText"/>
      </w:pPr>
      <w:r>
        <w:rPr>
          <w:rStyle w:val="FootnoteReference"/>
        </w:rPr>
        <w:footnoteRef/>
      </w:r>
      <w:r>
        <w:t xml:space="preserve"> </w:t>
      </w:r>
      <w:r>
        <w:rPr>
          <w:i/>
          <w:iCs/>
        </w:rPr>
        <w:t>Id.</w:t>
      </w:r>
      <w:r>
        <w:rPr>
          <w:iCs/>
        </w:rPr>
        <w:t xml:space="preserve"> at 2 n.4.  </w:t>
      </w:r>
    </w:p>
  </w:footnote>
  <w:footnote w:id="8">
    <w:p w:rsidR="004B6C0B" w:rsidRPr="004B6C0B">
      <w:pPr>
        <w:pStyle w:val="FootnoteText"/>
      </w:pPr>
      <w:r>
        <w:rPr>
          <w:rStyle w:val="FootnoteReference"/>
        </w:rPr>
        <w:footnoteRef/>
      </w:r>
      <w:r>
        <w:t xml:space="preserve"> </w:t>
      </w:r>
      <w:r>
        <w:rPr>
          <w:i/>
        </w:rPr>
        <w:t>Id.</w:t>
      </w:r>
      <w:r>
        <w:t xml:space="preserve"> at 1.</w:t>
      </w:r>
    </w:p>
  </w:footnote>
  <w:footnote w:id="9">
    <w:p w:rsidR="003719BC">
      <w:pPr>
        <w:pStyle w:val="FootnoteText"/>
      </w:pPr>
      <w:r>
        <w:rPr>
          <w:rStyle w:val="FootnoteReference"/>
        </w:rPr>
        <w:footnoteRef/>
      </w:r>
      <w:r>
        <w:t xml:space="preserve"> </w:t>
      </w:r>
      <w:bookmarkStart w:id="2" w:name="_Hlk26175005"/>
      <w:r w:rsidRPr="00B709D6" w:rsidR="00B709D6">
        <w:rPr>
          <w:iCs/>
        </w:rPr>
        <w:t>47 U.S.C. § 227</w:t>
      </w:r>
      <w:r>
        <w:t xml:space="preserve">(b)(1)(C). </w:t>
      </w:r>
      <w:bookmarkEnd w:id="2"/>
    </w:p>
  </w:footnote>
  <w:footnote w:id="10">
    <w:p w:rsidR="003719BC">
      <w:pPr>
        <w:pStyle w:val="FootnoteText"/>
      </w:pPr>
      <w:r>
        <w:rPr>
          <w:rStyle w:val="FootnoteReference"/>
        </w:rPr>
        <w:footnoteRef/>
      </w:r>
      <w:r>
        <w:t xml:space="preserve"> </w:t>
      </w:r>
      <w:r w:rsidRPr="00A94EF7">
        <w:rPr>
          <w:i/>
          <w:iCs/>
        </w:rPr>
        <w:t xml:space="preserve">Id. </w:t>
      </w:r>
      <w:r w:rsidRPr="00A94EF7">
        <w:t>§ 227(</w:t>
      </w:r>
      <w:r>
        <w:t>a</w:t>
      </w:r>
      <w:r w:rsidRPr="00A94EF7">
        <w:t>)(</w:t>
      </w:r>
      <w:r>
        <w:t>3)</w:t>
      </w:r>
      <w:r w:rsidRPr="00A94EF7">
        <w:t>.</w:t>
      </w:r>
    </w:p>
  </w:footnote>
  <w:footnote w:id="11">
    <w:p w:rsidR="00BD33CF" w:rsidP="00BD33CF">
      <w:pPr>
        <w:pStyle w:val="FootnoteText"/>
      </w:pPr>
      <w:r>
        <w:rPr>
          <w:rStyle w:val="FootnoteReference"/>
        </w:rPr>
        <w:footnoteRef/>
      </w:r>
      <w:r w:rsidR="00B709D6">
        <w:t xml:space="preserve"> </w:t>
      </w:r>
      <w:r w:rsidRPr="00B709D6" w:rsidR="00B709D6">
        <w:rPr>
          <w:i/>
        </w:rPr>
        <w:t>2003 TCPA Order</w:t>
      </w:r>
      <w:r w:rsidRPr="00B709D6" w:rsidR="00B709D6">
        <w:t xml:space="preserve">, 18 FCC </w:t>
      </w:r>
      <w:r w:rsidRPr="00B709D6" w:rsidR="00B709D6">
        <w:t>Rcd</w:t>
      </w:r>
      <w:r w:rsidRPr="00B709D6" w:rsidR="00B709D6">
        <w:t xml:space="preserve"> at 14133, para. 200.  </w:t>
      </w:r>
    </w:p>
  </w:footnote>
  <w:footnote w:id="12">
    <w:p w:rsidR="00BD33CF" w:rsidP="00BD33CF">
      <w:pPr>
        <w:pStyle w:val="FootnoteText"/>
      </w:pPr>
      <w:r>
        <w:rPr>
          <w:rStyle w:val="FootnoteReference"/>
        </w:rPr>
        <w:footnoteRef/>
      </w:r>
      <w:r>
        <w:t xml:space="preserve"> </w:t>
      </w:r>
      <w:bookmarkStart w:id="3" w:name="_Hlk26172715"/>
      <w:r w:rsidR="00B709D6">
        <w:rPr>
          <w:i/>
        </w:rPr>
        <w:t>Id</w:t>
      </w:r>
      <w:r>
        <w:t>.</w:t>
      </w:r>
      <w:r w:rsidRPr="00025CB9">
        <w:t xml:space="preserve">  </w:t>
      </w:r>
      <w:bookmarkEnd w:id="3"/>
    </w:p>
  </w:footnote>
  <w:footnote w:id="13">
    <w:p w:rsidR="00BD33CF" w:rsidP="00BD33CF">
      <w:pPr>
        <w:pStyle w:val="FootnoteText"/>
      </w:pPr>
      <w:r>
        <w:rPr>
          <w:rStyle w:val="FootnoteReference"/>
        </w:rPr>
        <w:footnoteRef/>
      </w:r>
      <w:r>
        <w:t xml:space="preserve"> </w:t>
      </w:r>
      <w:r w:rsidRPr="00880FA0">
        <w:rPr>
          <w:i/>
        </w:rPr>
        <w:t>See</w:t>
      </w:r>
      <w:r>
        <w:t xml:space="preserve"> </w:t>
      </w:r>
      <w:r w:rsidRPr="001F198F">
        <w:rPr>
          <w:i/>
        </w:rPr>
        <w:t>Westfax</w:t>
      </w:r>
      <w:r w:rsidRPr="001F198F">
        <w:rPr>
          <w:i/>
        </w:rPr>
        <w:t xml:space="preserve">, Inc., </w:t>
      </w:r>
      <w:r w:rsidRPr="00BB12F5">
        <w:t xml:space="preserve">CG Docket Nos. 02-278 and 05-338, Declaratory Ruling, 30 FCC </w:t>
      </w:r>
      <w:r w:rsidRPr="00BB12F5">
        <w:t>Rcd</w:t>
      </w:r>
      <w:r w:rsidRPr="00BB12F5">
        <w:t xml:space="preserve"> 8620</w:t>
      </w:r>
      <w:r>
        <w:t>, 8623, para. 9</w:t>
      </w:r>
      <w:r w:rsidRPr="00BB12F5">
        <w:t xml:space="preserve"> (CGB 2015)</w:t>
      </w:r>
      <w:r w:rsidRPr="001F198F">
        <w:rPr>
          <w:i/>
        </w:rPr>
        <w:t xml:space="preserve"> </w:t>
      </w:r>
      <w:r w:rsidRPr="00D425AF">
        <w:rPr>
          <w:iCs/>
        </w:rPr>
        <w:t>(</w:t>
      </w:r>
      <w:r>
        <w:rPr>
          <w:i/>
        </w:rPr>
        <w:t xml:space="preserve">CGB </w:t>
      </w:r>
      <w:r w:rsidRPr="001F198F">
        <w:rPr>
          <w:i/>
        </w:rPr>
        <w:t>Westfax</w:t>
      </w:r>
      <w:r w:rsidRPr="001F198F">
        <w:rPr>
          <w:i/>
        </w:rPr>
        <w:t xml:space="preserve"> Declaratory Ruling</w:t>
      </w:r>
      <w:r w:rsidRPr="00D425AF">
        <w:rPr>
          <w:iCs/>
        </w:rPr>
        <w:t>)</w:t>
      </w:r>
      <w:r>
        <w:t>.</w:t>
      </w:r>
    </w:p>
  </w:footnote>
  <w:footnote w:id="14">
    <w:p w:rsidR="003719BC">
      <w:pPr>
        <w:pStyle w:val="FootnoteText"/>
      </w:pPr>
      <w:r>
        <w:rPr>
          <w:rStyle w:val="FootnoteReference"/>
        </w:rPr>
        <w:footnoteRef/>
      </w:r>
      <w:r>
        <w:t xml:space="preserve"> </w:t>
      </w:r>
      <w:r>
        <w:rPr>
          <w:i/>
        </w:rPr>
        <w:t>Petition</w:t>
      </w:r>
      <w:r>
        <w:t xml:space="preserve"> at 2</w:t>
      </w:r>
      <w:r w:rsidR="00BD33CF">
        <w:t>.</w:t>
      </w:r>
    </w:p>
  </w:footnote>
  <w:footnote w:id="15">
    <w:p w:rsidR="003719BC">
      <w:pPr>
        <w:pStyle w:val="FootnoteText"/>
      </w:pPr>
      <w:bookmarkStart w:id="4" w:name="_Hlk21615455"/>
      <w:bookmarkEnd w:id="4"/>
      <w:r>
        <w:rPr>
          <w:rStyle w:val="FootnoteReference"/>
        </w:rPr>
        <w:footnoteRef/>
      </w:r>
      <w:r>
        <w:t xml:space="preserve"> </w:t>
      </w:r>
      <w:r w:rsidR="008A5509">
        <w:rPr>
          <w:i/>
        </w:rPr>
        <w:t>Id.</w:t>
      </w:r>
      <w:r>
        <w:rPr>
          <w:i/>
        </w:rPr>
        <w:t xml:space="preserve"> </w:t>
      </w:r>
      <w:r w:rsidRPr="001870AD">
        <w:t>at 10-19.</w:t>
      </w:r>
    </w:p>
  </w:footnote>
  <w:footnote w:id="16">
    <w:p w:rsidR="003719BC">
      <w:pPr>
        <w:pStyle w:val="FootnoteText"/>
      </w:pPr>
      <w:r>
        <w:rPr>
          <w:rStyle w:val="FootnoteReference"/>
        </w:rPr>
        <w:footnoteRef/>
      </w:r>
      <w:r>
        <w:t xml:space="preserve"> </w:t>
      </w:r>
      <w:r>
        <w:rPr>
          <w:i/>
          <w:iCs/>
        </w:rPr>
        <w:t>See</w:t>
      </w:r>
      <w:r>
        <w:t xml:space="preserve"> </w:t>
      </w:r>
      <w:r w:rsidRPr="00C91C78">
        <w:rPr>
          <w:i/>
          <w:iCs/>
        </w:rPr>
        <w:t xml:space="preserve">Consumer and Governmental Affairs Bureau Seeks Comment on </w:t>
      </w:r>
      <w:r>
        <w:rPr>
          <w:i/>
          <w:iCs/>
        </w:rPr>
        <w:t>Amerifactors</w:t>
      </w:r>
      <w:r>
        <w:rPr>
          <w:i/>
          <w:iCs/>
        </w:rPr>
        <w:t xml:space="preserve"> Financial Group, LLC Petition for Expedited Declaratory Ruling Under the Telephone Consumer Protection Act of 1991</w:t>
      </w:r>
      <w:r>
        <w:t xml:space="preserve">, CG Docket Nos. 02-278, 05-338, Public Notice, </w:t>
      </w:r>
      <w:r>
        <w:rPr>
          <w:rStyle w:val="documentbody"/>
        </w:rPr>
        <w:t xml:space="preserve">32 FCC </w:t>
      </w:r>
      <w:r>
        <w:rPr>
          <w:rStyle w:val="documentbody"/>
        </w:rPr>
        <w:t>Rcd</w:t>
      </w:r>
      <w:r>
        <w:rPr>
          <w:rStyle w:val="documentbody"/>
        </w:rPr>
        <w:t xml:space="preserve"> 5667</w:t>
      </w:r>
      <w:r>
        <w:t xml:space="preserve"> (2017</w:t>
      </w:r>
      <w:r w:rsidRPr="007A469E">
        <w:t>).</w:t>
      </w:r>
      <w:r>
        <w:t xml:space="preserve">  </w:t>
      </w:r>
    </w:p>
  </w:footnote>
  <w:footnote w:id="17">
    <w:p w:rsidR="003719BC">
      <w:pPr>
        <w:pStyle w:val="FootnoteText"/>
      </w:pPr>
      <w:r>
        <w:rPr>
          <w:rStyle w:val="FootnoteReference"/>
        </w:rPr>
        <w:footnoteRef/>
      </w:r>
      <w:r>
        <w:t xml:space="preserve"> </w:t>
      </w:r>
      <w:r>
        <w:rPr>
          <w:i/>
        </w:rPr>
        <w:t>See, e.g.</w:t>
      </w:r>
      <w:r>
        <w:t>, Amsterdam P&amp;L Comments at 3; Legal &amp; General America Comments at 2-3.</w:t>
      </w:r>
    </w:p>
  </w:footnote>
  <w:footnote w:id="18">
    <w:p w:rsidR="003719BC">
      <w:pPr>
        <w:pStyle w:val="FootnoteText"/>
      </w:pPr>
      <w:r>
        <w:rPr>
          <w:rStyle w:val="FootnoteReference"/>
        </w:rPr>
        <w:footnoteRef/>
      </w:r>
      <w:r>
        <w:t xml:space="preserve"> </w:t>
      </w:r>
      <w:r w:rsidRPr="00342502">
        <w:rPr>
          <w:i/>
          <w:iCs/>
        </w:rPr>
        <w:t>Se</w:t>
      </w:r>
      <w:r>
        <w:rPr>
          <w:i/>
          <w:iCs/>
        </w:rPr>
        <w:t xml:space="preserve">e </w:t>
      </w:r>
      <w:r>
        <w:t xml:space="preserve">Barry Comments; Biggerstaff Comments; Career Counseling Comments; Shaw Comments; Sutton Comments; </w:t>
      </w:r>
      <w:r>
        <w:rPr>
          <w:i/>
        </w:rPr>
        <w:t>s</w:t>
      </w:r>
      <w:r w:rsidRPr="00F8091A">
        <w:rPr>
          <w:i/>
        </w:rPr>
        <w:t xml:space="preserve">ee also Career Counseling, Inc. v. </w:t>
      </w:r>
      <w:r w:rsidRPr="00F8091A">
        <w:rPr>
          <w:i/>
        </w:rPr>
        <w:t>Amerifactors</w:t>
      </w:r>
      <w:r w:rsidRPr="00F8091A">
        <w:rPr>
          <w:i/>
        </w:rPr>
        <w:t xml:space="preserve"> Fin. Group, LLC</w:t>
      </w:r>
      <w:r>
        <w:t>, No. 16-cv-0313-JMC (D.S.C.) (stayed pending a Commission</w:t>
      </w:r>
      <w:r w:rsidR="002D36F2">
        <w:t xml:space="preserve"> decision</w:t>
      </w:r>
      <w:r>
        <w:t xml:space="preserve">). </w:t>
      </w:r>
    </w:p>
  </w:footnote>
  <w:footnote w:id="19">
    <w:p w:rsidR="003719BC">
      <w:pPr>
        <w:pStyle w:val="FootnoteText"/>
      </w:pPr>
      <w:r>
        <w:rPr>
          <w:rStyle w:val="FootnoteReference"/>
        </w:rPr>
        <w:footnoteRef/>
      </w:r>
      <w:r>
        <w:t xml:space="preserve"> </w:t>
      </w:r>
      <w:r>
        <w:rPr>
          <w:i/>
        </w:rPr>
        <w:t xml:space="preserve">See, e.g., </w:t>
      </w:r>
      <w:r>
        <w:t>Career Counseling Comments at 1-6; Barry Comments at 1-2.</w:t>
      </w:r>
    </w:p>
  </w:footnote>
  <w:footnote w:id="20">
    <w:p w:rsidR="003719BC">
      <w:pPr>
        <w:pStyle w:val="FootnoteText"/>
      </w:pPr>
      <w:r>
        <w:rPr>
          <w:rStyle w:val="FootnoteReference"/>
        </w:rPr>
        <w:footnoteRef/>
      </w:r>
      <w:r>
        <w:t xml:space="preserve"> </w:t>
      </w:r>
      <w:r>
        <w:rPr>
          <w:i/>
        </w:rPr>
        <w:t>See</w:t>
      </w:r>
      <w:r>
        <w:t xml:space="preserve"> Career Counseling Comments at 8.  </w:t>
      </w:r>
    </w:p>
  </w:footnote>
  <w:footnote w:id="21">
    <w:p w:rsidR="003719BC">
      <w:pPr>
        <w:pStyle w:val="FootnoteText"/>
      </w:pPr>
      <w:r>
        <w:rPr>
          <w:rStyle w:val="FootnoteReference"/>
        </w:rPr>
        <w:footnoteRef/>
      </w:r>
      <w:r>
        <w:t xml:space="preserve"> </w:t>
      </w:r>
      <w:r>
        <w:rPr>
          <w:i/>
        </w:rPr>
        <w:t xml:space="preserve">See </w:t>
      </w:r>
      <w:r>
        <w:t xml:space="preserve">47 CFR </w:t>
      </w:r>
      <w:r w:rsidRPr="002E59C5">
        <w:t>§</w:t>
      </w:r>
      <w:r>
        <w:t xml:space="preserve"> 1.2.</w:t>
      </w:r>
    </w:p>
  </w:footnote>
  <w:footnote w:id="22">
    <w:p w:rsidR="003719BC">
      <w:pPr>
        <w:pStyle w:val="FootnoteText"/>
      </w:pPr>
      <w:r>
        <w:rPr>
          <w:rStyle w:val="FootnoteReference"/>
        </w:rPr>
        <w:footnoteRef/>
      </w:r>
      <w:r>
        <w:t xml:space="preserve"> Career Counseling Comments at 8,</w:t>
      </w:r>
      <w:r w:rsidRPr="00E32289">
        <w:rPr>
          <w:i/>
        </w:rPr>
        <w:t xml:space="preserve"> </w:t>
      </w:r>
      <w:r>
        <w:t>Exh</w:t>
      </w:r>
      <w:r>
        <w:t>. A (</w:t>
      </w:r>
      <w:r w:rsidRPr="00E32289">
        <w:t xml:space="preserve">citing </w:t>
      </w:r>
      <w:r w:rsidRPr="00E32289">
        <w:t>Amerifactors</w:t>
      </w:r>
      <w:r w:rsidRPr="00E32289">
        <w:t xml:space="preserve"> Mem. Supp. Mot. Stay at 2</w:t>
      </w:r>
      <w:r>
        <w:t>-3).</w:t>
      </w:r>
    </w:p>
  </w:footnote>
  <w:footnote w:id="23">
    <w:p w:rsidR="003719BC">
      <w:pPr>
        <w:pStyle w:val="FootnoteText"/>
      </w:pPr>
      <w:r>
        <w:rPr>
          <w:rStyle w:val="FootnoteReference"/>
        </w:rPr>
        <w:footnoteRef/>
      </w:r>
      <w:r>
        <w:t xml:space="preserve"> </w:t>
      </w:r>
      <w:r>
        <w:rPr>
          <w:i/>
        </w:rPr>
        <w:t>See, e.g.,</w:t>
      </w:r>
      <w:r>
        <w:t xml:space="preserve"> ABA Comments at 2; Amsterdam P&amp;L Comments at 1-2; Jefferson Business</w:t>
      </w:r>
      <w:r w:rsidR="00DF7003">
        <w:t xml:space="preserve"> Comments</w:t>
      </w:r>
      <w:r>
        <w:t xml:space="preserve"> at 1; Legal &amp; General Comments at 4.</w:t>
      </w:r>
    </w:p>
  </w:footnote>
  <w:footnote w:id="24">
    <w:p w:rsidR="00527E13" w:rsidP="00527E13">
      <w:pPr>
        <w:pStyle w:val="FootnoteText"/>
      </w:pPr>
      <w:r>
        <w:rPr>
          <w:rStyle w:val="FootnoteReference"/>
        </w:rPr>
        <w:footnoteRef/>
      </w:r>
      <w:r>
        <w:t xml:space="preserve"> </w:t>
      </w:r>
      <w:r w:rsidRPr="00E20AAF" w:rsidR="00E20AAF">
        <w:rPr>
          <w:iCs/>
        </w:rPr>
        <w:t>47 U.S.C. § 227</w:t>
      </w:r>
      <w:r w:rsidRPr="00E20AAF" w:rsidR="00E20AAF">
        <w:t>(b)(1)(C)</w:t>
      </w:r>
      <w:r>
        <w:t xml:space="preserve">; </w:t>
      </w:r>
      <w:r>
        <w:rPr>
          <w:i/>
        </w:rPr>
        <w:t>s</w:t>
      </w:r>
      <w:r w:rsidRPr="00922D5D">
        <w:rPr>
          <w:i/>
        </w:rPr>
        <w:t>ee</w:t>
      </w:r>
      <w:r>
        <w:rPr>
          <w:i/>
        </w:rPr>
        <w:t xml:space="preserve"> also</w:t>
      </w:r>
      <w:r w:rsidRPr="00922D5D">
        <w:t xml:space="preserve"> </w:t>
      </w:r>
      <w:r w:rsidRPr="00922D5D">
        <w:rPr>
          <w:i/>
        </w:rPr>
        <w:t>Petition</w:t>
      </w:r>
      <w:r w:rsidRPr="00922D5D">
        <w:t xml:space="preserve"> at 11-12 (citing various cases holding that “where Congress includes particular language in one section of the statute but omits it in another section of the same Act, it is generally presumed that Congress acts intentionally and purposely in the disparate inclusion or exclusion”); Amsterdam P&amp;L Comments at 3; Brinker Comments at 2; Legal &amp; General America Comments at 2-3.</w:t>
      </w:r>
      <w:r>
        <w:t xml:space="preserve">  Our decision is limited to online fax services, as described in the current record.  We therefore do not address the possibility that personal computer</w:t>
      </w:r>
      <w:r w:rsidR="00DF7003">
        <w:t>s</w:t>
      </w:r>
      <w:r>
        <w:t xml:space="preserve"> or other device</w:t>
      </w:r>
      <w:r w:rsidR="00DF7003">
        <w:t>s</w:t>
      </w:r>
      <w:r>
        <w:t xml:space="preserve"> might be subject to the TCPA’s protections if they essentially function as “telephone facsimile machines,” including causing the consumer harms we discuss here.  </w:t>
      </w:r>
    </w:p>
  </w:footnote>
  <w:footnote w:id="25">
    <w:p w:rsidR="003719BC">
      <w:pPr>
        <w:pStyle w:val="FootnoteText"/>
      </w:pPr>
      <w:r>
        <w:rPr>
          <w:rStyle w:val="FootnoteReference"/>
        </w:rPr>
        <w:footnoteRef/>
      </w:r>
      <w:r>
        <w:t xml:space="preserve"> 47 U.S.C. </w:t>
      </w:r>
      <w:r w:rsidRPr="000C43C1">
        <w:t>§ 227(b)(1)(C).</w:t>
      </w:r>
    </w:p>
  </w:footnote>
  <w:footnote w:id="26">
    <w:p w:rsidR="00FC1282" w:rsidP="00FC1282">
      <w:pPr>
        <w:pStyle w:val="FootnoteText"/>
      </w:pPr>
      <w:r>
        <w:rPr>
          <w:rStyle w:val="FootnoteReference"/>
        </w:rPr>
        <w:footnoteRef/>
      </w:r>
      <w:r>
        <w:t xml:space="preserve"> </w:t>
      </w:r>
      <w:r>
        <w:rPr>
          <w:i/>
        </w:rPr>
        <w:t>See 2003 TCPA Order</w:t>
      </w:r>
      <w:r>
        <w:t xml:space="preserve">, 14 FCC </w:t>
      </w:r>
      <w:r>
        <w:t>Rcd</w:t>
      </w:r>
      <w:r>
        <w:t xml:space="preserve"> at 14133, para. 200.</w:t>
      </w:r>
    </w:p>
  </w:footnote>
  <w:footnote w:id="27">
    <w:p w:rsidR="00FC1282" w:rsidRPr="00255B4F" w:rsidP="00FC1282">
      <w:pPr>
        <w:pStyle w:val="FootnoteText"/>
      </w:pPr>
      <w:r>
        <w:rPr>
          <w:rStyle w:val="FootnoteReference"/>
        </w:rPr>
        <w:footnoteRef/>
      </w:r>
      <w:r>
        <w:t xml:space="preserve"> </w:t>
      </w:r>
      <w:r>
        <w:rPr>
          <w:i/>
        </w:rPr>
        <w:t>Id</w:t>
      </w:r>
      <w:r>
        <w:t>.</w:t>
      </w:r>
    </w:p>
  </w:footnote>
  <w:footnote w:id="28">
    <w:p w:rsidR="003719BC" w:rsidP="0042142B">
      <w:pPr>
        <w:pStyle w:val="FootnoteText"/>
      </w:pPr>
      <w:r>
        <w:rPr>
          <w:rStyle w:val="FootnoteReference"/>
        </w:rPr>
        <w:footnoteRef/>
      </w:r>
      <w:r>
        <w:t xml:space="preserve"> </w:t>
      </w:r>
      <w:r>
        <w:rPr>
          <w:i/>
        </w:rPr>
        <w:t xml:space="preserve">See Petition </w:t>
      </w:r>
      <w:r>
        <w:t>at 16-19; ABA Comments at 1-2; Amsterdam P&amp;L Comments at 4; Legal &amp; General America Comments at 4-5.</w:t>
      </w:r>
    </w:p>
  </w:footnote>
  <w:footnote w:id="29">
    <w:p w:rsidR="003719BC" w:rsidP="0042142B">
      <w:pPr>
        <w:pStyle w:val="FootnoteText"/>
      </w:pPr>
      <w:r>
        <w:rPr>
          <w:rStyle w:val="FootnoteReference"/>
        </w:rPr>
        <w:footnoteRef/>
      </w:r>
      <w:r>
        <w:t xml:space="preserve"> </w:t>
      </w:r>
      <w:r w:rsidRPr="00785220">
        <w:t>H.R. Rep. No. 317, 102d Cong., 1</w:t>
      </w:r>
      <w:r w:rsidRPr="00785220">
        <w:rPr>
          <w:vertAlign w:val="superscript"/>
        </w:rPr>
        <w:t>st</w:t>
      </w:r>
      <w:r w:rsidRPr="00785220">
        <w:t xml:space="preserve"> Sess. 11 (1991).</w:t>
      </w:r>
    </w:p>
  </w:footnote>
  <w:footnote w:id="30">
    <w:p w:rsidR="003719BC">
      <w:pPr>
        <w:pStyle w:val="FootnoteText"/>
      </w:pPr>
      <w:r w:rsidRPr="00F16D4E">
        <w:rPr>
          <w:rStyle w:val="FootnoteReference"/>
        </w:rPr>
        <w:footnoteRef/>
      </w:r>
      <w:r w:rsidRPr="00F16D4E">
        <w:t xml:space="preserve"> </w:t>
      </w:r>
      <w:r w:rsidR="000A04BA">
        <w:rPr>
          <w:i/>
        </w:rPr>
        <w:t xml:space="preserve">See </w:t>
      </w:r>
      <w:r w:rsidR="000A04BA">
        <w:t xml:space="preserve">Letter from Steven A. </w:t>
      </w:r>
      <w:r w:rsidR="000A04BA">
        <w:t>Augustino</w:t>
      </w:r>
      <w:r w:rsidR="000A04BA">
        <w:t xml:space="preserve">, Counsel for </w:t>
      </w:r>
      <w:r w:rsidR="000A04BA">
        <w:t>Amerifactors</w:t>
      </w:r>
      <w:r w:rsidR="000A04BA">
        <w:t xml:space="preserve"> to Marlene H. Dortch, FCC</w:t>
      </w:r>
      <w:r w:rsidR="00F16D4E">
        <w:t>, CG Docket No. 02-278</w:t>
      </w:r>
      <w:r w:rsidR="000A04BA">
        <w:t xml:space="preserve"> </w:t>
      </w:r>
      <w:r w:rsidR="00F16D4E">
        <w:t>(</w:t>
      </w:r>
      <w:r w:rsidR="000A04BA">
        <w:t>dated Sept. 6, 2019</w:t>
      </w:r>
      <w:r w:rsidR="00F16D4E">
        <w:t>)</w:t>
      </w:r>
      <w:r w:rsidR="000A04BA">
        <w:t xml:space="preserve">; </w:t>
      </w:r>
      <w:r w:rsidR="000A04BA">
        <w:t>Amerifactors</w:t>
      </w:r>
      <w:r w:rsidR="000A04BA">
        <w:t xml:space="preserve"> Reply Comments at 13-14; </w:t>
      </w:r>
      <w:r w:rsidR="000A04BA">
        <w:rPr>
          <w:i/>
        </w:rPr>
        <w:t>Petition</w:t>
      </w:r>
      <w:r w:rsidR="000A04BA">
        <w:t xml:space="preserve"> at </w:t>
      </w:r>
      <w:r w:rsidR="000A04BA">
        <w:t>Exh</w:t>
      </w:r>
      <w:r w:rsidR="000A04BA">
        <w:t xml:space="preserve">. 2 (noting </w:t>
      </w:r>
      <w:r w:rsidR="00114AEE">
        <w:t xml:space="preserve">those </w:t>
      </w:r>
      <w:r w:rsidR="000A04BA">
        <w:t xml:space="preserve">online fax services that provide a blocking option).  </w:t>
      </w:r>
      <w:r w:rsidR="003E6B8B">
        <w:t xml:space="preserve">Even where online fax services charge consumers for individual faxes, providers offer functionalities that enable consumers to manage unwanted messages, including the ability to block senders or options to purchase “receipt only” packages in which no additional cost is incurred for receipt of transmissions.  </w:t>
      </w:r>
      <w:r w:rsidR="003E6B8B">
        <w:rPr>
          <w:i/>
        </w:rPr>
        <w:t>See, e.g.</w:t>
      </w:r>
      <w:r w:rsidR="003E6B8B">
        <w:t xml:space="preserve">, </w:t>
      </w:r>
      <w:r w:rsidR="003E6B8B">
        <w:t>Amerifactors</w:t>
      </w:r>
      <w:r w:rsidR="003E6B8B">
        <w:t xml:space="preserve"> Reply Comments at 13-14 (discussing various online fax service plans).</w:t>
      </w:r>
    </w:p>
  </w:footnote>
  <w:footnote w:id="31">
    <w:p w:rsidR="00FC1282" w:rsidP="00FC1282">
      <w:pPr>
        <w:pStyle w:val="FootnoteText"/>
      </w:pPr>
      <w:r>
        <w:rPr>
          <w:rStyle w:val="FootnoteReference"/>
        </w:rPr>
        <w:footnoteRef/>
      </w:r>
      <w:r>
        <w:t xml:space="preserve"> </w:t>
      </w:r>
      <w:r w:rsidRPr="00EA07E4">
        <w:t>H.R. Rep. No. 317, 102d Cong., 1</w:t>
      </w:r>
      <w:r w:rsidRPr="00EA07E4">
        <w:rPr>
          <w:vertAlign w:val="superscript"/>
        </w:rPr>
        <w:t>st</w:t>
      </w:r>
      <w:r w:rsidRPr="00EA07E4">
        <w:t xml:space="preserve"> Sess. 11 (1991)</w:t>
      </w:r>
      <w:r>
        <w:t xml:space="preserve"> (emphasis added).</w:t>
      </w:r>
    </w:p>
  </w:footnote>
  <w:footnote w:id="32">
    <w:p w:rsidR="00FC1282" w:rsidP="00FC1282">
      <w:pPr>
        <w:pStyle w:val="FootnoteText"/>
      </w:pPr>
      <w:r>
        <w:rPr>
          <w:rStyle w:val="FootnoteReference"/>
        </w:rPr>
        <w:footnoteRef/>
      </w:r>
      <w:r>
        <w:t xml:space="preserve"> </w:t>
      </w:r>
      <w:r w:rsidRPr="00067FB5">
        <w:rPr>
          <w:i/>
        </w:rPr>
        <w:t>See, e.g.</w:t>
      </w:r>
      <w:r w:rsidRPr="00067FB5">
        <w:t xml:space="preserve">, </w:t>
      </w:r>
      <w:r w:rsidRPr="00067FB5">
        <w:rPr>
          <w:i/>
        </w:rPr>
        <w:t xml:space="preserve">Petition </w:t>
      </w:r>
      <w:r w:rsidRPr="00067FB5">
        <w:t>at 13; ABA Comments at 1-2; Legal &amp; General America Comments at 4-5.</w:t>
      </w:r>
    </w:p>
  </w:footnote>
  <w:footnote w:id="33">
    <w:p w:rsidR="00FC1282" w:rsidP="00FC1282">
      <w:pPr>
        <w:pStyle w:val="FootnoteText"/>
      </w:pPr>
      <w:r>
        <w:rPr>
          <w:rStyle w:val="FootnoteReference"/>
        </w:rPr>
        <w:footnoteRef/>
      </w:r>
      <w:r>
        <w:t xml:space="preserve"> </w:t>
      </w:r>
      <w:r>
        <w:rPr>
          <w:i/>
        </w:rPr>
        <w:t>Petition</w:t>
      </w:r>
      <w:r>
        <w:t xml:space="preserve"> at 18 (noting that because a fax reaches the user of an online fax service via email there is typically no occupation of the user’s facilities).</w:t>
      </w:r>
    </w:p>
  </w:footnote>
  <w:footnote w:id="34">
    <w:p w:rsidR="00FC1282">
      <w:pPr>
        <w:pStyle w:val="FootnoteText"/>
      </w:pPr>
      <w:r>
        <w:rPr>
          <w:rStyle w:val="FootnoteReference"/>
        </w:rPr>
        <w:footnoteRef/>
      </w:r>
      <w:r>
        <w:t xml:space="preserve"> For these reasons, we disagree with those commenters who suggest that granting </w:t>
      </w:r>
      <w:r>
        <w:t>Amerifactors</w:t>
      </w:r>
      <w:r>
        <w:t xml:space="preserve">’ request will result in consumer harms that Congress intended to protect under the TCPA.  </w:t>
      </w:r>
      <w:r>
        <w:rPr>
          <w:i/>
        </w:rPr>
        <w:t>See, e.g.</w:t>
      </w:r>
      <w:r>
        <w:t>, Biggerstaff Reply Comments at 9; Sutton Comments at 1.</w:t>
      </w:r>
    </w:p>
  </w:footnote>
  <w:footnote w:id="35">
    <w:p w:rsidR="00DC0652">
      <w:pPr>
        <w:pStyle w:val="FootnoteText"/>
      </w:pPr>
      <w:r>
        <w:rPr>
          <w:rStyle w:val="FootnoteReference"/>
        </w:rPr>
        <w:footnoteRef/>
      </w:r>
      <w:r>
        <w:t xml:space="preserve"> We agree with </w:t>
      </w:r>
      <w:r>
        <w:t>Amerifactors</w:t>
      </w:r>
      <w:r>
        <w:t xml:space="preserve"> that interpreting the TCPA to mean that every “computer” or “other device” is a telephone facsimile machine, merely because it could be connected to a printer, directly or indirectly, would be overly broad and result in the kind of impermissibly expansive application of the TCPA that the D.C. Circuit recently rejected.  </w:t>
      </w:r>
      <w:r w:rsidRPr="00EE5C10">
        <w:rPr>
          <w:i/>
        </w:rPr>
        <w:t xml:space="preserve">See </w:t>
      </w:r>
      <w:r w:rsidRPr="00EE5C10">
        <w:t xml:space="preserve">Letter from Steven A. </w:t>
      </w:r>
      <w:r w:rsidRPr="00EE5C10">
        <w:t>Augustino</w:t>
      </w:r>
      <w:r w:rsidRPr="00EE5C10">
        <w:t xml:space="preserve">, Counsel for </w:t>
      </w:r>
      <w:r w:rsidRPr="00EE5C10">
        <w:t>Amerifactors</w:t>
      </w:r>
      <w:r w:rsidRPr="00EE5C10">
        <w:t xml:space="preserve"> to Marlene H. Dortch, FCC, CG Docket No. 02-278 (dated Feb. 22, 2019).</w:t>
      </w:r>
    </w:p>
  </w:footnote>
  <w:footnote w:id="36">
    <w:p w:rsidR="00FC1282" w:rsidP="00FC1282">
      <w:pPr>
        <w:pStyle w:val="FootnoteText"/>
      </w:pPr>
      <w:r>
        <w:rPr>
          <w:rStyle w:val="FootnoteReference"/>
        </w:rPr>
        <w:footnoteRef/>
      </w:r>
      <w:r>
        <w:t xml:space="preserve"> </w:t>
      </w:r>
      <w:r w:rsidRPr="00114AEE">
        <w:t>Career Counseling Comments at 6-8 (noting time spent opening, reviewing and deleting messages); Shaw Comments at 1 (faxes emailed to the recipient take the recipient’s time); Sutton Comments at 1.</w:t>
      </w:r>
    </w:p>
  </w:footnote>
  <w:footnote w:id="37">
    <w:p w:rsidR="00FC1282" w:rsidRPr="008A561C" w:rsidP="00FC1282">
      <w:pPr>
        <w:pStyle w:val="FootnoteText"/>
      </w:pPr>
      <w:r>
        <w:rPr>
          <w:rStyle w:val="FootnoteReference"/>
        </w:rPr>
        <w:footnoteRef/>
      </w:r>
      <w:r>
        <w:t xml:space="preserve"> </w:t>
      </w:r>
      <w:r>
        <w:rPr>
          <w:i/>
        </w:rPr>
        <w:t>See, e.g.</w:t>
      </w:r>
      <w:r w:rsidRPr="00DC0652">
        <w:t>,</w:t>
      </w:r>
      <w:r>
        <w:rPr>
          <w:i/>
        </w:rPr>
        <w:t xml:space="preserve"> </w:t>
      </w:r>
      <w:r w:rsidR="00327B74">
        <w:rPr>
          <w:i/>
        </w:rPr>
        <w:t xml:space="preserve">CGB </w:t>
      </w:r>
      <w:r>
        <w:rPr>
          <w:i/>
        </w:rPr>
        <w:t>Westfax</w:t>
      </w:r>
      <w:r>
        <w:rPr>
          <w:i/>
        </w:rPr>
        <w:t xml:space="preserve"> Declaratory Ruling</w:t>
      </w:r>
      <w:r>
        <w:t xml:space="preserve">, 30 FCC </w:t>
      </w:r>
      <w:r>
        <w:t>Rcd</w:t>
      </w:r>
      <w:r>
        <w:t xml:space="preserve"> at 8624, para. 12; </w:t>
      </w:r>
      <w:r>
        <w:rPr>
          <w:i/>
        </w:rPr>
        <w:t>2003 TCPA Order</w:t>
      </w:r>
      <w:r>
        <w:t xml:space="preserve">, 18 FCC </w:t>
      </w:r>
      <w:r>
        <w:t>Rcd</w:t>
      </w:r>
      <w:r>
        <w:t xml:space="preserve"> </w:t>
      </w:r>
      <w:r w:rsidR="00DC0652">
        <w:t xml:space="preserve">at </w:t>
      </w:r>
      <w:r>
        <w:t>14134, para. 202.</w:t>
      </w:r>
    </w:p>
  </w:footnote>
  <w:footnote w:id="38">
    <w:p w:rsidR="00DC0652" w:rsidRPr="006E4331" w:rsidP="00DC0652">
      <w:pPr>
        <w:pStyle w:val="FootnoteText"/>
      </w:pPr>
      <w:r>
        <w:rPr>
          <w:rStyle w:val="FootnoteReference"/>
        </w:rPr>
        <w:footnoteRef/>
      </w:r>
      <w:r>
        <w:t xml:space="preserve"> </w:t>
      </w:r>
      <w:r w:rsidRPr="00F40994" w:rsidR="00F40994">
        <w:rPr>
          <w:i/>
        </w:rPr>
        <w:t>CGB</w:t>
      </w:r>
      <w:r w:rsidR="00F40994">
        <w:t xml:space="preserve"> </w:t>
      </w:r>
      <w:r w:rsidR="00E20AAF">
        <w:rPr>
          <w:i/>
        </w:rPr>
        <w:t>Westfax</w:t>
      </w:r>
      <w:r w:rsidR="00E20AAF">
        <w:rPr>
          <w:i/>
        </w:rPr>
        <w:t xml:space="preserve"> Declaratory Ruling</w:t>
      </w:r>
      <w:r w:rsidR="00E20AAF">
        <w:t xml:space="preserve">, 30 FCC </w:t>
      </w:r>
      <w:r w:rsidR="00E20AAF">
        <w:t>Rcd</w:t>
      </w:r>
      <w:r>
        <w:t xml:space="preserve"> at 8623-24, para. 10.</w:t>
      </w:r>
    </w:p>
  </w:footnote>
  <w:footnote w:id="39">
    <w:p w:rsidR="00DC0652" w:rsidRPr="00DC0652">
      <w:pPr>
        <w:pStyle w:val="FootnoteText"/>
      </w:pPr>
      <w:r>
        <w:rPr>
          <w:rStyle w:val="FootnoteReference"/>
        </w:rPr>
        <w:footnoteRef/>
      </w:r>
      <w:r>
        <w:t xml:space="preserve"> </w:t>
      </w:r>
      <w:r w:rsidRPr="00DC0652">
        <w:rPr>
          <w:i/>
        </w:rPr>
        <w:t>See i</w:t>
      </w:r>
      <w:r>
        <w:rPr>
          <w:i/>
        </w:rPr>
        <w:t>d.</w:t>
      </w:r>
      <w:r>
        <w:t xml:space="preserve"> at 8623,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0D8" w:rsidRPr="00070A8D" w:rsidP="0090465F">
    <w:pPr>
      <w:pStyle w:val="Header"/>
    </w:pPr>
    <w:r w:rsidRPr="00070A8D">
      <w:tab/>
    </w:r>
    <w:r w:rsidRPr="0034494E">
      <w:rPr>
        <w:kern w:val="0"/>
        <w:szCs w:val="20"/>
      </w:rPr>
      <w:t>Federal</w:t>
    </w:r>
    <w:r w:rsidRPr="00070A8D">
      <w:t xml:space="preserve"> Communications Commission</w:t>
    </w:r>
    <w:r w:rsidRPr="00070A8D">
      <w:tab/>
      <w:t>DA 1</w:t>
    </w:r>
    <w:r>
      <w:t>9-</w:t>
    </w:r>
    <w:r w:rsidR="00DE7365">
      <w:t>1247</w:t>
    </w:r>
    <w:r w:rsidRPr="00070A8D">
      <w:t xml:space="preserve"> </w:t>
    </w:r>
  </w:p>
  <w:p w:rsidR="001F70D8" w:rsidP="0090465F">
    <w:pPr>
      <w:pStyle w:val="Header"/>
    </w:pPr>
    <w:r>
      <w:rPr>
        <w:noProof/>
      </w:rPr>
      <w:pict>
        <v:line id="Line 2" o:spid="_x0000_s2049" style="mso-wrap-distance-bottom:0pt;mso-wrap-distance-top:0pt;position:absolute;visibility:visible;z-index:251659264" from="0,1.75pt" to="468pt,1.75pt" o:allowincell="f" strokeweight="1.5pt"/>
      </w:pict>
    </w:r>
  </w:p>
  <w:p w:rsidR="001F70D8" w:rsidP="00904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0D8" w:rsidRPr="005D60EE" w:rsidP="0090465F">
    <w:pPr>
      <w:pStyle w:val="Header"/>
    </w:pPr>
    <w:r w:rsidRPr="005D60EE">
      <w:tab/>
    </w:r>
    <w:r w:rsidRPr="005D60EE">
      <w:rPr>
        <w:snapToGrid w:val="0"/>
        <w:szCs w:val="20"/>
      </w:rPr>
      <w:t>Federal</w:t>
    </w:r>
    <w:r w:rsidRPr="005D60EE">
      <w:t xml:space="preserve"> Communications Commission</w:t>
    </w:r>
    <w:r w:rsidRPr="005D60EE">
      <w:tab/>
      <w:t>DA 19-</w:t>
    </w:r>
    <w:r w:rsidR="00DE7365">
      <w:t>1247</w:t>
    </w:r>
  </w:p>
  <w:p w:rsidR="001F70D8" w:rsidP="0090465F">
    <w:pPr>
      <w:pStyle w:val="Header"/>
    </w:pPr>
    <w:r>
      <w:rPr>
        <w:noProof/>
      </w:rPr>
      <w:pict>
        <v:line id="Line 1" o:spid="_x0000_s2050" style="mso-wrap-distance-bottom:0pt;mso-wrap-distance-top:0pt;position:absolute;visibility:visible;z-index:251658240" from="0,1.75pt" to="468pt,1.75pt"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bCs/>
        <w:i w:val="0"/>
        <w:iCs w:val="0"/>
        <w:sz w:val="22"/>
        <w:szCs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bCs/>
        <w:i w:val="0"/>
        <w:iCs w:val="0"/>
        <w:sz w:val="22"/>
        <w:szCs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bCs/>
        <w:i w:val="0"/>
        <w:iCs w:val="0"/>
        <w:sz w:val="22"/>
        <w:szCs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24">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5">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26">
    <w:nsid w:val="73031A9B"/>
    <w:multiLevelType w:val="hybridMultilevel"/>
    <w:tmpl w:val="0046B9CC"/>
    <w:lvl w:ilvl="0">
      <w:start w:val="2"/>
      <w:numFmt w:val="decimal"/>
      <w:lvlText w:val="%1."/>
      <w:lvlJc w:val="left"/>
      <w:pPr>
        <w:tabs>
          <w:tab w:val="num" w:pos="1800"/>
        </w:tabs>
        <w:ind w:left="1800" w:hanging="108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bCs/>
        <w:i w:val="0"/>
        <w:iCs w:val="0"/>
        <w:sz w:val="22"/>
        <w:szCs w:val="22"/>
      </w:rPr>
    </w:lvl>
  </w:abstractNum>
  <w:num w:numId="1">
    <w:abstractNumId w:val="25"/>
  </w:num>
  <w:num w:numId="2">
    <w:abstractNumId w:val="27"/>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26"/>
  </w:num>
  <w:num w:numId="23">
    <w:abstractNumId w:val="15"/>
  </w:num>
  <w:num w:numId="24">
    <w:abstractNumId w:val="15"/>
  </w:num>
  <w:num w:numId="25">
    <w:abstractNumId w:val="15"/>
  </w:num>
  <w:num w:numId="26">
    <w:abstractNumId w:val="15"/>
    <w:lvlOverride w:ilvl="0">
      <w:startOverride w:val="1"/>
    </w:lvlOverride>
  </w:num>
  <w:num w:numId="27">
    <w:abstractNumId w:val="15"/>
  </w:num>
  <w:num w:numId="28">
    <w:abstractNumId w:val="20"/>
  </w:num>
  <w:num w:numId="29">
    <w:abstractNumId w:val="24"/>
  </w:num>
  <w:num w:numId="30">
    <w:abstractNumId w:val="5"/>
  </w:num>
  <w:num w:numId="31">
    <w:abstractNumId w:val="7"/>
  </w:num>
  <w:num w:numId="32">
    <w:abstractNumId w:val="18"/>
  </w:num>
  <w:num w:numId="33">
    <w:abstractNumId w:val="6"/>
  </w:num>
  <w:num w:numId="34">
    <w:abstractNumId w:val="0"/>
  </w:num>
  <w:num w:numId="35">
    <w:abstractNumId w:val="24"/>
  </w:num>
  <w:num w:numId="36">
    <w:abstractNumId w:val="24"/>
  </w:num>
  <w:num w:numId="37">
    <w:abstractNumId w:val="24"/>
  </w:num>
  <w:num w:numId="38">
    <w:abstractNumId w:val="24"/>
    <w:lvlOverride w:ilvl="0">
      <w:startOverride w:val="1"/>
    </w:lvlOverride>
  </w:num>
  <w:num w:numId="39">
    <w:abstractNumId w:val="24"/>
  </w:num>
  <w:num w:numId="40">
    <w:abstractNumId w:val="24"/>
  </w:num>
  <w:num w:numId="41">
    <w:abstractNumId w:val="2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A2"/>
    <w:rsid w:val="000001B9"/>
    <w:rsid w:val="00001BF6"/>
    <w:rsid w:val="00001FBF"/>
    <w:rsid w:val="00002A09"/>
    <w:rsid w:val="00003828"/>
    <w:rsid w:val="00004431"/>
    <w:rsid w:val="00005039"/>
    <w:rsid w:val="00005DAB"/>
    <w:rsid w:val="00010CDC"/>
    <w:rsid w:val="00013A7B"/>
    <w:rsid w:val="00017AD9"/>
    <w:rsid w:val="00017AF0"/>
    <w:rsid w:val="00017DAF"/>
    <w:rsid w:val="000234C3"/>
    <w:rsid w:val="00023F18"/>
    <w:rsid w:val="00025CB9"/>
    <w:rsid w:val="00026770"/>
    <w:rsid w:val="000270E9"/>
    <w:rsid w:val="000271B7"/>
    <w:rsid w:val="000274BC"/>
    <w:rsid w:val="0003052F"/>
    <w:rsid w:val="000324DA"/>
    <w:rsid w:val="000328A1"/>
    <w:rsid w:val="00034990"/>
    <w:rsid w:val="000358E8"/>
    <w:rsid w:val="00035A85"/>
    <w:rsid w:val="00037E92"/>
    <w:rsid w:val="000412A5"/>
    <w:rsid w:val="00042188"/>
    <w:rsid w:val="000425B1"/>
    <w:rsid w:val="00043E3B"/>
    <w:rsid w:val="000441DB"/>
    <w:rsid w:val="000443D3"/>
    <w:rsid w:val="000449AB"/>
    <w:rsid w:val="0004595C"/>
    <w:rsid w:val="000466CE"/>
    <w:rsid w:val="00047C3A"/>
    <w:rsid w:val="00050A4C"/>
    <w:rsid w:val="00050BD9"/>
    <w:rsid w:val="00051DB9"/>
    <w:rsid w:val="00052735"/>
    <w:rsid w:val="00053CE6"/>
    <w:rsid w:val="000545E6"/>
    <w:rsid w:val="0005488C"/>
    <w:rsid w:val="00055384"/>
    <w:rsid w:val="00055D34"/>
    <w:rsid w:val="00057E2C"/>
    <w:rsid w:val="00060859"/>
    <w:rsid w:val="00061819"/>
    <w:rsid w:val="00061C07"/>
    <w:rsid w:val="000620B2"/>
    <w:rsid w:val="0006422F"/>
    <w:rsid w:val="00067FB5"/>
    <w:rsid w:val="00070711"/>
    <w:rsid w:val="00070A8D"/>
    <w:rsid w:val="00070F29"/>
    <w:rsid w:val="00072B3E"/>
    <w:rsid w:val="000738A3"/>
    <w:rsid w:val="000758FF"/>
    <w:rsid w:val="00075AA3"/>
    <w:rsid w:val="00075DDB"/>
    <w:rsid w:val="000760C9"/>
    <w:rsid w:val="000762F5"/>
    <w:rsid w:val="00080B60"/>
    <w:rsid w:val="00081559"/>
    <w:rsid w:val="00082298"/>
    <w:rsid w:val="0008294E"/>
    <w:rsid w:val="000829BE"/>
    <w:rsid w:val="0008364F"/>
    <w:rsid w:val="000838A9"/>
    <w:rsid w:val="00085063"/>
    <w:rsid w:val="00086591"/>
    <w:rsid w:val="00086BBF"/>
    <w:rsid w:val="000903CB"/>
    <w:rsid w:val="00091226"/>
    <w:rsid w:val="00091936"/>
    <w:rsid w:val="00095C27"/>
    <w:rsid w:val="00096420"/>
    <w:rsid w:val="00096A54"/>
    <w:rsid w:val="00096B21"/>
    <w:rsid w:val="000972E0"/>
    <w:rsid w:val="000A04BA"/>
    <w:rsid w:val="000A093E"/>
    <w:rsid w:val="000A11A0"/>
    <w:rsid w:val="000A3CEE"/>
    <w:rsid w:val="000A51BD"/>
    <w:rsid w:val="000A7F9F"/>
    <w:rsid w:val="000B0D3B"/>
    <w:rsid w:val="000B19B7"/>
    <w:rsid w:val="000B1FAB"/>
    <w:rsid w:val="000B246C"/>
    <w:rsid w:val="000B2ABA"/>
    <w:rsid w:val="000B2AFB"/>
    <w:rsid w:val="000B7DC9"/>
    <w:rsid w:val="000C0799"/>
    <w:rsid w:val="000C1AF9"/>
    <w:rsid w:val="000C43C1"/>
    <w:rsid w:val="000C5AA9"/>
    <w:rsid w:val="000C6664"/>
    <w:rsid w:val="000C6DDD"/>
    <w:rsid w:val="000C6E54"/>
    <w:rsid w:val="000C6F60"/>
    <w:rsid w:val="000C75EB"/>
    <w:rsid w:val="000D0A34"/>
    <w:rsid w:val="000D1920"/>
    <w:rsid w:val="000D258C"/>
    <w:rsid w:val="000D2E28"/>
    <w:rsid w:val="000D4F89"/>
    <w:rsid w:val="000D5F52"/>
    <w:rsid w:val="000D6A04"/>
    <w:rsid w:val="000D6DA4"/>
    <w:rsid w:val="000D72A4"/>
    <w:rsid w:val="000E03C3"/>
    <w:rsid w:val="000E128A"/>
    <w:rsid w:val="000E1F6B"/>
    <w:rsid w:val="000E2561"/>
    <w:rsid w:val="000E3109"/>
    <w:rsid w:val="000E3405"/>
    <w:rsid w:val="000E43A3"/>
    <w:rsid w:val="000E5F31"/>
    <w:rsid w:val="000F0048"/>
    <w:rsid w:val="000F0475"/>
    <w:rsid w:val="000F586D"/>
    <w:rsid w:val="00104F37"/>
    <w:rsid w:val="00105455"/>
    <w:rsid w:val="00105EA8"/>
    <w:rsid w:val="00105EFE"/>
    <w:rsid w:val="0010625F"/>
    <w:rsid w:val="00106311"/>
    <w:rsid w:val="00106D39"/>
    <w:rsid w:val="001072DD"/>
    <w:rsid w:val="00110289"/>
    <w:rsid w:val="001114EC"/>
    <w:rsid w:val="0011252B"/>
    <w:rsid w:val="00114AEE"/>
    <w:rsid w:val="00114B52"/>
    <w:rsid w:val="0012025D"/>
    <w:rsid w:val="001203ED"/>
    <w:rsid w:val="0012087B"/>
    <w:rsid w:val="00120A10"/>
    <w:rsid w:val="00120C9C"/>
    <w:rsid w:val="0012293B"/>
    <w:rsid w:val="00124A66"/>
    <w:rsid w:val="001252B3"/>
    <w:rsid w:val="00125797"/>
    <w:rsid w:val="001305C4"/>
    <w:rsid w:val="0013129C"/>
    <w:rsid w:val="001341CE"/>
    <w:rsid w:val="001347DD"/>
    <w:rsid w:val="00134AE3"/>
    <w:rsid w:val="00134FC3"/>
    <w:rsid w:val="0014314D"/>
    <w:rsid w:val="00146281"/>
    <w:rsid w:val="0015133B"/>
    <w:rsid w:val="00151FCF"/>
    <w:rsid w:val="00152122"/>
    <w:rsid w:val="0015391F"/>
    <w:rsid w:val="00153E0E"/>
    <w:rsid w:val="00154594"/>
    <w:rsid w:val="0015499E"/>
    <w:rsid w:val="00155776"/>
    <w:rsid w:val="0016255E"/>
    <w:rsid w:val="00162F76"/>
    <w:rsid w:val="00163E8E"/>
    <w:rsid w:val="00164F4F"/>
    <w:rsid w:val="001665D6"/>
    <w:rsid w:val="00170222"/>
    <w:rsid w:val="00170B85"/>
    <w:rsid w:val="001735C0"/>
    <w:rsid w:val="00174A65"/>
    <w:rsid w:val="001840ED"/>
    <w:rsid w:val="0018489C"/>
    <w:rsid w:val="001849E8"/>
    <w:rsid w:val="001870AD"/>
    <w:rsid w:val="00191F49"/>
    <w:rsid w:val="00193CF4"/>
    <w:rsid w:val="00194274"/>
    <w:rsid w:val="001945BE"/>
    <w:rsid w:val="0019487D"/>
    <w:rsid w:val="001970B4"/>
    <w:rsid w:val="00197162"/>
    <w:rsid w:val="0019782D"/>
    <w:rsid w:val="001979F4"/>
    <w:rsid w:val="001A10D6"/>
    <w:rsid w:val="001A27DD"/>
    <w:rsid w:val="001A3478"/>
    <w:rsid w:val="001A4E2E"/>
    <w:rsid w:val="001A5081"/>
    <w:rsid w:val="001A69E0"/>
    <w:rsid w:val="001B242E"/>
    <w:rsid w:val="001B2B77"/>
    <w:rsid w:val="001B2F9A"/>
    <w:rsid w:val="001B533D"/>
    <w:rsid w:val="001B555D"/>
    <w:rsid w:val="001B61D2"/>
    <w:rsid w:val="001B6BB1"/>
    <w:rsid w:val="001C0118"/>
    <w:rsid w:val="001C09BD"/>
    <w:rsid w:val="001C1003"/>
    <w:rsid w:val="001C2274"/>
    <w:rsid w:val="001C2A4B"/>
    <w:rsid w:val="001C2E21"/>
    <w:rsid w:val="001C2E93"/>
    <w:rsid w:val="001C3481"/>
    <w:rsid w:val="001D12E1"/>
    <w:rsid w:val="001D16AE"/>
    <w:rsid w:val="001D1D32"/>
    <w:rsid w:val="001D3325"/>
    <w:rsid w:val="001D5F82"/>
    <w:rsid w:val="001D74F3"/>
    <w:rsid w:val="001E0BE0"/>
    <w:rsid w:val="001E0CA0"/>
    <w:rsid w:val="001E3E14"/>
    <w:rsid w:val="001E4974"/>
    <w:rsid w:val="001E5E74"/>
    <w:rsid w:val="001E7E87"/>
    <w:rsid w:val="001F0109"/>
    <w:rsid w:val="001F198F"/>
    <w:rsid w:val="001F62A0"/>
    <w:rsid w:val="001F70D8"/>
    <w:rsid w:val="001F780D"/>
    <w:rsid w:val="002044FE"/>
    <w:rsid w:val="0020451B"/>
    <w:rsid w:val="00205DD1"/>
    <w:rsid w:val="00210C45"/>
    <w:rsid w:val="00212439"/>
    <w:rsid w:val="002133AE"/>
    <w:rsid w:val="0021390F"/>
    <w:rsid w:val="0021567E"/>
    <w:rsid w:val="00220675"/>
    <w:rsid w:val="00222584"/>
    <w:rsid w:val="00222CF3"/>
    <w:rsid w:val="00222E8F"/>
    <w:rsid w:val="00224118"/>
    <w:rsid w:val="002264EA"/>
    <w:rsid w:val="00227BD7"/>
    <w:rsid w:val="00230E12"/>
    <w:rsid w:val="002313B3"/>
    <w:rsid w:val="00231A54"/>
    <w:rsid w:val="00231DC9"/>
    <w:rsid w:val="00232F36"/>
    <w:rsid w:val="0023377A"/>
    <w:rsid w:val="002343A2"/>
    <w:rsid w:val="00236452"/>
    <w:rsid w:val="0023661F"/>
    <w:rsid w:val="00242809"/>
    <w:rsid w:val="00242C58"/>
    <w:rsid w:val="002439F7"/>
    <w:rsid w:val="00243C17"/>
    <w:rsid w:val="0024472D"/>
    <w:rsid w:val="00246203"/>
    <w:rsid w:val="00246FBA"/>
    <w:rsid w:val="00247894"/>
    <w:rsid w:val="002504D3"/>
    <w:rsid w:val="00251982"/>
    <w:rsid w:val="00252E17"/>
    <w:rsid w:val="00252E65"/>
    <w:rsid w:val="00253812"/>
    <w:rsid w:val="00253FFA"/>
    <w:rsid w:val="0025448D"/>
    <w:rsid w:val="00255B33"/>
    <w:rsid w:val="00255B4F"/>
    <w:rsid w:val="00256598"/>
    <w:rsid w:val="002621DF"/>
    <w:rsid w:val="00262B5E"/>
    <w:rsid w:val="0026317C"/>
    <w:rsid w:val="002635EC"/>
    <w:rsid w:val="0026518B"/>
    <w:rsid w:val="00267E8F"/>
    <w:rsid w:val="00270649"/>
    <w:rsid w:val="00273895"/>
    <w:rsid w:val="00274CE0"/>
    <w:rsid w:val="002757CF"/>
    <w:rsid w:val="0027592D"/>
    <w:rsid w:val="002768CA"/>
    <w:rsid w:val="00277A8F"/>
    <w:rsid w:val="00277CF1"/>
    <w:rsid w:val="0028008A"/>
    <w:rsid w:val="00280A83"/>
    <w:rsid w:val="00281342"/>
    <w:rsid w:val="00281566"/>
    <w:rsid w:val="00282127"/>
    <w:rsid w:val="002823BE"/>
    <w:rsid w:val="00283102"/>
    <w:rsid w:val="002878D2"/>
    <w:rsid w:val="0029507F"/>
    <w:rsid w:val="00295FA6"/>
    <w:rsid w:val="00297344"/>
    <w:rsid w:val="0029793E"/>
    <w:rsid w:val="002A1B0B"/>
    <w:rsid w:val="002A284E"/>
    <w:rsid w:val="002A3B06"/>
    <w:rsid w:val="002A47A5"/>
    <w:rsid w:val="002A57B7"/>
    <w:rsid w:val="002A6309"/>
    <w:rsid w:val="002A6CAB"/>
    <w:rsid w:val="002A78D6"/>
    <w:rsid w:val="002B0173"/>
    <w:rsid w:val="002B17BD"/>
    <w:rsid w:val="002B25FF"/>
    <w:rsid w:val="002B76DE"/>
    <w:rsid w:val="002C194D"/>
    <w:rsid w:val="002C4AEE"/>
    <w:rsid w:val="002C5699"/>
    <w:rsid w:val="002C620F"/>
    <w:rsid w:val="002C70B4"/>
    <w:rsid w:val="002D24FC"/>
    <w:rsid w:val="002D36F2"/>
    <w:rsid w:val="002D5A56"/>
    <w:rsid w:val="002D624D"/>
    <w:rsid w:val="002D7610"/>
    <w:rsid w:val="002D7952"/>
    <w:rsid w:val="002E36EE"/>
    <w:rsid w:val="002E530B"/>
    <w:rsid w:val="002E59C5"/>
    <w:rsid w:val="002E63FD"/>
    <w:rsid w:val="002E693A"/>
    <w:rsid w:val="002F1AB3"/>
    <w:rsid w:val="002F313D"/>
    <w:rsid w:val="002F4AA9"/>
    <w:rsid w:val="002F6052"/>
    <w:rsid w:val="002F6777"/>
    <w:rsid w:val="002F6F0D"/>
    <w:rsid w:val="0030092F"/>
    <w:rsid w:val="0030392A"/>
    <w:rsid w:val="00304F4C"/>
    <w:rsid w:val="0030733B"/>
    <w:rsid w:val="00307723"/>
    <w:rsid w:val="00307C6A"/>
    <w:rsid w:val="00310982"/>
    <w:rsid w:val="0031155B"/>
    <w:rsid w:val="0031343B"/>
    <w:rsid w:val="003138DE"/>
    <w:rsid w:val="00314C85"/>
    <w:rsid w:val="00316880"/>
    <w:rsid w:val="003206BC"/>
    <w:rsid w:val="00322D85"/>
    <w:rsid w:val="00323616"/>
    <w:rsid w:val="00323FA5"/>
    <w:rsid w:val="003247EB"/>
    <w:rsid w:val="003248FE"/>
    <w:rsid w:val="00325D80"/>
    <w:rsid w:val="00326C16"/>
    <w:rsid w:val="00327B74"/>
    <w:rsid w:val="00332C0D"/>
    <w:rsid w:val="00333204"/>
    <w:rsid w:val="00333A2A"/>
    <w:rsid w:val="00334569"/>
    <w:rsid w:val="003349AD"/>
    <w:rsid w:val="00335886"/>
    <w:rsid w:val="00335E5B"/>
    <w:rsid w:val="00342502"/>
    <w:rsid w:val="00342C8C"/>
    <w:rsid w:val="00343545"/>
    <w:rsid w:val="003443B1"/>
    <w:rsid w:val="0034494E"/>
    <w:rsid w:val="0034567E"/>
    <w:rsid w:val="00345A4B"/>
    <w:rsid w:val="00346D18"/>
    <w:rsid w:val="003476D4"/>
    <w:rsid w:val="00351A15"/>
    <w:rsid w:val="00352326"/>
    <w:rsid w:val="0035243D"/>
    <w:rsid w:val="00353D0B"/>
    <w:rsid w:val="0035541E"/>
    <w:rsid w:val="00361571"/>
    <w:rsid w:val="00361963"/>
    <w:rsid w:val="003632EA"/>
    <w:rsid w:val="00363507"/>
    <w:rsid w:val="003643A8"/>
    <w:rsid w:val="00365A77"/>
    <w:rsid w:val="00367BFB"/>
    <w:rsid w:val="00371092"/>
    <w:rsid w:val="003719BC"/>
    <w:rsid w:val="00372DEF"/>
    <w:rsid w:val="00374114"/>
    <w:rsid w:val="0037486E"/>
    <w:rsid w:val="00374896"/>
    <w:rsid w:val="00375572"/>
    <w:rsid w:val="003801C3"/>
    <w:rsid w:val="003821BF"/>
    <w:rsid w:val="00384128"/>
    <w:rsid w:val="00385607"/>
    <w:rsid w:val="00385F97"/>
    <w:rsid w:val="00387239"/>
    <w:rsid w:val="00394A81"/>
    <w:rsid w:val="003958F4"/>
    <w:rsid w:val="00395F09"/>
    <w:rsid w:val="0039789E"/>
    <w:rsid w:val="00397AE7"/>
    <w:rsid w:val="003A0C2C"/>
    <w:rsid w:val="003A108A"/>
    <w:rsid w:val="003A1A79"/>
    <w:rsid w:val="003A2664"/>
    <w:rsid w:val="003A27B8"/>
    <w:rsid w:val="003A2FFB"/>
    <w:rsid w:val="003A4065"/>
    <w:rsid w:val="003B00F2"/>
    <w:rsid w:val="003B0515"/>
    <w:rsid w:val="003B0CEA"/>
    <w:rsid w:val="003B2588"/>
    <w:rsid w:val="003B48A8"/>
    <w:rsid w:val="003B692A"/>
    <w:rsid w:val="003B770B"/>
    <w:rsid w:val="003C4A83"/>
    <w:rsid w:val="003C4FC9"/>
    <w:rsid w:val="003C5163"/>
    <w:rsid w:val="003C545B"/>
    <w:rsid w:val="003C7038"/>
    <w:rsid w:val="003D3314"/>
    <w:rsid w:val="003D3424"/>
    <w:rsid w:val="003D4276"/>
    <w:rsid w:val="003D4A07"/>
    <w:rsid w:val="003D4A83"/>
    <w:rsid w:val="003D4D69"/>
    <w:rsid w:val="003D6DD9"/>
    <w:rsid w:val="003E0B4A"/>
    <w:rsid w:val="003E1159"/>
    <w:rsid w:val="003E137B"/>
    <w:rsid w:val="003E1A30"/>
    <w:rsid w:val="003E1A54"/>
    <w:rsid w:val="003E31EE"/>
    <w:rsid w:val="003E3CA5"/>
    <w:rsid w:val="003E5711"/>
    <w:rsid w:val="003E5AE3"/>
    <w:rsid w:val="003E6B8B"/>
    <w:rsid w:val="003E7498"/>
    <w:rsid w:val="003F14CF"/>
    <w:rsid w:val="003F1A50"/>
    <w:rsid w:val="003F284A"/>
    <w:rsid w:val="003F2B9F"/>
    <w:rsid w:val="003F699B"/>
    <w:rsid w:val="003F6F1B"/>
    <w:rsid w:val="00401F7E"/>
    <w:rsid w:val="00402C39"/>
    <w:rsid w:val="00403E9D"/>
    <w:rsid w:val="00404D3C"/>
    <w:rsid w:val="00407D4E"/>
    <w:rsid w:val="00407E96"/>
    <w:rsid w:val="004100A0"/>
    <w:rsid w:val="00411A8D"/>
    <w:rsid w:val="00411C3B"/>
    <w:rsid w:val="00412B33"/>
    <w:rsid w:val="00412EC2"/>
    <w:rsid w:val="00414FC4"/>
    <w:rsid w:val="004153D0"/>
    <w:rsid w:val="00416514"/>
    <w:rsid w:val="00417B80"/>
    <w:rsid w:val="0042142B"/>
    <w:rsid w:val="00421521"/>
    <w:rsid w:val="00422BDA"/>
    <w:rsid w:val="00423893"/>
    <w:rsid w:val="004253F7"/>
    <w:rsid w:val="00427A47"/>
    <w:rsid w:val="0043156F"/>
    <w:rsid w:val="004316E5"/>
    <w:rsid w:val="0043303F"/>
    <w:rsid w:val="00434473"/>
    <w:rsid w:val="004378DA"/>
    <w:rsid w:val="00440D92"/>
    <w:rsid w:val="004411FB"/>
    <w:rsid w:val="00443833"/>
    <w:rsid w:val="00443C42"/>
    <w:rsid w:val="0044509E"/>
    <w:rsid w:val="00446D49"/>
    <w:rsid w:val="00447275"/>
    <w:rsid w:val="00447975"/>
    <w:rsid w:val="00447D43"/>
    <w:rsid w:val="004519B5"/>
    <w:rsid w:val="00453029"/>
    <w:rsid w:val="004545D1"/>
    <w:rsid w:val="004563CD"/>
    <w:rsid w:val="00457113"/>
    <w:rsid w:val="0045752C"/>
    <w:rsid w:val="00460497"/>
    <w:rsid w:val="004608E6"/>
    <w:rsid w:val="0046098A"/>
    <w:rsid w:val="00461C18"/>
    <w:rsid w:val="00462640"/>
    <w:rsid w:val="004640C1"/>
    <w:rsid w:val="00464524"/>
    <w:rsid w:val="00464F34"/>
    <w:rsid w:val="0047023B"/>
    <w:rsid w:val="00470B6E"/>
    <w:rsid w:val="00473020"/>
    <w:rsid w:val="0047446A"/>
    <w:rsid w:val="00475CF8"/>
    <w:rsid w:val="00476E47"/>
    <w:rsid w:val="00477118"/>
    <w:rsid w:val="00480E94"/>
    <w:rsid w:val="00480F8E"/>
    <w:rsid w:val="00480FC5"/>
    <w:rsid w:val="0048131D"/>
    <w:rsid w:val="0048212B"/>
    <w:rsid w:val="00484082"/>
    <w:rsid w:val="0048592D"/>
    <w:rsid w:val="00485D56"/>
    <w:rsid w:val="0048652C"/>
    <w:rsid w:val="004878DD"/>
    <w:rsid w:val="00487FB7"/>
    <w:rsid w:val="0049008B"/>
    <w:rsid w:val="004948F3"/>
    <w:rsid w:val="00495D81"/>
    <w:rsid w:val="00495FB3"/>
    <w:rsid w:val="004A01D5"/>
    <w:rsid w:val="004A06A6"/>
    <w:rsid w:val="004A10E2"/>
    <w:rsid w:val="004A196A"/>
    <w:rsid w:val="004A2529"/>
    <w:rsid w:val="004A2C70"/>
    <w:rsid w:val="004A3326"/>
    <w:rsid w:val="004A3481"/>
    <w:rsid w:val="004A4B43"/>
    <w:rsid w:val="004A7022"/>
    <w:rsid w:val="004A715E"/>
    <w:rsid w:val="004B3019"/>
    <w:rsid w:val="004B4FA8"/>
    <w:rsid w:val="004B6C0B"/>
    <w:rsid w:val="004C01E7"/>
    <w:rsid w:val="004C0FDD"/>
    <w:rsid w:val="004C1355"/>
    <w:rsid w:val="004C1574"/>
    <w:rsid w:val="004C186C"/>
    <w:rsid w:val="004C1DE2"/>
    <w:rsid w:val="004C4251"/>
    <w:rsid w:val="004C4345"/>
    <w:rsid w:val="004C5B8A"/>
    <w:rsid w:val="004C6BCD"/>
    <w:rsid w:val="004D2A47"/>
    <w:rsid w:val="004D2BC0"/>
    <w:rsid w:val="004D2DDC"/>
    <w:rsid w:val="004D475B"/>
    <w:rsid w:val="004D585D"/>
    <w:rsid w:val="004D587D"/>
    <w:rsid w:val="004D6F0D"/>
    <w:rsid w:val="004E25FD"/>
    <w:rsid w:val="004E325D"/>
    <w:rsid w:val="004E372A"/>
    <w:rsid w:val="004E4494"/>
    <w:rsid w:val="004E6457"/>
    <w:rsid w:val="004E651B"/>
    <w:rsid w:val="004E6A65"/>
    <w:rsid w:val="004E70BE"/>
    <w:rsid w:val="004E75ED"/>
    <w:rsid w:val="004F071E"/>
    <w:rsid w:val="004F10C6"/>
    <w:rsid w:val="004F21E6"/>
    <w:rsid w:val="004F3726"/>
    <w:rsid w:val="004F3CF3"/>
    <w:rsid w:val="004F48B9"/>
    <w:rsid w:val="004F4FC6"/>
    <w:rsid w:val="004F52C3"/>
    <w:rsid w:val="004F541A"/>
    <w:rsid w:val="004F6643"/>
    <w:rsid w:val="005003F9"/>
    <w:rsid w:val="005011C2"/>
    <w:rsid w:val="005018C0"/>
    <w:rsid w:val="00502D78"/>
    <w:rsid w:val="005035E0"/>
    <w:rsid w:val="005059AE"/>
    <w:rsid w:val="00507622"/>
    <w:rsid w:val="00507826"/>
    <w:rsid w:val="005078A5"/>
    <w:rsid w:val="00507FE8"/>
    <w:rsid w:val="005122E7"/>
    <w:rsid w:val="00514CBB"/>
    <w:rsid w:val="00515ED7"/>
    <w:rsid w:val="005178BB"/>
    <w:rsid w:val="00521995"/>
    <w:rsid w:val="00522139"/>
    <w:rsid w:val="00522913"/>
    <w:rsid w:val="0052353E"/>
    <w:rsid w:val="005238D2"/>
    <w:rsid w:val="00523DD5"/>
    <w:rsid w:val="00525780"/>
    <w:rsid w:val="005277BF"/>
    <w:rsid w:val="00527D34"/>
    <w:rsid w:val="00527E13"/>
    <w:rsid w:val="00530A09"/>
    <w:rsid w:val="00530DB4"/>
    <w:rsid w:val="005311B9"/>
    <w:rsid w:val="00534620"/>
    <w:rsid w:val="00535441"/>
    <w:rsid w:val="00536FBF"/>
    <w:rsid w:val="00537911"/>
    <w:rsid w:val="00537F80"/>
    <w:rsid w:val="00541490"/>
    <w:rsid w:val="005431EB"/>
    <w:rsid w:val="005460DB"/>
    <w:rsid w:val="00546D71"/>
    <w:rsid w:val="0055010D"/>
    <w:rsid w:val="00552D7C"/>
    <w:rsid w:val="005532DF"/>
    <w:rsid w:val="005537AD"/>
    <w:rsid w:val="00553873"/>
    <w:rsid w:val="00554486"/>
    <w:rsid w:val="00554B72"/>
    <w:rsid w:val="00554F4E"/>
    <w:rsid w:val="0055542A"/>
    <w:rsid w:val="00556A97"/>
    <w:rsid w:val="0055763E"/>
    <w:rsid w:val="00557DA5"/>
    <w:rsid w:val="00560557"/>
    <w:rsid w:val="00562E4A"/>
    <w:rsid w:val="00562FA7"/>
    <w:rsid w:val="00563D4E"/>
    <w:rsid w:val="005647EC"/>
    <w:rsid w:val="00565385"/>
    <w:rsid w:val="00570402"/>
    <w:rsid w:val="00570FC8"/>
    <w:rsid w:val="00571251"/>
    <w:rsid w:val="005718A1"/>
    <w:rsid w:val="00571C78"/>
    <w:rsid w:val="00572213"/>
    <w:rsid w:val="0057223B"/>
    <w:rsid w:val="0057225B"/>
    <w:rsid w:val="00572A2A"/>
    <w:rsid w:val="005735AA"/>
    <w:rsid w:val="00573D5D"/>
    <w:rsid w:val="0057494B"/>
    <w:rsid w:val="005753EC"/>
    <w:rsid w:val="00575F28"/>
    <w:rsid w:val="00577B12"/>
    <w:rsid w:val="00577C75"/>
    <w:rsid w:val="005811AF"/>
    <w:rsid w:val="005819D8"/>
    <w:rsid w:val="00584A84"/>
    <w:rsid w:val="00584DCF"/>
    <w:rsid w:val="005864C8"/>
    <w:rsid w:val="00592A90"/>
    <w:rsid w:val="00593430"/>
    <w:rsid w:val="00593811"/>
    <w:rsid w:val="0059610E"/>
    <w:rsid w:val="005965F8"/>
    <w:rsid w:val="005A10FE"/>
    <w:rsid w:val="005A39F5"/>
    <w:rsid w:val="005A4E40"/>
    <w:rsid w:val="005A5149"/>
    <w:rsid w:val="005A5B77"/>
    <w:rsid w:val="005A64F1"/>
    <w:rsid w:val="005A74AA"/>
    <w:rsid w:val="005A78E2"/>
    <w:rsid w:val="005B0771"/>
    <w:rsid w:val="005B0A5D"/>
    <w:rsid w:val="005B1BA5"/>
    <w:rsid w:val="005B7EE1"/>
    <w:rsid w:val="005C0974"/>
    <w:rsid w:val="005C0BED"/>
    <w:rsid w:val="005C2643"/>
    <w:rsid w:val="005C2C57"/>
    <w:rsid w:val="005C3785"/>
    <w:rsid w:val="005C61D5"/>
    <w:rsid w:val="005C7DA7"/>
    <w:rsid w:val="005C7ECB"/>
    <w:rsid w:val="005D0E79"/>
    <w:rsid w:val="005D19E2"/>
    <w:rsid w:val="005D1E00"/>
    <w:rsid w:val="005D1E0A"/>
    <w:rsid w:val="005D2CF9"/>
    <w:rsid w:val="005D41D7"/>
    <w:rsid w:val="005D46F6"/>
    <w:rsid w:val="005D594E"/>
    <w:rsid w:val="005D6055"/>
    <w:rsid w:val="005D60EE"/>
    <w:rsid w:val="005D7B00"/>
    <w:rsid w:val="005E0413"/>
    <w:rsid w:val="005E2CBD"/>
    <w:rsid w:val="005E34BD"/>
    <w:rsid w:val="005E380E"/>
    <w:rsid w:val="005E6275"/>
    <w:rsid w:val="005E64E8"/>
    <w:rsid w:val="005F2561"/>
    <w:rsid w:val="005F3EAA"/>
    <w:rsid w:val="005F6D00"/>
    <w:rsid w:val="005F70EC"/>
    <w:rsid w:val="00600213"/>
    <w:rsid w:val="00601A32"/>
    <w:rsid w:val="00601DC2"/>
    <w:rsid w:val="006033CD"/>
    <w:rsid w:val="00604929"/>
    <w:rsid w:val="00604E4F"/>
    <w:rsid w:val="0060747E"/>
    <w:rsid w:val="00607F27"/>
    <w:rsid w:val="00610112"/>
    <w:rsid w:val="00613159"/>
    <w:rsid w:val="0061365D"/>
    <w:rsid w:val="0061696A"/>
    <w:rsid w:val="00616B50"/>
    <w:rsid w:val="00617127"/>
    <w:rsid w:val="006179EA"/>
    <w:rsid w:val="00620AE2"/>
    <w:rsid w:val="006220C2"/>
    <w:rsid w:val="00622E07"/>
    <w:rsid w:val="006230D3"/>
    <w:rsid w:val="0062318C"/>
    <w:rsid w:val="00623742"/>
    <w:rsid w:val="00623FDD"/>
    <w:rsid w:val="006251A9"/>
    <w:rsid w:val="00626F74"/>
    <w:rsid w:val="006276D0"/>
    <w:rsid w:val="0063028A"/>
    <w:rsid w:val="0063168A"/>
    <w:rsid w:val="00631ABB"/>
    <w:rsid w:val="00634E3D"/>
    <w:rsid w:val="006359AC"/>
    <w:rsid w:val="006415D5"/>
    <w:rsid w:val="00643A4F"/>
    <w:rsid w:val="00645D0A"/>
    <w:rsid w:val="0065059B"/>
    <w:rsid w:val="006528DE"/>
    <w:rsid w:val="00654520"/>
    <w:rsid w:val="00655075"/>
    <w:rsid w:val="006556F9"/>
    <w:rsid w:val="00656435"/>
    <w:rsid w:val="00656C27"/>
    <w:rsid w:val="00657416"/>
    <w:rsid w:val="00657B81"/>
    <w:rsid w:val="00657FF4"/>
    <w:rsid w:val="00661212"/>
    <w:rsid w:val="00661B32"/>
    <w:rsid w:val="00662EAD"/>
    <w:rsid w:val="0066323D"/>
    <w:rsid w:val="00663FA9"/>
    <w:rsid w:val="0066741A"/>
    <w:rsid w:val="0067092D"/>
    <w:rsid w:val="00671994"/>
    <w:rsid w:val="00673207"/>
    <w:rsid w:val="00674272"/>
    <w:rsid w:val="006758B1"/>
    <w:rsid w:val="0067597F"/>
    <w:rsid w:val="00677294"/>
    <w:rsid w:val="00677773"/>
    <w:rsid w:val="00680358"/>
    <w:rsid w:val="00680759"/>
    <w:rsid w:val="00680FB2"/>
    <w:rsid w:val="0068141B"/>
    <w:rsid w:val="00681544"/>
    <w:rsid w:val="00683DCA"/>
    <w:rsid w:val="00684862"/>
    <w:rsid w:val="00687FBE"/>
    <w:rsid w:val="00691103"/>
    <w:rsid w:val="00691D76"/>
    <w:rsid w:val="0069262F"/>
    <w:rsid w:val="00694C2A"/>
    <w:rsid w:val="006979E1"/>
    <w:rsid w:val="006A06FE"/>
    <w:rsid w:val="006A12B0"/>
    <w:rsid w:val="006A3395"/>
    <w:rsid w:val="006A438D"/>
    <w:rsid w:val="006A4AB5"/>
    <w:rsid w:val="006A52EC"/>
    <w:rsid w:val="006A53E4"/>
    <w:rsid w:val="006A6002"/>
    <w:rsid w:val="006B0360"/>
    <w:rsid w:val="006B3625"/>
    <w:rsid w:val="006B6438"/>
    <w:rsid w:val="006B672F"/>
    <w:rsid w:val="006B6DDD"/>
    <w:rsid w:val="006C139E"/>
    <w:rsid w:val="006C16D7"/>
    <w:rsid w:val="006C3F04"/>
    <w:rsid w:val="006C6767"/>
    <w:rsid w:val="006D001F"/>
    <w:rsid w:val="006D4031"/>
    <w:rsid w:val="006D4C90"/>
    <w:rsid w:val="006D547A"/>
    <w:rsid w:val="006D54AC"/>
    <w:rsid w:val="006D54D1"/>
    <w:rsid w:val="006D5D05"/>
    <w:rsid w:val="006D6CF4"/>
    <w:rsid w:val="006D6F8C"/>
    <w:rsid w:val="006E1FBC"/>
    <w:rsid w:val="006E2C11"/>
    <w:rsid w:val="006E4331"/>
    <w:rsid w:val="006E654B"/>
    <w:rsid w:val="006E67A3"/>
    <w:rsid w:val="006E7F32"/>
    <w:rsid w:val="006F04C8"/>
    <w:rsid w:val="006F123C"/>
    <w:rsid w:val="006F2301"/>
    <w:rsid w:val="006F2F98"/>
    <w:rsid w:val="006F3356"/>
    <w:rsid w:val="006F3C8A"/>
    <w:rsid w:val="006F3EAD"/>
    <w:rsid w:val="006F5007"/>
    <w:rsid w:val="006F6B03"/>
    <w:rsid w:val="006F7408"/>
    <w:rsid w:val="006F7A79"/>
    <w:rsid w:val="006F7B86"/>
    <w:rsid w:val="00700A8C"/>
    <w:rsid w:val="00701449"/>
    <w:rsid w:val="00702342"/>
    <w:rsid w:val="00702546"/>
    <w:rsid w:val="00705BF4"/>
    <w:rsid w:val="00705D8C"/>
    <w:rsid w:val="0070624F"/>
    <w:rsid w:val="00706601"/>
    <w:rsid w:val="00706BE2"/>
    <w:rsid w:val="00706ECC"/>
    <w:rsid w:val="00707463"/>
    <w:rsid w:val="00707AE0"/>
    <w:rsid w:val="00712094"/>
    <w:rsid w:val="0071253A"/>
    <w:rsid w:val="00712573"/>
    <w:rsid w:val="007125F7"/>
    <w:rsid w:val="00712A54"/>
    <w:rsid w:val="00714B1C"/>
    <w:rsid w:val="00721B94"/>
    <w:rsid w:val="00722814"/>
    <w:rsid w:val="007244E5"/>
    <w:rsid w:val="007254DB"/>
    <w:rsid w:val="00726CF3"/>
    <w:rsid w:val="007306F2"/>
    <w:rsid w:val="00732344"/>
    <w:rsid w:val="00732B7B"/>
    <w:rsid w:val="00734319"/>
    <w:rsid w:val="007344D7"/>
    <w:rsid w:val="0073467A"/>
    <w:rsid w:val="007346DC"/>
    <w:rsid w:val="007362FE"/>
    <w:rsid w:val="00737A89"/>
    <w:rsid w:val="00742B8B"/>
    <w:rsid w:val="00743270"/>
    <w:rsid w:val="007456FA"/>
    <w:rsid w:val="00746135"/>
    <w:rsid w:val="007461E4"/>
    <w:rsid w:val="00752084"/>
    <w:rsid w:val="0075292B"/>
    <w:rsid w:val="00753581"/>
    <w:rsid w:val="007544B7"/>
    <w:rsid w:val="00755DAD"/>
    <w:rsid w:val="00756C3A"/>
    <w:rsid w:val="007600E2"/>
    <w:rsid w:val="007618CD"/>
    <w:rsid w:val="00762FCD"/>
    <w:rsid w:val="00764AF5"/>
    <w:rsid w:val="007659E2"/>
    <w:rsid w:val="00766099"/>
    <w:rsid w:val="00766507"/>
    <w:rsid w:val="00766DA4"/>
    <w:rsid w:val="00771177"/>
    <w:rsid w:val="00771CA4"/>
    <w:rsid w:val="007739D9"/>
    <w:rsid w:val="007740E2"/>
    <w:rsid w:val="00775876"/>
    <w:rsid w:val="007763B8"/>
    <w:rsid w:val="00777B6D"/>
    <w:rsid w:val="007821F9"/>
    <w:rsid w:val="0078228C"/>
    <w:rsid w:val="007822AB"/>
    <w:rsid w:val="007822B1"/>
    <w:rsid w:val="00783418"/>
    <w:rsid w:val="00785220"/>
    <w:rsid w:val="007858FA"/>
    <w:rsid w:val="00787DA6"/>
    <w:rsid w:val="00790716"/>
    <w:rsid w:val="00790D18"/>
    <w:rsid w:val="007933B2"/>
    <w:rsid w:val="00793DFD"/>
    <w:rsid w:val="00794277"/>
    <w:rsid w:val="00794562"/>
    <w:rsid w:val="00795E2D"/>
    <w:rsid w:val="0079692F"/>
    <w:rsid w:val="00796A8A"/>
    <w:rsid w:val="00797565"/>
    <w:rsid w:val="007A1C4E"/>
    <w:rsid w:val="007A205E"/>
    <w:rsid w:val="007A469E"/>
    <w:rsid w:val="007A5CDB"/>
    <w:rsid w:val="007A5FDB"/>
    <w:rsid w:val="007A6065"/>
    <w:rsid w:val="007A7237"/>
    <w:rsid w:val="007B02D2"/>
    <w:rsid w:val="007B0382"/>
    <w:rsid w:val="007B239E"/>
    <w:rsid w:val="007B2B4E"/>
    <w:rsid w:val="007B3E9C"/>
    <w:rsid w:val="007B6940"/>
    <w:rsid w:val="007B6F83"/>
    <w:rsid w:val="007C301A"/>
    <w:rsid w:val="007C37CF"/>
    <w:rsid w:val="007C390C"/>
    <w:rsid w:val="007C4FC2"/>
    <w:rsid w:val="007C6451"/>
    <w:rsid w:val="007C6882"/>
    <w:rsid w:val="007C7D59"/>
    <w:rsid w:val="007C7EBD"/>
    <w:rsid w:val="007D061B"/>
    <w:rsid w:val="007D18D6"/>
    <w:rsid w:val="007D7A97"/>
    <w:rsid w:val="007E0D8C"/>
    <w:rsid w:val="007E178C"/>
    <w:rsid w:val="007F03AD"/>
    <w:rsid w:val="007F0551"/>
    <w:rsid w:val="007F16C1"/>
    <w:rsid w:val="007F2BEA"/>
    <w:rsid w:val="007F40ED"/>
    <w:rsid w:val="007F51B9"/>
    <w:rsid w:val="007F5FE1"/>
    <w:rsid w:val="007F66F2"/>
    <w:rsid w:val="007F714C"/>
    <w:rsid w:val="008025B7"/>
    <w:rsid w:val="0080467E"/>
    <w:rsid w:val="00805064"/>
    <w:rsid w:val="0080558A"/>
    <w:rsid w:val="00814948"/>
    <w:rsid w:val="00821965"/>
    <w:rsid w:val="0082391B"/>
    <w:rsid w:val="00823B91"/>
    <w:rsid w:val="00824B1A"/>
    <w:rsid w:val="008252E2"/>
    <w:rsid w:val="0082570F"/>
    <w:rsid w:val="0082572B"/>
    <w:rsid w:val="00827C83"/>
    <w:rsid w:val="00830897"/>
    <w:rsid w:val="008318DD"/>
    <w:rsid w:val="00831F50"/>
    <w:rsid w:val="008329FA"/>
    <w:rsid w:val="008336F2"/>
    <w:rsid w:val="00836969"/>
    <w:rsid w:val="00836A6A"/>
    <w:rsid w:val="00837377"/>
    <w:rsid w:val="00840CB7"/>
    <w:rsid w:val="0084108A"/>
    <w:rsid w:val="00841194"/>
    <w:rsid w:val="00841FF4"/>
    <w:rsid w:val="00842493"/>
    <w:rsid w:val="0084356C"/>
    <w:rsid w:val="00843758"/>
    <w:rsid w:val="00846325"/>
    <w:rsid w:val="008463D1"/>
    <w:rsid w:val="0084652B"/>
    <w:rsid w:val="0084718F"/>
    <w:rsid w:val="00847EF9"/>
    <w:rsid w:val="00850E95"/>
    <w:rsid w:val="00852B00"/>
    <w:rsid w:val="00853009"/>
    <w:rsid w:val="00853B61"/>
    <w:rsid w:val="00853FC6"/>
    <w:rsid w:val="00855A16"/>
    <w:rsid w:val="00856946"/>
    <w:rsid w:val="008578DF"/>
    <w:rsid w:val="00857C86"/>
    <w:rsid w:val="00861E6B"/>
    <w:rsid w:val="00862E28"/>
    <w:rsid w:val="0086598A"/>
    <w:rsid w:val="00870F31"/>
    <w:rsid w:val="00871C32"/>
    <w:rsid w:val="00872C74"/>
    <w:rsid w:val="00872F52"/>
    <w:rsid w:val="008732F0"/>
    <w:rsid w:val="008736A3"/>
    <w:rsid w:val="00873AEA"/>
    <w:rsid w:val="00873C3E"/>
    <w:rsid w:val="00874306"/>
    <w:rsid w:val="00874D6C"/>
    <w:rsid w:val="00875924"/>
    <w:rsid w:val="00876BC6"/>
    <w:rsid w:val="00880FA0"/>
    <w:rsid w:val="00883710"/>
    <w:rsid w:val="008854FA"/>
    <w:rsid w:val="0088608D"/>
    <w:rsid w:val="0088657D"/>
    <w:rsid w:val="008872F5"/>
    <w:rsid w:val="00887B0F"/>
    <w:rsid w:val="00887BA0"/>
    <w:rsid w:val="0089015A"/>
    <w:rsid w:val="00890494"/>
    <w:rsid w:val="00891528"/>
    <w:rsid w:val="00891A27"/>
    <w:rsid w:val="00891D02"/>
    <w:rsid w:val="00892573"/>
    <w:rsid w:val="0089448C"/>
    <w:rsid w:val="00894664"/>
    <w:rsid w:val="0089548D"/>
    <w:rsid w:val="00895FE9"/>
    <w:rsid w:val="008967FC"/>
    <w:rsid w:val="00896D76"/>
    <w:rsid w:val="008A1F67"/>
    <w:rsid w:val="008A3A60"/>
    <w:rsid w:val="008A4D87"/>
    <w:rsid w:val="008A5509"/>
    <w:rsid w:val="008A561C"/>
    <w:rsid w:val="008B0CE1"/>
    <w:rsid w:val="008B2049"/>
    <w:rsid w:val="008B20EF"/>
    <w:rsid w:val="008B2BD7"/>
    <w:rsid w:val="008B301A"/>
    <w:rsid w:val="008B3CA8"/>
    <w:rsid w:val="008B4E3D"/>
    <w:rsid w:val="008B633E"/>
    <w:rsid w:val="008B673E"/>
    <w:rsid w:val="008B7850"/>
    <w:rsid w:val="008C1EE3"/>
    <w:rsid w:val="008C237C"/>
    <w:rsid w:val="008C2ECC"/>
    <w:rsid w:val="008C3C0A"/>
    <w:rsid w:val="008C3E1F"/>
    <w:rsid w:val="008C4F20"/>
    <w:rsid w:val="008C5CCF"/>
    <w:rsid w:val="008C7D00"/>
    <w:rsid w:val="008D01B9"/>
    <w:rsid w:val="008D142B"/>
    <w:rsid w:val="008D38DD"/>
    <w:rsid w:val="008D3C3D"/>
    <w:rsid w:val="008D550B"/>
    <w:rsid w:val="008D7CBE"/>
    <w:rsid w:val="008E1930"/>
    <w:rsid w:val="008E2BA6"/>
    <w:rsid w:val="008E3829"/>
    <w:rsid w:val="008E4C17"/>
    <w:rsid w:val="008E7A5D"/>
    <w:rsid w:val="008F27E3"/>
    <w:rsid w:val="00900CEF"/>
    <w:rsid w:val="00901ECF"/>
    <w:rsid w:val="0090465F"/>
    <w:rsid w:val="009057E7"/>
    <w:rsid w:val="0090601C"/>
    <w:rsid w:val="00911439"/>
    <w:rsid w:val="00912370"/>
    <w:rsid w:val="00913FF5"/>
    <w:rsid w:val="00915FE0"/>
    <w:rsid w:val="009168FA"/>
    <w:rsid w:val="00916AD6"/>
    <w:rsid w:val="009170E2"/>
    <w:rsid w:val="00920FB9"/>
    <w:rsid w:val="00921C3B"/>
    <w:rsid w:val="0092257A"/>
    <w:rsid w:val="00922D5D"/>
    <w:rsid w:val="00923A84"/>
    <w:rsid w:val="009247FD"/>
    <w:rsid w:val="00926AFB"/>
    <w:rsid w:val="00926C7C"/>
    <w:rsid w:val="00927255"/>
    <w:rsid w:val="0092789C"/>
    <w:rsid w:val="00930272"/>
    <w:rsid w:val="00931968"/>
    <w:rsid w:val="00932DF5"/>
    <w:rsid w:val="00932EB9"/>
    <w:rsid w:val="009332EC"/>
    <w:rsid w:val="009363C7"/>
    <w:rsid w:val="009408E2"/>
    <w:rsid w:val="00944080"/>
    <w:rsid w:val="00945F7D"/>
    <w:rsid w:val="00950281"/>
    <w:rsid w:val="00951651"/>
    <w:rsid w:val="0095200C"/>
    <w:rsid w:val="00952C81"/>
    <w:rsid w:val="00953C07"/>
    <w:rsid w:val="00955B5C"/>
    <w:rsid w:val="00955BC2"/>
    <w:rsid w:val="00955D05"/>
    <w:rsid w:val="009573FD"/>
    <w:rsid w:val="009578D2"/>
    <w:rsid w:val="00960002"/>
    <w:rsid w:val="00962757"/>
    <w:rsid w:val="009631B7"/>
    <w:rsid w:val="00965A46"/>
    <w:rsid w:val="00970472"/>
    <w:rsid w:val="009713C8"/>
    <w:rsid w:val="00971752"/>
    <w:rsid w:val="0097386B"/>
    <w:rsid w:val="00973D5F"/>
    <w:rsid w:val="00975C0B"/>
    <w:rsid w:val="00975F6D"/>
    <w:rsid w:val="00976210"/>
    <w:rsid w:val="00976F4F"/>
    <w:rsid w:val="009824B2"/>
    <w:rsid w:val="009831BE"/>
    <w:rsid w:val="0098324A"/>
    <w:rsid w:val="00983626"/>
    <w:rsid w:val="0098438D"/>
    <w:rsid w:val="0098448B"/>
    <w:rsid w:val="009853BD"/>
    <w:rsid w:val="00986387"/>
    <w:rsid w:val="00986DA3"/>
    <w:rsid w:val="009902DF"/>
    <w:rsid w:val="009911AD"/>
    <w:rsid w:val="00991754"/>
    <w:rsid w:val="0099357E"/>
    <w:rsid w:val="00994FE0"/>
    <w:rsid w:val="00997C72"/>
    <w:rsid w:val="009A1C71"/>
    <w:rsid w:val="009A1C76"/>
    <w:rsid w:val="009A24D0"/>
    <w:rsid w:val="009A298E"/>
    <w:rsid w:val="009A43E1"/>
    <w:rsid w:val="009A6D39"/>
    <w:rsid w:val="009A7C79"/>
    <w:rsid w:val="009B206B"/>
    <w:rsid w:val="009B375A"/>
    <w:rsid w:val="009B41E7"/>
    <w:rsid w:val="009B5174"/>
    <w:rsid w:val="009B60AB"/>
    <w:rsid w:val="009B696F"/>
    <w:rsid w:val="009B6FB8"/>
    <w:rsid w:val="009B70FF"/>
    <w:rsid w:val="009B7D2F"/>
    <w:rsid w:val="009C0FEC"/>
    <w:rsid w:val="009C114E"/>
    <w:rsid w:val="009C754A"/>
    <w:rsid w:val="009C7D3D"/>
    <w:rsid w:val="009D40FE"/>
    <w:rsid w:val="009E0DD0"/>
    <w:rsid w:val="009E0F4B"/>
    <w:rsid w:val="009E2F41"/>
    <w:rsid w:val="009E38FB"/>
    <w:rsid w:val="009E3E76"/>
    <w:rsid w:val="009E407A"/>
    <w:rsid w:val="009E6AC6"/>
    <w:rsid w:val="009E6E8B"/>
    <w:rsid w:val="009F07D5"/>
    <w:rsid w:val="009F1475"/>
    <w:rsid w:val="009F1584"/>
    <w:rsid w:val="009F1EDE"/>
    <w:rsid w:val="009F2B71"/>
    <w:rsid w:val="009F316E"/>
    <w:rsid w:val="009F3D43"/>
    <w:rsid w:val="009F5072"/>
    <w:rsid w:val="00A002FE"/>
    <w:rsid w:val="00A00DF2"/>
    <w:rsid w:val="00A01321"/>
    <w:rsid w:val="00A0499A"/>
    <w:rsid w:val="00A04F5C"/>
    <w:rsid w:val="00A06401"/>
    <w:rsid w:val="00A101F6"/>
    <w:rsid w:val="00A22869"/>
    <w:rsid w:val="00A24206"/>
    <w:rsid w:val="00A30E62"/>
    <w:rsid w:val="00A32937"/>
    <w:rsid w:val="00A33A16"/>
    <w:rsid w:val="00A33C86"/>
    <w:rsid w:val="00A350F7"/>
    <w:rsid w:val="00A35456"/>
    <w:rsid w:val="00A3545D"/>
    <w:rsid w:val="00A36434"/>
    <w:rsid w:val="00A371C2"/>
    <w:rsid w:val="00A40CCA"/>
    <w:rsid w:val="00A421AB"/>
    <w:rsid w:val="00A427D8"/>
    <w:rsid w:val="00A428E4"/>
    <w:rsid w:val="00A44038"/>
    <w:rsid w:val="00A448C7"/>
    <w:rsid w:val="00A461FC"/>
    <w:rsid w:val="00A46710"/>
    <w:rsid w:val="00A46BB3"/>
    <w:rsid w:val="00A46CDF"/>
    <w:rsid w:val="00A50E11"/>
    <w:rsid w:val="00A51167"/>
    <w:rsid w:val="00A53C03"/>
    <w:rsid w:val="00A53E11"/>
    <w:rsid w:val="00A556F8"/>
    <w:rsid w:val="00A56023"/>
    <w:rsid w:val="00A5704A"/>
    <w:rsid w:val="00A60A32"/>
    <w:rsid w:val="00A61BCB"/>
    <w:rsid w:val="00A639D1"/>
    <w:rsid w:val="00A642AB"/>
    <w:rsid w:val="00A64E3B"/>
    <w:rsid w:val="00A6707E"/>
    <w:rsid w:val="00A67D35"/>
    <w:rsid w:val="00A70C9F"/>
    <w:rsid w:val="00A71741"/>
    <w:rsid w:val="00A73755"/>
    <w:rsid w:val="00A7393C"/>
    <w:rsid w:val="00A8037E"/>
    <w:rsid w:val="00A803B5"/>
    <w:rsid w:val="00A81201"/>
    <w:rsid w:val="00A823EC"/>
    <w:rsid w:val="00A8253B"/>
    <w:rsid w:val="00A844EE"/>
    <w:rsid w:val="00A84855"/>
    <w:rsid w:val="00A848E8"/>
    <w:rsid w:val="00A85949"/>
    <w:rsid w:val="00A876D2"/>
    <w:rsid w:val="00A91EA2"/>
    <w:rsid w:val="00A9415D"/>
    <w:rsid w:val="00A94B8B"/>
    <w:rsid w:val="00A94EF7"/>
    <w:rsid w:val="00A971FC"/>
    <w:rsid w:val="00A97585"/>
    <w:rsid w:val="00A97676"/>
    <w:rsid w:val="00A97988"/>
    <w:rsid w:val="00A97BAB"/>
    <w:rsid w:val="00AA20F4"/>
    <w:rsid w:val="00AA2A8B"/>
    <w:rsid w:val="00AA4DA8"/>
    <w:rsid w:val="00AA780D"/>
    <w:rsid w:val="00AB1A5C"/>
    <w:rsid w:val="00AB3568"/>
    <w:rsid w:val="00AB6B86"/>
    <w:rsid w:val="00AC0F47"/>
    <w:rsid w:val="00AC23FD"/>
    <w:rsid w:val="00AC3A86"/>
    <w:rsid w:val="00AC4E91"/>
    <w:rsid w:val="00AC4FDC"/>
    <w:rsid w:val="00AC61EB"/>
    <w:rsid w:val="00AC67C9"/>
    <w:rsid w:val="00AC6BA6"/>
    <w:rsid w:val="00AC77B2"/>
    <w:rsid w:val="00AD0F3D"/>
    <w:rsid w:val="00AD178D"/>
    <w:rsid w:val="00AD34E2"/>
    <w:rsid w:val="00AD43F3"/>
    <w:rsid w:val="00AD60E2"/>
    <w:rsid w:val="00AE0EDF"/>
    <w:rsid w:val="00AE1EA5"/>
    <w:rsid w:val="00AE424B"/>
    <w:rsid w:val="00AE77D3"/>
    <w:rsid w:val="00AF0816"/>
    <w:rsid w:val="00AF0FB3"/>
    <w:rsid w:val="00AF4C72"/>
    <w:rsid w:val="00AF4E7F"/>
    <w:rsid w:val="00AF6EF1"/>
    <w:rsid w:val="00B00CA5"/>
    <w:rsid w:val="00B016CD"/>
    <w:rsid w:val="00B01AE7"/>
    <w:rsid w:val="00B02B00"/>
    <w:rsid w:val="00B036DB"/>
    <w:rsid w:val="00B05A21"/>
    <w:rsid w:val="00B05DB0"/>
    <w:rsid w:val="00B06A76"/>
    <w:rsid w:val="00B07178"/>
    <w:rsid w:val="00B07FB7"/>
    <w:rsid w:val="00B102D0"/>
    <w:rsid w:val="00B11048"/>
    <w:rsid w:val="00B12B5D"/>
    <w:rsid w:val="00B130C4"/>
    <w:rsid w:val="00B13C70"/>
    <w:rsid w:val="00B14B49"/>
    <w:rsid w:val="00B15891"/>
    <w:rsid w:val="00B15BE6"/>
    <w:rsid w:val="00B163C0"/>
    <w:rsid w:val="00B215F8"/>
    <w:rsid w:val="00B224CF"/>
    <w:rsid w:val="00B228F0"/>
    <w:rsid w:val="00B2301A"/>
    <w:rsid w:val="00B25781"/>
    <w:rsid w:val="00B25A91"/>
    <w:rsid w:val="00B26069"/>
    <w:rsid w:val="00B26959"/>
    <w:rsid w:val="00B26D2D"/>
    <w:rsid w:val="00B31D1C"/>
    <w:rsid w:val="00B32EAA"/>
    <w:rsid w:val="00B33497"/>
    <w:rsid w:val="00B33A32"/>
    <w:rsid w:val="00B34140"/>
    <w:rsid w:val="00B342AA"/>
    <w:rsid w:val="00B34DF7"/>
    <w:rsid w:val="00B3588F"/>
    <w:rsid w:val="00B35A4C"/>
    <w:rsid w:val="00B4357A"/>
    <w:rsid w:val="00B4481E"/>
    <w:rsid w:val="00B45E02"/>
    <w:rsid w:val="00B4651B"/>
    <w:rsid w:val="00B52374"/>
    <w:rsid w:val="00B52AF6"/>
    <w:rsid w:val="00B53C1A"/>
    <w:rsid w:val="00B5458C"/>
    <w:rsid w:val="00B56F66"/>
    <w:rsid w:val="00B57733"/>
    <w:rsid w:val="00B603B0"/>
    <w:rsid w:val="00B610D2"/>
    <w:rsid w:val="00B6219D"/>
    <w:rsid w:val="00B625D8"/>
    <w:rsid w:val="00B640BA"/>
    <w:rsid w:val="00B64662"/>
    <w:rsid w:val="00B64B4D"/>
    <w:rsid w:val="00B66B00"/>
    <w:rsid w:val="00B67018"/>
    <w:rsid w:val="00B70220"/>
    <w:rsid w:val="00B709D6"/>
    <w:rsid w:val="00B710FD"/>
    <w:rsid w:val="00B71456"/>
    <w:rsid w:val="00B74D66"/>
    <w:rsid w:val="00B7632E"/>
    <w:rsid w:val="00B76DC3"/>
    <w:rsid w:val="00B77244"/>
    <w:rsid w:val="00B81518"/>
    <w:rsid w:val="00B815C8"/>
    <w:rsid w:val="00B82719"/>
    <w:rsid w:val="00B8280B"/>
    <w:rsid w:val="00B83C51"/>
    <w:rsid w:val="00B86387"/>
    <w:rsid w:val="00B86DC2"/>
    <w:rsid w:val="00B87A5C"/>
    <w:rsid w:val="00B92916"/>
    <w:rsid w:val="00B93C84"/>
    <w:rsid w:val="00B94441"/>
    <w:rsid w:val="00B95695"/>
    <w:rsid w:val="00B978FE"/>
    <w:rsid w:val="00BA017A"/>
    <w:rsid w:val="00BA1453"/>
    <w:rsid w:val="00BA28C9"/>
    <w:rsid w:val="00BA3284"/>
    <w:rsid w:val="00BA4DB6"/>
    <w:rsid w:val="00BA528E"/>
    <w:rsid w:val="00BB0787"/>
    <w:rsid w:val="00BB0A21"/>
    <w:rsid w:val="00BB12F5"/>
    <w:rsid w:val="00BB2837"/>
    <w:rsid w:val="00BB6042"/>
    <w:rsid w:val="00BB7C33"/>
    <w:rsid w:val="00BC1972"/>
    <w:rsid w:val="00BC211B"/>
    <w:rsid w:val="00BC24D0"/>
    <w:rsid w:val="00BC4D46"/>
    <w:rsid w:val="00BC66CF"/>
    <w:rsid w:val="00BC7337"/>
    <w:rsid w:val="00BC7541"/>
    <w:rsid w:val="00BD16C5"/>
    <w:rsid w:val="00BD334E"/>
    <w:rsid w:val="00BD33CF"/>
    <w:rsid w:val="00BD4139"/>
    <w:rsid w:val="00BD533A"/>
    <w:rsid w:val="00BD68FC"/>
    <w:rsid w:val="00BD7ED2"/>
    <w:rsid w:val="00BE0213"/>
    <w:rsid w:val="00BE2550"/>
    <w:rsid w:val="00BE2886"/>
    <w:rsid w:val="00BE4E80"/>
    <w:rsid w:val="00BE57EB"/>
    <w:rsid w:val="00BE5EC1"/>
    <w:rsid w:val="00BE61DC"/>
    <w:rsid w:val="00BE6C95"/>
    <w:rsid w:val="00BF168C"/>
    <w:rsid w:val="00BF3154"/>
    <w:rsid w:val="00BF4C48"/>
    <w:rsid w:val="00C00699"/>
    <w:rsid w:val="00C0097E"/>
    <w:rsid w:val="00C02A90"/>
    <w:rsid w:val="00C04856"/>
    <w:rsid w:val="00C04A41"/>
    <w:rsid w:val="00C04C2A"/>
    <w:rsid w:val="00C06A38"/>
    <w:rsid w:val="00C06EF4"/>
    <w:rsid w:val="00C13238"/>
    <w:rsid w:val="00C13755"/>
    <w:rsid w:val="00C13911"/>
    <w:rsid w:val="00C17071"/>
    <w:rsid w:val="00C20564"/>
    <w:rsid w:val="00C2079B"/>
    <w:rsid w:val="00C210E3"/>
    <w:rsid w:val="00C217D0"/>
    <w:rsid w:val="00C22C85"/>
    <w:rsid w:val="00C238BD"/>
    <w:rsid w:val="00C23979"/>
    <w:rsid w:val="00C24C34"/>
    <w:rsid w:val="00C24FED"/>
    <w:rsid w:val="00C25077"/>
    <w:rsid w:val="00C256DB"/>
    <w:rsid w:val="00C258E5"/>
    <w:rsid w:val="00C25D5E"/>
    <w:rsid w:val="00C26411"/>
    <w:rsid w:val="00C273E5"/>
    <w:rsid w:val="00C279FC"/>
    <w:rsid w:val="00C30A1A"/>
    <w:rsid w:val="00C312E7"/>
    <w:rsid w:val="00C33613"/>
    <w:rsid w:val="00C347AF"/>
    <w:rsid w:val="00C34DDE"/>
    <w:rsid w:val="00C351EA"/>
    <w:rsid w:val="00C36945"/>
    <w:rsid w:val="00C37C08"/>
    <w:rsid w:val="00C407F3"/>
    <w:rsid w:val="00C41471"/>
    <w:rsid w:val="00C41CC2"/>
    <w:rsid w:val="00C43153"/>
    <w:rsid w:val="00C4377D"/>
    <w:rsid w:val="00C441C5"/>
    <w:rsid w:val="00C503C2"/>
    <w:rsid w:val="00C51A91"/>
    <w:rsid w:val="00C53BAE"/>
    <w:rsid w:val="00C544D2"/>
    <w:rsid w:val="00C54992"/>
    <w:rsid w:val="00C54D91"/>
    <w:rsid w:val="00C55630"/>
    <w:rsid w:val="00C55C00"/>
    <w:rsid w:val="00C5735D"/>
    <w:rsid w:val="00C579E9"/>
    <w:rsid w:val="00C60243"/>
    <w:rsid w:val="00C62389"/>
    <w:rsid w:val="00C6598F"/>
    <w:rsid w:val="00C666A3"/>
    <w:rsid w:val="00C66EEA"/>
    <w:rsid w:val="00C70523"/>
    <w:rsid w:val="00C70C2D"/>
    <w:rsid w:val="00C70D1F"/>
    <w:rsid w:val="00C70DA1"/>
    <w:rsid w:val="00C7146F"/>
    <w:rsid w:val="00C735C4"/>
    <w:rsid w:val="00C73878"/>
    <w:rsid w:val="00C74385"/>
    <w:rsid w:val="00C7444F"/>
    <w:rsid w:val="00C74A93"/>
    <w:rsid w:val="00C769E0"/>
    <w:rsid w:val="00C77993"/>
    <w:rsid w:val="00C80471"/>
    <w:rsid w:val="00C80F7C"/>
    <w:rsid w:val="00C8260C"/>
    <w:rsid w:val="00C83AD9"/>
    <w:rsid w:val="00C83B8D"/>
    <w:rsid w:val="00C84D5E"/>
    <w:rsid w:val="00C85EC2"/>
    <w:rsid w:val="00C87FB2"/>
    <w:rsid w:val="00C91651"/>
    <w:rsid w:val="00C91C78"/>
    <w:rsid w:val="00C91D47"/>
    <w:rsid w:val="00C93664"/>
    <w:rsid w:val="00C93C1E"/>
    <w:rsid w:val="00C94CC4"/>
    <w:rsid w:val="00CA1E7C"/>
    <w:rsid w:val="00CA2CB2"/>
    <w:rsid w:val="00CA5591"/>
    <w:rsid w:val="00CA5BAA"/>
    <w:rsid w:val="00CA76BF"/>
    <w:rsid w:val="00CA7EA3"/>
    <w:rsid w:val="00CB0120"/>
    <w:rsid w:val="00CB0412"/>
    <w:rsid w:val="00CB0A8B"/>
    <w:rsid w:val="00CB23BC"/>
    <w:rsid w:val="00CB29D4"/>
    <w:rsid w:val="00CB34C6"/>
    <w:rsid w:val="00CB4ECC"/>
    <w:rsid w:val="00CB71B1"/>
    <w:rsid w:val="00CB7B84"/>
    <w:rsid w:val="00CC2961"/>
    <w:rsid w:val="00CC2CF6"/>
    <w:rsid w:val="00CC3D5C"/>
    <w:rsid w:val="00CC4998"/>
    <w:rsid w:val="00CC74D7"/>
    <w:rsid w:val="00CC7567"/>
    <w:rsid w:val="00CD09E9"/>
    <w:rsid w:val="00CD1E1A"/>
    <w:rsid w:val="00CD3CAF"/>
    <w:rsid w:val="00CD4737"/>
    <w:rsid w:val="00CD5A70"/>
    <w:rsid w:val="00CD5C61"/>
    <w:rsid w:val="00CD785E"/>
    <w:rsid w:val="00CE069A"/>
    <w:rsid w:val="00CE0819"/>
    <w:rsid w:val="00CE2A63"/>
    <w:rsid w:val="00CE3637"/>
    <w:rsid w:val="00CE3D6C"/>
    <w:rsid w:val="00CE423B"/>
    <w:rsid w:val="00CE4C7C"/>
    <w:rsid w:val="00CE7990"/>
    <w:rsid w:val="00CE7D3D"/>
    <w:rsid w:val="00CF0DBF"/>
    <w:rsid w:val="00CF1AD4"/>
    <w:rsid w:val="00CF1E2A"/>
    <w:rsid w:val="00CF391A"/>
    <w:rsid w:val="00CF3E4B"/>
    <w:rsid w:val="00CF44C6"/>
    <w:rsid w:val="00CF68EF"/>
    <w:rsid w:val="00D00605"/>
    <w:rsid w:val="00D0068B"/>
    <w:rsid w:val="00D00A9C"/>
    <w:rsid w:val="00D024E5"/>
    <w:rsid w:val="00D034A6"/>
    <w:rsid w:val="00D03963"/>
    <w:rsid w:val="00D03AC9"/>
    <w:rsid w:val="00D05B83"/>
    <w:rsid w:val="00D05D8C"/>
    <w:rsid w:val="00D06872"/>
    <w:rsid w:val="00D10970"/>
    <w:rsid w:val="00D11A7F"/>
    <w:rsid w:val="00D12391"/>
    <w:rsid w:val="00D124B1"/>
    <w:rsid w:val="00D13D8C"/>
    <w:rsid w:val="00D14EDB"/>
    <w:rsid w:val="00D164A0"/>
    <w:rsid w:val="00D210A6"/>
    <w:rsid w:val="00D21360"/>
    <w:rsid w:val="00D21559"/>
    <w:rsid w:val="00D217B5"/>
    <w:rsid w:val="00D2228D"/>
    <w:rsid w:val="00D2251B"/>
    <w:rsid w:val="00D25380"/>
    <w:rsid w:val="00D25BF9"/>
    <w:rsid w:val="00D26445"/>
    <w:rsid w:val="00D26A41"/>
    <w:rsid w:val="00D272FA"/>
    <w:rsid w:val="00D314E2"/>
    <w:rsid w:val="00D35338"/>
    <w:rsid w:val="00D35414"/>
    <w:rsid w:val="00D35C26"/>
    <w:rsid w:val="00D36D55"/>
    <w:rsid w:val="00D425AF"/>
    <w:rsid w:val="00D42C83"/>
    <w:rsid w:val="00D430B6"/>
    <w:rsid w:val="00D46DA7"/>
    <w:rsid w:val="00D46E27"/>
    <w:rsid w:val="00D47699"/>
    <w:rsid w:val="00D47AAA"/>
    <w:rsid w:val="00D505AD"/>
    <w:rsid w:val="00D5060A"/>
    <w:rsid w:val="00D50B4D"/>
    <w:rsid w:val="00D51843"/>
    <w:rsid w:val="00D52141"/>
    <w:rsid w:val="00D54077"/>
    <w:rsid w:val="00D54DC6"/>
    <w:rsid w:val="00D55C69"/>
    <w:rsid w:val="00D60082"/>
    <w:rsid w:val="00D604EF"/>
    <w:rsid w:val="00D61999"/>
    <w:rsid w:val="00D61BAC"/>
    <w:rsid w:val="00D61FBA"/>
    <w:rsid w:val="00D62521"/>
    <w:rsid w:val="00D63230"/>
    <w:rsid w:val="00D637ED"/>
    <w:rsid w:val="00D650CA"/>
    <w:rsid w:val="00D658D8"/>
    <w:rsid w:val="00D65A12"/>
    <w:rsid w:val="00D66412"/>
    <w:rsid w:val="00D67A8C"/>
    <w:rsid w:val="00D70EE4"/>
    <w:rsid w:val="00D72C27"/>
    <w:rsid w:val="00D751BD"/>
    <w:rsid w:val="00D760CF"/>
    <w:rsid w:val="00D76205"/>
    <w:rsid w:val="00D7663A"/>
    <w:rsid w:val="00D76B58"/>
    <w:rsid w:val="00D77448"/>
    <w:rsid w:val="00D77BF3"/>
    <w:rsid w:val="00D81F8F"/>
    <w:rsid w:val="00D824B2"/>
    <w:rsid w:val="00D84586"/>
    <w:rsid w:val="00D845F9"/>
    <w:rsid w:val="00D85486"/>
    <w:rsid w:val="00D859F3"/>
    <w:rsid w:val="00D85A4E"/>
    <w:rsid w:val="00D86C61"/>
    <w:rsid w:val="00D9004C"/>
    <w:rsid w:val="00D91C86"/>
    <w:rsid w:val="00D925D5"/>
    <w:rsid w:val="00D928CB"/>
    <w:rsid w:val="00D92962"/>
    <w:rsid w:val="00D949C6"/>
    <w:rsid w:val="00D96D6F"/>
    <w:rsid w:val="00D96FE0"/>
    <w:rsid w:val="00D973E5"/>
    <w:rsid w:val="00D97D03"/>
    <w:rsid w:val="00DA1C98"/>
    <w:rsid w:val="00DA2204"/>
    <w:rsid w:val="00DA254C"/>
    <w:rsid w:val="00DA264C"/>
    <w:rsid w:val="00DA45CC"/>
    <w:rsid w:val="00DA55A9"/>
    <w:rsid w:val="00DA6997"/>
    <w:rsid w:val="00DA73E4"/>
    <w:rsid w:val="00DB2418"/>
    <w:rsid w:val="00DB29FB"/>
    <w:rsid w:val="00DB2C75"/>
    <w:rsid w:val="00DB7AA8"/>
    <w:rsid w:val="00DC0652"/>
    <w:rsid w:val="00DC0AA9"/>
    <w:rsid w:val="00DC27D4"/>
    <w:rsid w:val="00DC3F09"/>
    <w:rsid w:val="00DC5D6B"/>
    <w:rsid w:val="00DC644B"/>
    <w:rsid w:val="00DC6FA5"/>
    <w:rsid w:val="00DC7A95"/>
    <w:rsid w:val="00DD039E"/>
    <w:rsid w:val="00DD1680"/>
    <w:rsid w:val="00DD1D9B"/>
    <w:rsid w:val="00DD4AC5"/>
    <w:rsid w:val="00DD67F9"/>
    <w:rsid w:val="00DD70B7"/>
    <w:rsid w:val="00DD72A9"/>
    <w:rsid w:val="00DE0827"/>
    <w:rsid w:val="00DE1896"/>
    <w:rsid w:val="00DE2D9B"/>
    <w:rsid w:val="00DE374B"/>
    <w:rsid w:val="00DE57E7"/>
    <w:rsid w:val="00DE7305"/>
    <w:rsid w:val="00DE7365"/>
    <w:rsid w:val="00DE7531"/>
    <w:rsid w:val="00DE7962"/>
    <w:rsid w:val="00DE7ABA"/>
    <w:rsid w:val="00DE7EDE"/>
    <w:rsid w:val="00DF060F"/>
    <w:rsid w:val="00DF1228"/>
    <w:rsid w:val="00DF138A"/>
    <w:rsid w:val="00DF15B3"/>
    <w:rsid w:val="00DF51D4"/>
    <w:rsid w:val="00DF65AB"/>
    <w:rsid w:val="00DF7003"/>
    <w:rsid w:val="00DF7133"/>
    <w:rsid w:val="00DF740C"/>
    <w:rsid w:val="00DF76ED"/>
    <w:rsid w:val="00E0061A"/>
    <w:rsid w:val="00E01ED3"/>
    <w:rsid w:val="00E05841"/>
    <w:rsid w:val="00E05B0C"/>
    <w:rsid w:val="00E1143D"/>
    <w:rsid w:val="00E124C1"/>
    <w:rsid w:val="00E13A47"/>
    <w:rsid w:val="00E13DE9"/>
    <w:rsid w:val="00E140E2"/>
    <w:rsid w:val="00E144AA"/>
    <w:rsid w:val="00E14686"/>
    <w:rsid w:val="00E14D4A"/>
    <w:rsid w:val="00E204A9"/>
    <w:rsid w:val="00E20AAF"/>
    <w:rsid w:val="00E20D38"/>
    <w:rsid w:val="00E20ECA"/>
    <w:rsid w:val="00E22B77"/>
    <w:rsid w:val="00E23A02"/>
    <w:rsid w:val="00E23CA7"/>
    <w:rsid w:val="00E24DA2"/>
    <w:rsid w:val="00E260C9"/>
    <w:rsid w:val="00E27572"/>
    <w:rsid w:val="00E3126A"/>
    <w:rsid w:val="00E31483"/>
    <w:rsid w:val="00E31C63"/>
    <w:rsid w:val="00E32289"/>
    <w:rsid w:val="00E32E74"/>
    <w:rsid w:val="00E34043"/>
    <w:rsid w:val="00E34237"/>
    <w:rsid w:val="00E34252"/>
    <w:rsid w:val="00E35D16"/>
    <w:rsid w:val="00E40CEA"/>
    <w:rsid w:val="00E4348C"/>
    <w:rsid w:val="00E43AED"/>
    <w:rsid w:val="00E44E6F"/>
    <w:rsid w:val="00E4725C"/>
    <w:rsid w:val="00E4738B"/>
    <w:rsid w:val="00E4787F"/>
    <w:rsid w:val="00E47FC4"/>
    <w:rsid w:val="00E5015B"/>
    <w:rsid w:val="00E52B8A"/>
    <w:rsid w:val="00E53472"/>
    <w:rsid w:val="00E5353D"/>
    <w:rsid w:val="00E53557"/>
    <w:rsid w:val="00E53879"/>
    <w:rsid w:val="00E53926"/>
    <w:rsid w:val="00E53A56"/>
    <w:rsid w:val="00E55DC3"/>
    <w:rsid w:val="00E5622B"/>
    <w:rsid w:val="00E6064A"/>
    <w:rsid w:val="00E61B43"/>
    <w:rsid w:val="00E62174"/>
    <w:rsid w:val="00E62452"/>
    <w:rsid w:val="00E626D0"/>
    <w:rsid w:val="00E63B9D"/>
    <w:rsid w:val="00E642A6"/>
    <w:rsid w:val="00E704BD"/>
    <w:rsid w:val="00E70675"/>
    <w:rsid w:val="00E709E7"/>
    <w:rsid w:val="00E70EC6"/>
    <w:rsid w:val="00E72354"/>
    <w:rsid w:val="00E72403"/>
    <w:rsid w:val="00E728E3"/>
    <w:rsid w:val="00E7456C"/>
    <w:rsid w:val="00E748E9"/>
    <w:rsid w:val="00E74AC5"/>
    <w:rsid w:val="00E76FAF"/>
    <w:rsid w:val="00E77A95"/>
    <w:rsid w:val="00E80A7E"/>
    <w:rsid w:val="00E81057"/>
    <w:rsid w:val="00E81B81"/>
    <w:rsid w:val="00E82B50"/>
    <w:rsid w:val="00E82BA1"/>
    <w:rsid w:val="00E8506C"/>
    <w:rsid w:val="00E86EE1"/>
    <w:rsid w:val="00E875F9"/>
    <w:rsid w:val="00E87AF6"/>
    <w:rsid w:val="00E914A6"/>
    <w:rsid w:val="00E91668"/>
    <w:rsid w:val="00E9669B"/>
    <w:rsid w:val="00EA0221"/>
    <w:rsid w:val="00EA02C4"/>
    <w:rsid w:val="00EA05F9"/>
    <w:rsid w:val="00EA07E4"/>
    <w:rsid w:val="00EA0E45"/>
    <w:rsid w:val="00EA32F6"/>
    <w:rsid w:val="00EB2415"/>
    <w:rsid w:val="00EB2AAE"/>
    <w:rsid w:val="00EB30F0"/>
    <w:rsid w:val="00EB5251"/>
    <w:rsid w:val="00EB56AF"/>
    <w:rsid w:val="00EB719C"/>
    <w:rsid w:val="00EC0C18"/>
    <w:rsid w:val="00EC1411"/>
    <w:rsid w:val="00EC159B"/>
    <w:rsid w:val="00EC2EB3"/>
    <w:rsid w:val="00EC4CA4"/>
    <w:rsid w:val="00EC53A9"/>
    <w:rsid w:val="00EC5655"/>
    <w:rsid w:val="00EC573F"/>
    <w:rsid w:val="00EC7A0C"/>
    <w:rsid w:val="00ED0797"/>
    <w:rsid w:val="00ED1A6D"/>
    <w:rsid w:val="00ED3303"/>
    <w:rsid w:val="00ED56FB"/>
    <w:rsid w:val="00ED5D1F"/>
    <w:rsid w:val="00ED768B"/>
    <w:rsid w:val="00ED7E09"/>
    <w:rsid w:val="00EE1922"/>
    <w:rsid w:val="00EE1B62"/>
    <w:rsid w:val="00EE1EB1"/>
    <w:rsid w:val="00EE2A79"/>
    <w:rsid w:val="00EE2D77"/>
    <w:rsid w:val="00EE5A5A"/>
    <w:rsid w:val="00EE5C10"/>
    <w:rsid w:val="00EE75E2"/>
    <w:rsid w:val="00EE7DC1"/>
    <w:rsid w:val="00EF11EC"/>
    <w:rsid w:val="00EF2711"/>
    <w:rsid w:val="00EF493B"/>
    <w:rsid w:val="00EF5182"/>
    <w:rsid w:val="00EF65A3"/>
    <w:rsid w:val="00F01B5B"/>
    <w:rsid w:val="00F022FC"/>
    <w:rsid w:val="00F02417"/>
    <w:rsid w:val="00F04015"/>
    <w:rsid w:val="00F04713"/>
    <w:rsid w:val="00F06BDC"/>
    <w:rsid w:val="00F10788"/>
    <w:rsid w:val="00F111BD"/>
    <w:rsid w:val="00F14A1A"/>
    <w:rsid w:val="00F16A81"/>
    <w:rsid w:val="00F16C60"/>
    <w:rsid w:val="00F16C97"/>
    <w:rsid w:val="00F16D4E"/>
    <w:rsid w:val="00F16FA5"/>
    <w:rsid w:val="00F24F5A"/>
    <w:rsid w:val="00F25BB7"/>
    <w:rsid w:val="00F2714C"/>
    <w:rsid w:val="00F306BE"/>
    <w:rsid w:val="00F352F5"/>
    <w:rsid w:val="00F3531C"/>
    <w:rsid w:val="00F37450"/>
    <w:rsid w:val="00F4067A"/>
    <w:rsid w:val="00F40994"/>
    <w:rsid w:val="00F41AE8"/>
    <w:rsid w:val="00F42E07"/>
    <w:rsid w:val="00F438D9"/>
    <w:rsid w:val="00F4471F"/>
    <w:rsid w:val="00F45D13"/>
    <w:rsid w:val="00F46C12"/>
    <w:rsid w:val="00F4756B"/>
    <w:rsid w:val="00F47A50"/>
    <w:rsid w:val="00F508C6"/>
    <w:rsid w:val="00F52D6D"/>
    <w:rsid w:val="00F53069"/>
    <w:rsid w:val="00F536E5"/>
    <w:rsid w:val="00F53CE7"/>
    <w:rsid w:val="00F549EB"/>
    <w:rsid w:val="00F54C0A"/>
    <w:rsid w:val="00F56103"/>
    <w:rsid w:val="00F577AE"/>
    <w:rsid w:val="00F57C1A"/>
    <w:rsid w:val="00F57E4E"/>
    <w:rsid w:val="00F60BC3"/>
    <w:rsid w:val="00F62DAE"/>
    <w:rsid w:val="00F63859"/>
    <w:rsid w:val="00F64D2A"/>
    <w:rsid w:val="00F650C7"/>
    <w:rsid w:val="00F66181"/>
    <w:rsid w:val="00F70A2B"/>
    <w:rsid w:val="00F72A11"/>
    <w:rsid w:val="00F72EC6"/>
    <w:rsid w:val="00F74997"/>
    <w:rsid w:val="00F759F2"/>
    <w:rsid w:val="00F75B28"/>
    <w:rsid w:val="00F767FE"/>
    <w:rsid w:val="00F76985"/>
    <w:rsid w:val="00F76C1E"/>
    <w:rsid w:val="00F8091A"/>
    <w:rsid w:val="00F81178"/>
    <w:rsid w:val="00F8314D"/>
    <w:rsid w:val="00F844BF"/>
    <w:rsid w:val="00F848DF"/>
    <w:rsid w:val="00F85D9C"/>
    <w:rsid w:val="00F862D1"/>
    <w:rsid w:val="00F8746B"/>
    <w:rsid w:val="00F9215B"/>
    <w:rsid w:val="00F9238E"/>
    <w:rsid w:val="00F92AB7"/>
    <w:rsid w:val="00F940C2"/>
    <w:rsid w:val="00F94A9B"/>
    <w:rsid w:val="00F94BB7"/>
    <w:rsid w:val="00F95581"/>
    <w:rsid w:val="00F95725"/>
    <w:rsid w:val="00F95FA5"/>
    <w:rsid w:val="00FA0315"/>
    <w:rsid w:val="00FA05E9"/>
    <w:rsid w:val="00FA151B"/>
    <w:rsid w:val="00FA16FF"/>
    <w:rsid w:val="00FA2E02"/>
    <w:rsid w:val="00FA48E9"/>
    <w:rsid w:val="00FA5810"/>
    <w:rsid w:val="00FA5F36"/>
    <w:rsid w:val="00FA6F4E"/>
    <w:rsid w:val="00FA7B08"/>
    <w:rsid w:val="00FB07FF"/>
    <w:rsid w:val="00FB1416"/>
    <w:rsid w:val="00FB1692"/>
    <w:rsid w:val="00FB1FDD"/>
    <w:rsid w:val="00FB3014"/>
    <w:rsid w:val="00FB47C4"/>
    <w:rsid w:val="00FB58FB"/>
    <w:rsid w:val="00FB6C96"/>
    <w:rsid w:val="00FB71C5"/>
    <w:rsid w:val="00FB731B"/>
    <w:rsid w:val="00FC05B0"/>
    <w:rsid w:val="00FC1282"/>
    <w:rsid w:val="00FC1B2A"/>
    <w:rsid w:val="00FC1E58"/>
    <w:rsid w:val="00FC1E6C"/>
    <w:rsid w:val="00FC2826"/>
    <w:rsid w:val="00FC311C"/>
    <w:rsid w:val="00FC41F3"/>
    <w:rsid w:val="00FC477C"/>
    <w:rsid w:val="00FC4938"/>
    <w:rsid w:val="00FC5080"/>
    <w:rsid w:val="00FC511C"/>
    <w:rsid w:val="00FC70C6"/>
    <w:rsid w:val="00FD0044"/>
    <w:rsid w:val="00FD0930"/>
    <w:rsid w:val="00FD15C1"/>
    <w:rsid w:val="00FD26DE"/>
    <w:rsid w:val="00FD2E14"/>
    <w:rsid w:val="00FD3526"/>
    <w:rsid w:val="00FD36FA"/>
    <w:rsid w:val="00FD395F"/>
    <w:rsid w:val="00FD475B"/>
    <w:rsid w:val="00FD5ADF"/>
    <w:rsid w:val="00FD68BD"/>
    <w:rsid w:val="00FE0572"/>
    <w:rsid w:val="00FE0C63"/>
    <w:rsid w:val="00FE16F3"/>
    <w:rsid w:val="00FE2E3F"/>
    <w:rsid w:val="00FE518E"/>
    <w:rsid w:val="00FE53ED"/>
    <w:rsid w:val="00FE65BB"/>
    <w:rsid w:val="00FF0088"/>
    <w:rsid w:val="00FF1530"/>
    <w:rsid w:val="00FF1921"/>
    <w:rsid w:val="00FF2CB9"/>
    <w:rsid w:val="00FF2E4C"/>
    <w:rsid w:val="00FF5194"/>
    <w:rsid w:val="00FF54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54AA04EE-6F94-470C-8FF9-040685F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0"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54"/>
    <w:pPr>
      <w:widowControl w:val="0"/>
    </w:pPr>
    <w:rPr>
      <w:kern w:val="28"/>
      <w:sz w:val="22"/>
      <w:szCs w:val="22"/>
    </w:rPr>
  </w:style>
  <w:style w:type="paragraph" w:styleId="Heading1">
    <w:name w:val="heading 1"/>
    <w:basedOn w:val="Normal"/>
    <w:next w:val="ParaNum"/>
    <w:link w:val="Heading1Char"/>
    <w:uiPriority w:val="9"/>
    <w:qFormat/>
    <w:rsid w:val="002A1B0B"/>
    <w:pPr>
      <w:keepNext/>
      <w:numPr>
        <w:numId w:val="31"/>
      </w:numPr>
      <w:tabs>
        <w:tab w:val="left" w:pos="720"/>
      </w:tabs>
      <w:suppressAutoHyphens/>
      <w:spacing w:after="120"/>
      <w:outlineLvl w:val="0"/>
    </w:pPr>
    <w:rPr>
      <w:rFonts w:ascii="Cambria" w:hAnsi="Cambria" w:cs="Cambria"/>
      <w:b/>
      <w:bCs/>
      <w:kern w:val="32"/>
      <w:sz w:val="32"/>
      <w:szCs w:val="32"/>
    </w:rPr>
  </w:style>
  <w:style w:type="paragraph" w:styleId="Heading2">
    <w:name w:val="heading 2"/>
    <w:basedOn w:val="Normal"/>
    <w:next w:val="ParaNum"/>
    <w:link w:val="Heading2Char"/>
    <w:autoRedefine/>
    <w:uiPriority w:val="9"/>
    <w:qFormat/>
    <w:rsid w:val="002A1B0B"/>
    <w:pPr>
      <w:keepNext/>
      <w:numPr>
        <w:ilvl w:val="1"/>
        <w:numId w:val="31"/>
      </w:numPr>
      <w:spacing w:after="120"/>
      <w:outlineLvl w:val="1"/>
    </w:pPr>
    <w:rPr>
      <w:rFonts w:ascii="Cambria" w:hAnsi="Cambria" w:cs="Cambria"/>
      <w:b/>
      <w:bCs/>
      <w:i/>
      <w:iCs/>
      <w:sz w:val="28"/>
      <w:szCs w:val="28"/>
    </w:rPr>
  </w:style>
  <w:style w:type="paragraph" w:styleId="Heading3">
    <w:name w:val="heading 3"/>
    <w:basedOn w:val="Normal"/>
    <w:next w:val="ParaNum"/>
    <w:link w:val="Heading3Char"/>
    <w:uiPriority w:val="9"/>
    <w:qFormat/>
    <w:rsid w:val="002A1B0B"/>
    <w:pPr>
      <w:keepNext/>
      <w:numPr>
        <w:ilvl w:val="2"/>
        <w:numId w:val="31"/>
      </w:numPr>
      <w:tabs>
        <w:tab w:val="left" w:pos="2160"/>
      </w:tabs>
      <w:spacing w:after="120"/>
      <w:outlineLvl w:val="2"/>
    </w:pPr>
    <w:rPr>
      <w:rFonts w:ascii="Cambria" w:hAnsi="Cambria" w:cs="Cambria"/>
      <w:b/>
      <w:bCs/>
      <w:sz w:val="26"/>
      <w:szCs w:val="26"/>
    </w:rPr>
  </w:style>
  <w:style w:type="paragraph" w:styleId="Heading4">
    <w:name w:val="heading 4"/>
    <w:basedOn w:val="Normal"/>
    <w:next w:val="ParaNum"/>
    <w:link w:val="Heading4Char"/>
    <w:uiPriority w:val="9"/>
    <w:qFormat/>
    <w:rsid w:val="002A1B0B"/>
    <w:pPr>
      <w:keepNext/>
      <w:numPr>
        <w:ilvl w:val="3"/>
        <w:numId w:val="31"/>
      </w:numPr>
      <w:tabs>
        <w:tab w:val="left" w:pos="2880"/>
      </w:tabs>
      <w:spacing w:after="120"/>
      <w:outlineLvl w:val="3"/>
    </w:pPr>
    <w:rPr>
      <w:rFonts w:ascii="Calibri" w:hAnsi="Calibri" w:cs="Calibri"/>
      <w:b/>
      <w:bCs/>
      <w:sz w:val="28"/>
      <w:szCs w:val="28"/>
    </w:rPr>
  </w:style>
  <w:style w:type="paragraph" w:styleId="Heading5">
    <w:name w:val="heading 5"/>
    <w:basedOn w:val="Normal"/>
    <w:next w:val="ParaNum"/>
    <w:link w:val="Heading5Char"/>
    <w:uiPriority w:val="9"/>
    <w:qFormat/>
    <w:rsid w:val="002A1B0B"/>
    <w:pPr>
      <w:keepNext/>
      <w:numPr>
        <w:ilvl w:val="4"/>
        <w:numId w:val="31"/>
      </w:numPr>
      <w:tabs>
        <w:tab w:val="left" w:pos="3600"/>
      </w:tabs>
      <w:suppressAutoHyphens/>
      <w:spacing w:after="120"/>
      <w:outlineLvl w:val="4"/>
    </w:pPr>
    <w:rPr>
      <w:rFonts w:ascii="Calibri" w:hAnsi="Calibri" w:cs="Calibri"/>
      <w:b/>
      <w:bCs/>
      <w:i/>
      <w:iCs/>
      <w:sz w:val="26"/>
      <w:szCs w:val="26"/>
    </w:rPr>
  </w:style>
  <w:style w:type="paragraph" w:styleId="Heading6">
    <w:name w:val="heading 6"/>
    <w:basedOn w:val="Normal"/>
    <w:next w:val="ParaNum"/>
    <w:link w:val="Heading6Char"/>
    <w:uiPriority w:val="9"/>
    <w:qFormat/>
    <w:rsid w:val="002A1B0B"/>
    <w:pPr>
      <w:numPr>
        <w:ilvl w:val="5"/>
        <w:numId w:val="31"/>
      </w:numPr>
      <w:tabs>
        <w:tab w:val="left" w:pos="4320"/>
      </w:tabs>
      <w:spacing w:after="120"/>
      <w:outlineLvl w:val="5"/>
    </w:pPr>
    <w:rPr>
      <w:rFonts w:ascii="Calibri" w:hAnsi="Calibri" w:cs="Calibri"/>
      <w:b/>
      <w:bCs/>
      <w:sz w:val="20"/>
      <w:szCs w:val="20"/>
    </w:rPr>
  </w:style>
  <w:style w:type="paragraph" w:styleId="Heading7">
    <w:name w:val="heading 7"/>
    <w:basedOn w:val="Normal"/>
    <w:next w:val="ParaNum"/>
    <w:link w:val="Heading7Char"/>
    <w:uiPriority w:val="9"/>
    <w:qFormat/>
    <w:rsid w:val="002A1B0B"/>
    <w:pPr>
      <w:numPr>
        <w:ilvl w:val="6"/>
        <w:numId w:val="31"/>
      </w:numPr>
      <w:tabs>
        <w:tab w:val="left" w:pos="5040"/>
      </w:tabs>
      <w:spacing w:after="120"/>
      <w:ind w:left="5040" w:hanging="720"/>
      <w:outlineLvl w:val="6"/>
    </w:pPr>
    <w:rPr>
      <w:rFonts w:ascii="Calibri" w:hAnsi="Calibri" w:cs="Calibri"/>
      <w:sz w:val="24"/>
      <w:szCs w:val="24"/>
    </w:rPr>
  </w:style>
  <w:style w:type="paragraph" w:styleId="Heading8">
    <w:name w:val="heading 8"/>
    <w:basedOn w:val="Normal"/>
    <w:next w:val="ParaNum"/>
    <w:link w:val="Heading8Char"/>
    <w:uiPriority w:val="9"/>
    <w:qFormat/>
    <w:rsid w:val="002A1B0B"/>
    <w:pPr>
      <w:numPr>
        <w:ilvl w:val="7"/>
        <w:numId w:val="31"/>
      </w:numPr>
      <w:tabs>
        <w:tab w:val="left" w:pos="5760"/>
      </w:tabs>
      <w:spacing w:after="120"/>
      <w:ind w:left="5760" w:hanging="720"/>
      <w:outlineLvl w:val="7"/>
    </w:pPr>
    <w:rPr>
      <w:rFonts w:ascii="Calibri" w:hAnsi="Calibri" w:cs="Calibri"/>
      <w:i/>
      <w:iCs/>
      <w:sz w:val="24"/>
      <w:szCs w:val="24"/>
    </w:rPr>
  </w:style>
  <w:style w:type="paragraph" w:styleId="Heading9">
    <w:name w:val="heading 9"/>
    <w:basedOn w:val="Normal"/>
    <w:next w:val="ParaNum"/>
    <w:link w:val="Heading9Char"/>
    <w:uiPriority w:val="9"/>
    <w:qFormat/>
    <w:rsid w:val="002A1B0B"/>
    <w:pPr>
      <w:numPr>
        <w:ilvl w:val="8"/>
        <w:numId w:val="31"/>
      </w:numPr>
      <w:tabs>
        <w:tab w:val="left" w:pos="6480"/>
      </w:tabs>
      <w:spacing w:after="120"/>
      <w:ind w:left="6480" w:hanging="720"/>
      <w:outlineLvl w:val="8"/>
    </w:pPr>
    <w:rPr>
      <w:rFonts w:ascii="Cambria" w:hAnsi="Cambria" w:cs="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1143D"/>
    <w:rPr>
      <w:rFonts w:ascii="Cambria" w:hAnsi="Cambria" w:cs="Times New Roman"/>
      <w:b/>
      <w:kern w:val="32"/>
      <w:sz w:val="32"/>
    </w:rPr>
  </w:style>
  <w:style w:type="character" w:customStyle="1" w:styleId="Heading2Char">
    <w:name w:val="Heading 2 Char"/>
    <w:link w:val="Heading2"/>
    <w:uiPriority w:val="9"/>
    <w:locked/>
    <w:rsid w:val="00E1143D"/>
    <w:rPr>
      <w:rFonts w:ascii="Cambria" w:hAnsi="Cambria" w:cs="Times New Roman"/>
      <w:b/>
      <w:i/>
      <w:kern w:val="28"/>
      <w:sz w:val="28"/>
    </w:rPr>
  </w:style>
  <w:style w:type="character" w:customStyle="1" w:styleId="Heading3Char">
    <w:name w:val="Heading 3 Char"/>
    <w:link w:val="Heading3"/>
    <w:uiPriority w:val="9"/>
    <w:locked/>
    <w:rsid w:val="00E1143D"/>
    <w:rPr>
      <w:rFonts w:ascii="Cambria" w:hAnsi="Cambria" w:cs="Times New Roman"/>
      <w:b/>
      <w:kern w:val="28"/>
      <w:sz w:val="26"/>
    </w:rPr>
  </w:style>
  <w:style w:type="character" w:customStyle="1" w:styleId="Heading4Char">
    <w:name w:val="Heading 4 Char"/>
    <w:link w:val="Heading4"/>
    <w:uiPriority w:val="9"/>
    <w:locked/>
    <w:rsid w:val="00E1143D"/>
    <w:rPr>
      <w:rFonts w:ascii="Calibri" w:hAnsi="Calibri" w:cs="Times New Roman"/>
      <w:b/>
      <w:kern w:val="28"/>
      <w:sz w:val="28"/>
    </w:rPr>
  </w:style>
  <w:style w:type="character" w:customStyle="1" w:styleId="Heading5Char">
    <w:name w:val="Heading 5 Char"/>
    <w:link w:val="Heading5"/>
    <w:uiPriority w:val="9"/>
    <w:locked/>
    <w:rsid w:val="00E1143D"/>
    <w:rPr>
      <w:rFonts w:ascii="Calibri" w:hAnsi="Calibri" w:cs="Times New Roman"/>
      <w:b/>
      <w:i/>
      <w:kern w:val="28"/>
      <w:sz w:val="26"/>
    </w:rPr>
  </w:style>
  <w:style w:type="character" w:customStyle="1" w:styleId="Heading6Char">
    <w:name w:val="Heading 6 Char"/>
    <w:link w:val="Heading6"/>
    <w:uiPriority w:val="9"/>
    <w:locked/>
    <w:rsid w:val="00E1143D"/>
    <w:rPr>
      <w:rFonts w:ascii="Calibri" w:hAnsi="Calibri" w:cs="Times New Roman"/>
      <w:b/>
      <w:kern w:val="28"/>
      <w:sz w:val="20"/>
    </w:rPr>
  </w:style>
  <w:style w:type="character" w:customStyle="1" w:styleId="Heading7Char">
    <w:name w:val="Heading 7 Char"/>
    <w:link w:val="Heading7"/>
    <w:uiPriority w:val="9"/>
    <w:locked/>
    <w:rsid w:val="00E1143D"/>
    <w:rPr>
      <w:rFonts w:ascii="Calibri" w:hAnsi="Calibri" w:cs="Times New Roman"/>
      <w:kern w:val="28"/>
      <w:sz w:val="24"/>
    </w:rPr>
  </w:style>
  <w:style w:type="character" w:customStyle="1" w:styleId="Heading8Char">
    <w:name w:val="Heading 8 Char"/>
    <w:link w:val="Heading8"/>
    <w:uiPriority w:val="9"/>
    <w:locked/>
    <w:rsid w:val="00E1143D"/>
    <w:rPr>
      <w:rFonts w:ascii="Calibri" w:hAnsi="Calibri" w:cs="Times New Roman"/>
      <w:i/>
      <w:kern w:val="28"/>
      <w:sz w:val="24"/>
    </w:rPr>
  </w:style>
  <w:style w:type="character" w:customStyle="1" w:styleId="Heading9Char">
    <w:name w:val="Heading 9 Char"/>
    <w:link w:val="Heading9"/>
    <w:uiPriority w:val="9"/>
    <w:locked/>
    <w:rsid w:val="00E1143D"/>
    <w:rPr>
      <w:rFonts w:ascii="Cambria" w:hAnsi="Cambria" w:cs="Times New Roman"/>
      <w:kern w:val="28"/>
      <w:sz w:val="20"/>
    </w:rPr>
  </w:style>
  <w:style w:type="paragraph" w:styleId="Caption">
    <w:name w:val="caption"/>
    <w:basedOn w:val="Normal"/>
    <w:next w:val="Normal"/>
    <w:uiPriority w:val="35"/>
    <w:qFormat/>
    <w:rsid w:val="00D50B4D"/>
    <w:pPr>
      <w:spacing w:before="120" w:after="120"/>
    </w:pPr>
    <w:rPr>
      <w:b/>
      <w:bCs/>
    </w:rPr>
  </w:style>
  <w:style w:type="paragraph" w:customStyle="1" w:styleId="ParaNum">
    <w:name w:val="ParaNum"/>
    <w:basedOn w:val="Normal"/>
    <w:rsid w:val="003E1A54"/>
    <w:pPr>
      <w:numPr>
        <w:numId w:val="29"/>
      </w:numPr>
      <w:spacing w:after="120"/>
    </w:p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
    <w:basedOn w:val="Normal"/>
    <w:link w:val="FootnoteTextChar3"/>
    <w:uiPriority w:val="99"/>
    <w:rsid w:val="003E1A54"/>
    <w:pPr>
      <w:widowControl/>
      <w:spacing w:after="120"/>
    </w:pPr>
    <w:rPr>
      <w:kern w:val="0"/>
      <w:sz w:val="20"/>
      <w:szCs w:val="20"/>
    </w:rPr>
  </w:style>
  <w:style w:type="paragraph" w:styleId="BalloonText">
    <w:name w:val="Balloon Text"/>
    <w:basedOn w:val="Normal"/>
    <w:link w:val="BalloonTextChar"/>
    <w:uiPriority w:val="99"/>
    <w:rsid w:val="002A1B0B"/>
    <w:rPr>
      <w:sz w:val="24"/>
      <w:szCs w:val="24"/>
    </w:rPr>
  </w:style>
  <w:style w:type="paragraph" w:styleId="DocumentMap">
    <w:name w:val="Document Map"/>
    <w:basedOn w:val="Normal"/>
    <w:link w:val="DocumentMapChar"/>
    <w:uiPriority w:val="99"/>
    <w:semiHidden/>
    <w:rsid w:val="002A1B0B"/>
    <w:pPr>
      <w:shd w:val="clear" w:color="auto" w:fill="000080"/>
    </w:pPr>
    <w:rPr>
      <w:sz w:val="2"/>
      <w:szCs w:val="2"/>
    </w:rPr>
  </w:style>
  <w:style w:type="character" w:customStyle="1" w:styleId="DocumentMapChar">
    <w:name w:val="Document Map Char"/>
    <w:link w:val="DocumentMap"/>
    <w:uiPriority w:val="99"/>
    <w:semiHidden/>
    <w:locked/>
    <w:rsid w:val="00E1143D"/>
    <w:rPr>
      <w:rFonts w:cs="Times New Roman"/>
      <w:kern w:val="28"/>
      <w:sz w:val="2"/>
      <w:shd w:val="clear" w:color="auto" w:fill="000080"/>
    </w:rPr>
  </w:style>
  <w:style w:type="character" w:customStyle="1" w:styleId="FootnoteTextChar">
    <w:name w:val="Footnote Text Char"/>
    <w:aliases w:val="Footnote Text Char Char Char Char,Footnote Text Char Char Char Char Char Char Char,Footnote Text Char1 Char Char Char Char,Footnote Text Char1 Char3 Char,Footnote Text Char2 Char,Footnote Text Char2 Char Char Char Char Char,f Char"/>
    <w:locked/>
    <w:rsid w:val="002A1B0B"/>
    <w:rPr>
      <w:kern w:val="28"/>
      <w:sz w:val="20"/>
    </w:rPr>
  </w:style>
  <w:style w:type="paragraph" w:customStyle="1" w:styleId="Bullet">
    <w:name w:val="Bullet"/>
    <w:basedOn w:val="Normal"/>
    <w:rsid w:val="003E1A54"/>
    <w:pPr>
      <w:tabs>
        <w:tab w:val="left" w:pos="2160"/>
      </w:tabs>
      <w:spacing w:after="220"/>
      <w:ind w:left="2160" w:hanging="720"/>
    </w:pPr>
  </w:style>
  <w:style w:type="paragraph" w:styleId="BlockText">
    <w:name w:val="Block Text"/>
    <w:basedOn w:val="Normal"/>
    <w:uiPriority w:val="99"/>
    <w:rsid w:val="003E1A54"/>
    <w:pPr>
      <w:spacing w:after="240"/>
      <w:ind w:left="1440" w:right="1440"/>
    </w:pPr>
  </w:style>
  <w:style w:type="paragraph" w:customStyle="1" w:styleId="TableFormat">
    <w:name w:val="TableFormat"/>
    <w:basedOn w:val="Bullet"/>
    <w:rsid w:val="003E1A54"/>
    <w:pPr>
      <w:tabs>
        <w:tab w:val="clear" w:pos="2160"/>
        <w:tab w:val="left" w:pos="5040"/>
      </w:tabs>
      <w:ind w:left="5040" w:hanging="3600"/>
    </w:pPr>
  </w:style>
  <w:style w:type="character" w:styleId="FootnoteReference">
    <w:name w:val="footnote reference"/>
    <w:aliases w:val="(NECG) Footnote Reference,Appel note de bas de p,FR,Footnote Reference/,Style 12,Style 124,Style 13,Style 17,Style 3,Style 6,fr,o"/>
    <w:uiPriority w:val="99"/>
    <w:rsid w:val="00D50B4D"/>
    <w:rPr>
      <w:rFonts w:cs="Times New Roman"/>
      <w:vertAlign w:val="superscript"/>
    </w:rPr>
  </w:style>
  <w:style w:type="paragraph" w:styleId="Header">
    <w:name w:val="header"/>
    <w:basedOn w:val="Normal"/>
    <w:link w:val="HeaderChar"/>
    <w:autoRedefine/>
    <w:uiPriority w:val="99"/>
    <w:rsid w:val="0090465F"/>
    <w:pPr>
      <w:widowControl/>
      <w:tabs>
        <w:tab w:val="center" w:pos="4680"/>
        <w:tab w:val="right" w:pos="9360"/>
      </w:tabs>
      <w:jc w:val="center"/>
    </w:pPr>
    <w:rPr>
      <w:b/>
    </w:rPr>
  </w:style>
  <w:style w:type="character" w:customStyle="1" w:styleId="HeaderChar">
    <w:name w:val="Header Char"/>
    <w:link w:val="Header"/>
    <w:uiPriority w:val="99"/>
    <w:locked/>
    <w:rsid w:val="0090465F"/>
    <w:rPr>
      <w:rFonts w:cs="Times New Roman"/>
      <w:b/>
      <w:kern w:val="28"/>
      <w:sz w:val="22"/>
      <w:szCs w:val="22"/>
    </w:rPr>
  </w:style>
  <w:style w:type="paragraph" w:styleId="Footer">
    <w:name w:val="footer"/>
    <w:basedOn w:val="Normal"/>
    <w:link w:val="FooterChar"/>
    <w:uiPriority w:val="99"/>
    <w:rsid w:val="002A1B0B"/>
    <w:pPr>
      <w:tabs>
        <w:tab w:val="center" w:pos="4320"/>
        <w:tab w:val="right" w:pos="8640"/>
      </w:tabs>
    </w:pPr>
    <w:rPr>
      <w:sz w:val="20"/>
      <w:szCs w:val="20"/>
    </w:rPr>
  </w:style>
  <w:style w:type="character" w:customStyle="1" w:styleId="FooterChar">
    <w:name w:val="Footer Char"/>
    <w:link w:val="Footer"/>
    <w:uiPriority w:val="99"/>
    <w:locked/>
    <w:rsid w:val="00E1143D"/>
    <w:rPr>
      <w:rFonts w:cs="Times New Roman"/>
      <w:kern w:val="28"/>
      <w:sz w:val="20"/>
    </w:rPr>
  </w:style>
  <w:style w:type="paragraph" w:styleId="TOC2">
    <w:name w:val="toc 2"/>
    <w:basedOn w:val="Normal"/>
    <w:next w:val="Normal"/>
    <w:autoRedefine/>
    <w:uiPriority w:val="39"/>
    <w:semiHidden/>
    <w:rsid w:val="002A1B0B"/>
    <w:pPr>
      <w:tabs>
        <w:tab w:val="left" w:pos="720"/>
        <w:tab w:val="right" w:leader="dot" w:pos="9360"/>
      </w:tabs>
      <w:suppressAutoHyphens/>
      <w:ind w:left="720" w:right="720" w:hanging="360"/>
    </w:pPr>
    <w:rPr>
      <w:noProof/>
    </w:rPr>
  </w:style>
  <w:style w:type="paragraph" w:customStyle="1" w:styleId="NumberedList">
    <w:name w:val="Numbered List"/>
    <w:basedOn w:val="Normal"/>
    <w:rsid w:val="00D50B4D"/>
    <w:pPr>
      <w:numPr>
        <w:numId w:val="21"/>
      </w:numPr>
      <w:spacing w:after="220"/>
    </w:pPr>
  </w:style>
  <w:style w:type="paragraph" w:styleId="TOC1">
    <w:name w:val="toc 1"/>
    <w:basedOn w:val="Normal"/>
    <w:next w:val="Normal"/>
    <w:autoRedefine/>
    <w:uiPriority w:val="39"/>
    <w:semiHidden/>
    <w:rsid w:val="002A1B0B"/>
    <w:pPr>
      <w:tabs>
        <w:tab w:val="left" w:pos="360"/>
        <w:tab w:val="right" w:leader="dot" w:pos="9360"/>
      </w:tabs>
      <w:suppressAutoHyphens/>
      <w:ind w:left="360" w:right="720" w:hanging="360"/>
    </w:pPr>
    <w:rPr>
      <w:caps/>
      <w:noProof/>
    </w:rPr>
  </w:style>
  <w:style w:type="paragraph" w:styleId="TOC3">
    <w:name w:val="toc 3"/>
    <w:basedOn w:val="Normal"/>
    <w:next w:val="Normal"/>
    <w:autoRedefine/>
    <w:uiPriority w:val="39"/>
    <w:semiHidden/>
    <w:rsid w:val="002A1B0B"/>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rsid w:val="003E1A54"/>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rsid w:val="003E1A54"/>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rsid w:val="003E1A54"/>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rsid w:val="003E1A54"/>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rsid w:val="003E1A54"/>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rsid w:val="003E1A54"/>
    <w:pPr>
      <w:tabs>
        <w:tab w:val="left" w:pos="3240"/>
        <w:tab w:val="right" w:leader="dot" w:pos="9360"/>
      </w:tabs>
      <w:suppressAutoHyphens/>
      <w:ind w:left="3240" w:hanging="360"/>
    </w:pPr>
    <w:rPr>
      <w:noProof/>
    </w:rPr>
  </w:style>
  <w:style w:type="character" w:styleId="PageNumber">
    <w:name w:val="page number"/>
    <w:uiPriority w:val="99"/>
    <w:rsid w:val="00D50B4D"/>
    <w:rPr>
      <w:rFonts w:cs="Times New Roman"/>
    </w:rPr>
  </w:style>
  <w:style w:type="paragraph" w:styleId="Title">
    <w:name w:val="Title"/>
    <w:basedOn w:val="Normal"/>
    <w:link w:val="TitleChar"/>
    <w:uiPriority w:val="10"/>
    <w:qFormat/>
    <w:rsid w:val="002A1B0B"/>
    <w:pPr>
      <w:jc w:val="center"/>
    </w:pPr>
    <w:rPr>
      <w:rFonts w:ascii="Cambria" w:hAnsi="Cambria" w:cs="Cambria"/>
      <w:b/>
      <w:bCs/>
      <w:sz w:val="32"/>
      <w:szCs w:val="32"/>
    </w:rPr>
  </w:style>
  <w:style w:type="character" w:customStyle="1" w:styleId="TitleChar">
    <w:name w:val="Title Char"/>
    <w:link w:val="Title"/>
    <w:uiPriority w:val="10"/>
    <w:locked/>
    <w:rsid w:val="00E1143D"/>
    <w:rPr>
      <w:rFonts w:ascii="Cambria" w:hAnsi="Cambria" w:cs="Times New Roman"/>
      <w:b/>
      <w:kern w:val="28"/>
      <w:sz w:val="32"/>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link w:val="FootnoteText"/>
    <w:uiPriority w:val="99"/>
    <w:locked/>
    <w:rsid w:val="00E87AF6"/>
    <w:rPr>
      <w:lang w:val="en-US" w:eastAsia="en-US"/>
    </w:rPr>
  </w:style>
  <w:style w:type="character" w:customStyle="1" w:styleId="BalloonTextChar">
    <w:name w:val="Balloon Text Char"/>
    <w:link w:val="BalloonText"/>
    <w:uiPriority w:val="99"/>
    <w:locked/>
    <w:rsid w:val="00823B91"/>
    <w:rPr>
      <w:rFonts w:cs="Times New Roman"/>
      <w:kern w:val="28"/>
      <w:sz w:val="24"/>
    </w:rPr>
  </w:style>
  <w:style w:type="character" w:customStyle="1" w:styleId="ALTSFOOTNOTEChar2">
    <w:name w:val="ALTS FOOTNOTE Char2"/>
    <w:aliases w:val="Footnote Text Char Char2 Char Char Char2,Footnote Text Char1 Char,Footnote Text Char1 Char Char Char2,Footnote Text Char2 Char Char2,Footnote Text Char4 Char Char Char Char Char2,f Char1,fn Ch Char,fn Ch Char Char,fn Char2"/>
    <w:semiHidden/>
    <w:locked/>
    <w:rsid w:val="00AC4E91"/>
    <w:rPr>
      <w:sz w:val="20"/>
    </w:rPr>
  </w:style>
  <w:style w:type="character" w:customStyle="1" w:styleId="ALTSFOOTNOTEChar">
    <w:name w:val="ALTS FOOTNOTE Char"/>
    <w:aliases w:val="Footnote Text Char Char Char Char Char,Footnote Text Char Char2 Char Char Char,Footnote Text Char2 Char Char,Footnote Text Char2 Char1 Char Char Char Char Char,Footnote Text Char4 Char Char Char Char Char,fn Char"/>
    <w:locked/>
    <w:rsid w:val="00AC4E91"/>
    <w:rPr>
      <w:sz w:val="22"/>
      <w:lang w:val="en-US" w:eastAsia="en-US"/>
    </w:rPr>
  </w:style>
  <w:style w:type="character" w:styleId="CommentReference">
    <w:name w:val="annotation reference"/>
    <w:uiPriority w:val="99"/>
    <w:rsid w:val="00D925D5"/>
    <w:rPr>
      <w:rFonts w:cs="Times New Roman"/>
      <w:sz w:val="16"/>
    </w:rPr>
  </w:style>
  <w:style w:type="paragraph" w:styleId="CommentText">
    <w:name w:val="annotation text"/>
    <w:basedOn w:val="Normal"/>
    <w:link w:val="CommentTextChar"/>
    <w:autoRedefine/>
    <w:uiPriority w:val="99"/>
    <w:rsid w:val="003C4FC9"/>
    <w:rPr>
      <w:shd w:val="clear" w:color="auto" w:fill="FFFFFF"/>
    </w:rPr>
  </w:style>
  <w:style w:type="character" w:customStyle="1" w:styleId="CommentTextChar">
    <w:name w:val="Comment Text Char"/>
    <w:link w:val="CommentText"/>
    <w:uiPriority w:val="99"/>
    <w:locked/>
    <w:rsid w:val="003C4FC9"/>
    <w:rPr>
      <w:rFonts w:cs="Times New Roman"/>
      <w:kern w:val="28"/>
      <w:sz w:val="22"/>
      <w:szCs w:val="22"/>
    </w:rPr>
  </w:style>
  <w:style w:type="paragraph" w:styleId="CommentSubject">
    <w:name w:val="annotation subject"/>
    <w:basedOn w:val="CommentText"/>
    <w:next w:val="CommentText"/>
    <w:link w:val="CommentSubjectChar"/>
    <w:uiPriority w:val="99"/>
    <w:rsid w:val="002A1B0B"/>
    <w:rPr>
      <w:b/>
      <w:bCs/>
      <w:kern w:val="0"/>
    </w:rPr>
  </w:style>
  <w:style w:type="character" w:customStyle="1" w:styleId="CommentSubjectChar">
    <w:name w:val="Comment Subject Char"/>
    <w:link w:val="CommentSubject"/>
    <w:uiPriority w:val="99"/>
    <w:locked/>
    <w:rsid w:val="00F57C1A"/>
    <w:rPr>
      <w:rFonts w:cs="Times New Roman"/>
      <w:b/>
      <w:kern w:val="28"/>
      <w:sz w:val="22"/>
      <w:szCs w:val="22"/>
    </w:rPr>
  </w:style>
  <w:style w:type="character" w:styleId="Hyperlink">
    <w:name w:val="Hyperlink"/>
    <w:uiPriority w:val="99"/>
    <w:rsid w:val="006A438D"/>
    <w:rPr>
      <w:rFonts w:cs="Times New Roman"/>
      <w:color w:val="0000FF"/>
      <w:u w:val="single"/>
    </w:rPr>
  </w:style>
  <w:style w:type="character" w:customStyle="1" w:styleId="documentbody">
    <w:name w:val="documentbody"/>
    <w:rsid w:val="00A97676"/>
  </w:style>
  <w:style w:type="paragraph" w:customStyle="1" w:styleId="ColorfulShading-Accent11">
    <w:name w:val="Colorful Shading - Accent 11"/>
    <w:hidden/>
    <w:uiPriority w:val="99"/>
    <w:semiHidden/>
    <w:rsid w:val="00962757"/>
    <w:rPr>
      <w:sz w:val="22"/>
      <w:szCs w:val="22"/>
    </w:rPr>
  </w:style>
  <w:style w:type="paragraph" w:styleId="EndnoteText">
    <w:name w:val="endnote text"/>
    <w:basedOn w:val="Normal"/>
    <w:link w:val="EndnoteTextChar"/>
    <w:uiPriority w:val="99"/>
    <w:rsid w:val="003E1A54"/>
    <w:rPr>
      <w:sz w:val="20"/>
      <w:szCs w:val="20"/>
    </w:rPr>
  </w:style>
  <w:style w:type="character" w:customStyle="1" w:styleId="EndnoteTextChar">
    <w:name w:val="Endnote Text Char"/>
    <w:link w:val="EndnoteText"/>
    <w:uiPriority w:val="99"/>
    <w:locked/>
    <w:rsid w:val="0011252B"/>
    <w:rPr>
      <w:rFonts w:cs="Times New Roman"/>
      <w:kern w:val="28"/>
    </w:rPr>
  </w:style>
  <w:style w:type="character" w:customStyle="1" w:styleId="displayhltext">
    <w:name w:val="display_hl_text"/>
    <w:rsid w:val="00794562"/>
    <w:rPr>
      <w:rFonts w:cs="Times New Roman"/>
    </w:rPr>
  </w:style>
  <w:style w:type="character" w:styleId="EndnoteReference">
    <w:name w:val="endnote reference"/>
    <w:uiPriority w:val="99"/>
    <w:rsid w:val="00721B94"/>
    <w:rPr>
      <w:rFonts w:cs="Times New Roman"/>
      <w:vertAlign w:val="superscript"/>
    </w:rPr>
  </w:style>
  <w:style w:type="paragraph" w:styleId="TOAHeading">
    <w:name w:val="toa heading"/>
    <w:basedOn w:val="Normal"/>
    <w:next w:val="Normal"/>
    <w:uiPriority w:val="99"/>
    <w:rsid w:val="00721B94"/>
    <w:pPr>
      <w:tabs>
        <w:tab w:val="right" w:pos="9360"/>
      </w:tabs>
      <w:suppressAutoHyphens/>
    </w:pPr>
  </w:style>
  <w:style w:type="character" w:customStyle="1" w:styleId="EquationCaption">
    <w:name w:val="_Equation Caption"/>
    <w:rsid w:val="00721B94"/>
  </w:style>
  <w:style w:type="paragraph" w:customStyle="1" w:styleId="Paratitle">
    <w:name w:val="Para title"/>
    <w:basedOn w:val="Normal"/>
    <w:rsid w:val="00721B94"/>
    <w:pPr>
      <w:tabs>
        <w:tab w:val="center" w:pos="9270"/>
      </w:tabs>
      <w:spacing w:after="240"/>
    </w:pPr>
    <w:rPr>
      <w:spacing w:val="-2"/>
    </w:rPr>
  </w:style>
  <w:style w:type="paragraph" w:customStyle="1" w:styleId="TOCTitle">
    <w:name w:val="TOC Title"/>
    <w:basedOn w:val="Normal"/>
    <w:rsid w:val="00721B94"/>
    <w:pPr>
      <w:spacing w:before="240" w:after="240"/>
      <w:jc w:val="center"/>
    </w:pPr>
    <w:rPr>
      <w:rFonts w:ascii="Times New Roman Bold" w:hAnsi="Times New Roman Bold" w:cs="Times New Roman Bold"/>
      <w:b/>
      <w:bCs/>
      <w:caps/>
      <w:spacing w:val="-2"/>
    </w:rPr>
  </w:style>
  <w:style w:type="paragraph" w:customStyle="1" w:styleId="StyleBoldCentered">
    <w:name w:val="Style Bold Centered"/>
    <w:basedOn w:val="Normal"/>
    <w:rsid w:val="00721B94"/>
    <w:pPr>
      <w:jc w:val="center"/>
    </w:pPr>
    <w:rPr>
      <w:rFonts w:ascii="Times New Roman Bold" w:hAnsi="Times New Roman Bold" w:cs="Times New Roman Bold"/>
      <w:b/>
      <w:bCs/>
      <w:caps/>
    </w:rPr>
  </w:style>
  <w:style w:type="paragraph" w:styleId="Revision">
    <w:name w:val="Revision"/>
    <w:hidden/>
    <w:uiPriority w:val="99"/>
    <w:semiHidden/>
    <w:rsid w:val="00134FC3"/>
    <w:rPr>
      <w:kern w:val="28"/>
      <w:sz w:val="22"/>
      <w:szCs w:val="22"/>
    </w:rPr>
  </w:style>
  <w:style w:type="character" w:customStyle="1" w:styleId="costarpage2">
    <w:name w:val="co_starpage2"/>
    <w:rsid w:val="00B33497"/>
    <w:rPr>
      <w:rFonts w:cs="Times New Roman"/>
    </w:rPr>
  </w:style>
  <w:style w:type="character" w:styleId="FollowedHyperlink">
    <w:name w:val="FollowedHyperlink"/>
    <w:uiPriority w:val="99"/>
    <w:semiHidden/>
    <w:rsid w:val="00643A4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