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A712A1" w:rsidP="00013A8B" w14:paraId="3383FB1D" w14:textId="6F3D038D">
      <w:pPr>
        <w:jc w:val="right"/>
        <w:rPr>
          <w:b/>
          <w:szCs w:val="22"/>
        </w:rPr>
      </w:pPr>
      <w:bookmarkStart w:id="0" w:name="_GoBack"/>
      <w:bookmarkEnd w:id="0"/>
      <w:r>
        <w:rPr>
          <w:b/>
          <w:szCs w:val="22"/>
        </w:rPr>
        <w:t xml:space="preserve">DA </w:t>
      </w:r>
      <w:r w:rsidR="00007D47">
        <w:rPr>
          <w:b/>
          <w:szCs w:val="22"/>
        </w:rPr>
        <w:t>19</w:t>
      </w:r>
      <w:r>
        <w:rPr>
          <w:b/>
          <w:szCs w:val="22"/>
        </w:rPr>
        <w:t>-</w:t>
      </w:r>
      <w:r w:rsidR="00FE7364">
        <w:rPr>
          <w:b/>
          <w:szCs w:val="22"/>
        </w:rPr>
        <w:t>124</w:t>
      </w:r>
    </w:p>
    <w:p w:rsidR="00013A8B" w:rsidRPr="00A712A1" w:rsidP="00013A8B" w14:paraId="69454C78" w14:textId="0FA9DFC9">
      <w:pPr>
        <w:spacing w:before="60"/>
        <w:jc w:val="right"/>
        <w:rPr>
          <w:b/>
          <w:szCs w:val="22"/>
        </w:rPr>
      </w:pPr>
      <w:r>
        <w:rPr>
          <w:b/>
          <w:szCs w:val="22"/>
        </w:rPr>
        <w:t xml:space="preserve">February </w:t>
      </w:r>
      <w:r w:rsidR="001A40FE">
        <w:rPr>
          <w:b/>
          <w:szCs w:val="22"/>
        </w:rPr>
        <w:t>2</w:t>
      </w:r>
      <w:r w:rsidR="00A869A0">
        <w:rPr>
          <w:b/>
          <w:szCs w:val="22"/>
        </w:rPr>
        <w:t>6</w:t>
      </w:r>
      <w:r w:rsidR="00D924C7">
        <w:rPr>
          <w:b/>
          <w:szCs w:val="22"/>
        </w:rPr>
        <w:t xml:space="preserve">, </w:t>
      </w:r>
      <w:r>
        <w:rPr>
          <w:b/>
          <w:szCs w:val="22"/>
        </w:rPr>
        <w:t>2019</w:t>
      </w:r>
    </w:p>
    <w:p w:rsidR="00013A8B" w:rsidP="00013A8B" w14:paraId="229375A2" w14:textId="0D2CF087">
      <w:pPr>
        <w:jc w:val="right"/>
        <w:rPr>
          <w:szCs w:val="22"/>
        </w:rPr>
      </w:pPr>
    </w:p>
    <w:p w:rsidR="003411A8" w:rsidRPr="00A712A1" w:rsidP="00013A8B" w14:paraId="10141E4C" w14:textId="77777777">
      <w:pPr>
        <w:jc w:val="right"/>
        <w:rPr>
          <w:szCs w:val="22"/>
        </w:rPr>
      </w:pPr>
    </w:p>
    <w:p w:rsidR="001E7E09" w:rsidRPr="004E5E76" w:rsidP="001E7E09" w14:paraId="0E1479C2" w14:textId="2B5FD3B6">
      <w:pPr>
        <w:jc w:val="center"/>
        <w:rPr>
          <w:b/>
          <w:bCs/>
          <w:szCs w:val="22"/>
        </w:rPr>
      </w:pPr>
      <w:r w:rsidRPr="000561C6">
        <w:rPr>
          <w:rFonts w:ascii="Times New Roman Bold" w:hAnsi="Times New Roman Bold"/>
          <w:b/>
          <w:bCs/>
          <w:caps/>
          <w:szCs w:val="22"/>
        </w:rPr>
        <w:t>Final Notice of Intent to Declare the International Section 214 Authorization</w:t>
      </w:r>
      <w:r w:rsidR="000A1BAD">
        <w:rPr>
          <w:rFonts w:ascii="Times New Roman Bold" w:hAnsi="Times New Roman Bold"/>
          <w:b/>
          <w:bCs/>
          <w:caps/>
          <w:szCs w:val="22"/>
        </w:rPr>
        <w:t>s</w:t>
      </w:r>
      <w:r w:rsidRPr="000561C6">
        <w:rPr>
          <w:rFonts w:ascii="Times New Roman Bold" w:hAnsi="Times New Roman Bold"/>
          <w:b/>
          <w:bCs/>
          <w:caps/>
          <w:szCs w:val="22"/>
        </w:rPr>
        <w:t xml:space="preserve"> of </w:t>
      </w:r>
      <w:r w:rsidR="000A1BAD">
        <w:rPr>
          <w:rFonts w:ascii="Times New Roman Bold" w:hAnsi="Times New Roman Bold"/>
          <w:b/>
          <w:bCs/>
          <w:caps/>
          <w:szCs w:val="22"/>
        </w:rPr>
        <w:t>Starvox communications, inc. and capital telecommunications</w:t>
      </w:r>
      <w:r w:rsidRPr="000561C6">
        <w:rPr>
          <w:rFonts w:ascii="Times New Roman Bold" w:hAnsi="Times New Roman Bold"/>
          <w:b/>
          <w:bCs/>
          <w:caps/>
          <w:szCs w:val="22"/>
        </w:rPr>
        <w:t>, Inc.</w:t>
      </w:r>
      <w:r>
        <w:rPr>
          <w:rFonts w:ascii="Times New Roman Bold" w:hAnsi="Times New Roman Bold"/>
          <w:b/>
          <w:bCs/>
          <w:caps/>
          <w:szCs w:val="22"/>
        </w:rPr>
        <w:t xml:space="preserve"> TERMINATED</w:t>
      </w:r>
    </w:p>
    <w:p w:rsidR="001E7E09" w:rsidRPr="004E5E76" w:rsidP="001E7E09" w14:paraId="428FB9E7" w14:textId="77777777">
      <w:pPr>
        <w:jc w:val="center"/>
        <w:rPr>
          <w:b/>
          <w:snapToGrid/>
          <w:kern w:val="0"/>
          <w:szCs w:val="22"/>
        </w:rPr>
      </w:pPr>
    </w:p>
    <w:p w:rsidR="001E7E09" w:rsidRPr="004E5E76" w:rsidP="001E7E09" w14:paraId="1EDBB620" w14:textId="67C3DACD">
      <w:pPr>
        <w:spacing w:after="240"/>
        <w:jc w:val="center"/>
        <w:rPr>
          <w:b/>
          <w:szCs w:val="22"/>
        </w:rPr>
      </w:pPr>
      <w:r w:rsidRPr="004E5E76">
        <w:rPr>
          <w:b/>
          <w:bCs/>
          <w:szCs w:val="22"/>
        </w:rPr>
        <w:t>File No</w:t>
      </w:r>
      <w:r w:rsidR="000A1BAD">
        <w:rPr>
          <w:b/>
          <w:bCs/>
          <w:szCs w:val="22"/>
        </w:rPr>
        <w:t>s</w:t>
      </w:r>
      <w:r w:rsidRPr="004E5E76">
        <w:rPr>
          <w:b/>
          <w:bCs/>
          <w:szCs w:val="22"/>
        </w:rPr>
        <w:t>. ITC-214-</w:t>
      </w:r>
      <w:r w:rsidR="000A1BAD">
        <w:rPr>
          <w:b/>
          <w:bCs/>
          <w:szCs w:val="22"/>
        </w:rPr>
        <w:t>19920520</w:t>
      </w:r>
      <w:r w:rsidRPr="004E5E76">
        <w:rPr>
          <w:b/>
          <w:bCs/>
          <w:szCs w:val="22"/>
        </w:rPr>
        <w:t>-</w:t>
      </w:r>
      <w:r w:rsidRPr="004E5E76" w:rsidR="000A1BAD">
        <w:rPr>
          <w:b/>
          <w:bCs/>
          <w:szCs w:val="22"/>
        </w:rPr>
        <w:t>00</w:t>
      </w:r>
      <w:r w:rsidR="000A1BAD">
        <w:rPr>
          <w:b/>
          <w:bCs/>
          <w:szCs w:val="22"/>
        </w:rPr>
        <w:t>115 &amp; ITC-214-20050407-00146</w:t>
      </w:r>
    </w:p>
    <w:p w:rsidR="001E7E09" w:rsidP="001E7E09" w14:paraId="6DE6AFFB" w14:textId="7132E689">
      <w:pPr>
        <w:ind w:firstLine="720"/>
        <w:rPr>
          <w:szCs w:val="22"/>
        </w:rPr>
      </w:pPr>
      <w:r w:rsidRPr="004E5E76">
        <w:rPr>
          <w:szCs w:val="22"/>
        </w:rPr>
        <w:t xml:space="preserve">By this Public Notice, the International Bureau (Bureau) affords </w:t>
      </w:r>
      <w:r w:rsidR="000A1BAD">
        <w:rPr>
          <w:szCs w:val="22"/>
        </w:rPr>
        <w:t>StarVox Communications, Inc. (StarVox) and Capital Telecommunications, Inc.</w:t>
      </w:r>
      <w:r w:rsidRPr="004E5E76">
        <w:rPr>
          <w:szCs w:val="22"/>
        </w:rPr>
        <w:t xml:space="preserve"> (</w:t>
      </w:r>
      <w:r w:rsidR="000A1BAD">
        <w:rPr>
          <w:szCs w:val="22"/>
        </w:rPr>
        <w:t>CTI</w:t>
      </w:r>
      <w:r w:rsidRPr="004E5E76">
        <w:rPr>
          <w:szCs w:val="22"/>
        </w:rPr>
        <w:t xml:space="preserve">) final notice and opportunity to respond to the </w:t>
      </w:r>
      <w:r>
        <w:rPr>
          <w:szCs w:val="22"/>
        </w:rPr>
        <w:t>July</w:t>
      </w:r>
      <w:r w:rsidRPr="004E5E76">
        <w:rPr>
          <w:szCs w:val="22"/>
        </w:rPr>
        <w:t xml:space="preserve"> </w:t>
      </w:r>
      <w:r w:rsidR="000A1BAD">
        <w:rPr>
          <w:szCs w:val="22"/>
        </w:rPr>
        <w:t>23</w:t>
      </w:r>
      <w:r w:rsidRPr="004E5E76">
        <w:rPr>
          <w:szCs w:val="22"/>
        </w:rPr>
        <w:t>, 201</w:t>
      </w:r>
      <w:r>
        <w:rPr>
          <w:szCs w:val="22"/>
        </w:rPr>
        <w:t>8</w:t>
      </w:r>
      <w:r w:rsidRPr="004E5E76">
        <w:rPr>
          <w:szCs w:val="22"/>
        </w:rPr>
        <w:t xml:space="preserve"> letter submitted by the </w:t>
      </w:r>
      <w:r w:rsidR="000A1BAD">
        <w:rPr>
          <w:szCs w:val="22"/>
        </w:rPr>
        <w:t>Department of Homeland Security (DHS)</w:t>
      </w:r>
      <w:r>
        <w:rPr>
          <w:szCs w:val="22"/>
        </w:rPr>
        <w:t xml:space="preserve">, with the concurrence of the </w:t>
      </w:r>
      <w:r w:rsidRPr="004E5E76" w:rsidR="000A1BAD">
        <w:rPr>
          <w:szCs w:val="22"/>
        </w:rPr>
        <w:t>Department of Justice (DOJ)</w:t>
      </w:r>
      <w:r w:rsidR="000A1BAD">
        <w:rPr>
          <w:szCs w:val="22"/>
        </w:rPr>
        <w:t>,</w:t>
      </w:r>
      <w:r w:rsidRPr="000A1BAD" w:rsidR="000A1BAD">
        <w:rPr>
          <w:szCs w:val="22"/>
        </w:rPr>
        <w:t xml:space="preserve"> </w:t>
      </w:r>
      <w:r w:rsidR="000A1BAD">
        <w:rPr>
          <w:szCs w:val="22"/>
        </w:rPr>
        <w:t xml:space="preserve">including the Federal Bureau of Investigation (FBI) </w:t>
      </w:r>
      <w:r w:rsidRPr="004E5E76">
        <w:rPr>
          <w:szCs w:val="22"/>
        </w:rPr>
        <w:t xml:space="preserve">(collectively the </w:t>
      </w:r>
      <w:r>
        <w:rPr>
          <w:szCs w:val="22"/>
        </w:rPr>
        <w:t xml:space="preserve">“Executive Branch </w:t>
      </w:r>
      <w:r w:rsidRPr="004E5E76">
        <w:rPr>
          <w:szCs w:val="22"/>
        </w:rPr>
        <w:t>Agencies”)</w:t>
      </w:r>
      <w:r>
        <w:rPr>
          <w:szCs w:val="22"/>
        </w:rPr>
        <w:t>.</w:t>
      </w:r>
      <w:r>
        <w:rPr>
          <w:rStyle w:val="FootnoteReference"/>
          <w:szCs w:val="22"/>
        </w:rPr>
        <w:footnoteReference w:id="3"/>
      </w:r>
      <w:r>
        <w:rPr>
          <w:szCs w:val="22"/>
        </w:rPr>
        <w:t xml:space="preserve">  The Executive Branch Agencies</w:t>
      </w:r>
      <w:r w:rsidRPr="004E5E76">
        <w:rPr>
          <w:szCs w:val="22"/>
        </w:rPr>
        <w:t xml:space="preserve"> request that the F</w:t>
      </w:r>
      <w:r w:rsidR="00362049">
        <w:rPr>
          <w:szCs w:val="22"/>
        </w:rPr>
        <w:t xml:space="preserve">ederal Communications </w:t>
      </w:r>
      <w:bookmarkStart w:id="1" w:name="_Hlk1998987"/>
      <w:r w:rsidRPr="004E5E76">
        <w:rPr>
          <w:szCs w:val="22"/>
        </w:rPr>
        <w:t>C</w:t>
      </w:r>
      <w:r w:rsidR="00362049">
        <w:rPr>
          <w:szCs w:val="22"/>
        </w:rPr>
        <w:t>ommission</w:t>
      </w:r>
      <w:bookmarkEnd w:id="1"/>
      <w:r w:rsidR="00362049">
        <w:rPr>
          <w:szCs w:val="22"/>
        </w:rPr>
        <w:t xml:space="preserve"> (Commission)</w:t>
      </w:r>
      <w:r w:rsidRPr="004E5E76">
        <w:rPr>
          <w:szCs w:val="22"/>
        </w:rPr>
        <w:t xml:space="preserve"> terminate, declare null and void and no longer in effect</w:t>
      </w:r>
      <w:r w:rsidR="000A1BAD">
        <w:rPr>
          <w:szCs w:val="22"/>
        </w:rPr>
        <w:t>, and/or revoke the domestic and</w:t>
      </w:r>
      <w:r w:rsidRPr="004E5E76">
        <w:rPr>
          <w:szCs w:val="22"/>
        </w:rPr>
        <w:t xml:space="preserve"> international </w:t>
      </w:r>
      <w:r w:rsidR="00362049">
        <w:rPr>
          <w:szCs w:val="22"/>
        </w:rPr>
        <w:t>S</w:t>
      </w:r>
      <w:r w:rsidRPr="004E5E76">
        <w:rPr>
          <w:szCs w:val="22"/>
        </w:rPr>
        <w:t>ection 214 authorization</w:t>
      </w:r>
      <w:r w:rsidR="000A1BAD">
        <w:rPr>
          <w:szCs w:val="22"/>
        </w:rPr>
        <w:t>s</w:t>
      </w:r>
      <w:r w:rsidRPr="004E5E76">
        <w:rPr>
          <w:szCs w:val="22"/>
        </w:rPr>
        <w:t xml:space="preserve"> </w:t>
      </w:r>
      <w:r w:rsidR="00362049">
        <w:rPr>
          <w:szCs w:val="22"/>
        </w:rPr>
        <w:t xml:space="preserve">held by </w:t>
      </w:r>
      <w:r w:rsidR="000A1BAD">
        <w:rPr>
          <w:szCs w:val="22"/>
        </w:rPr>
        <w:t xml:space="preserve">StarVox and </w:t>
      </w:r>
      <w:r w:rsidR="00362049">
        <w:t xml:space="preserve">its wholly owned subsidiary, </w:t>
      </w:r>
      <w:r w:rsidR="00362B41">
        <w:t xml:space="preserve">CTI, </w:t>
      </w:r>
      <w:r w:rsidR="00362049">
        <w:rPr>
          <w:bCs/>
          <w:szCs w:val="22"/>
        </w:rPr>
        <w:t xml:space="preserve">for failure to comply with the </w:t>
      </w:r>
      <w:r>
        <w:rPr>
          <w:szCs w:val="22"/>
        </w:rPr>
        <w:t>Letter</w:t>
      </w:r>
      <w:r w:rsidR="0093701D">
        <w:rPr>
          <w:szCs w:val="22"/>
        </w:rPr>
        <w:t>s</w:t>
      </w:r>
      <w:r>
        <w:rPr>
          <w:szCs w:val="22"/>
        </w:rPr>
        <w:t xml:space="preserve"> of Assurance</w:t>
      </w:r>
      <w:r w:rsidR="0093701D">
        <w:rPr>
          <w:szCs w:val="22"/>
        </w:rPr>
        <w:t>s</w:t>
      </w:r>
      <w:r w:rsidRPr="00362049" w:rsidR="00362049">
        <w:t xml:space="preserve"> </w:t>
      </w:r>
      <w:r w:rsidR="00362049">
        <w:t>(LOAs) filed in connection with the transfers of control of such authority and compliance with which are express conditions of StarVox</w:t>
      </w:r>
      <w:r w:rsidR="005F3D84">
        <w:t>’s</w:t>
      </w:r>
      <w:r w:rsidR="00362049">
        <w:t xml:space="preserve"> and CTI’s authorizations</w:t>
      </w:r>
      <w:r w:rsidRPr="00065066">
        <w:rPr>
          <w:szCs w:val="22"/>
        </w:rPr>
        <w:t>.</w:t>
      </w:r>
      <w:r>
        <w:rPr>
          <w:rStyle w:val="FootnoteReference"/>
          <w:szCs w:val="22"/>
        </w:rPr>
        <w:footnoteReference w:id="4"/>
      </w:r>
      <w:r>
        <w:rPr>
          <w:szCs w:val="22"/>
        </w:rPr>
        <w:t xml:space="preserve">  T</w:t>
      </w:r>
      <w:r w:rsidRPr="00065066">
        <w:rPr>
          <w:szCs w:val="22"/>
        </w:rPr>
        <w:t xml:space="preserve">he </w:t>
      </w:r>
      <w:r>
        <w:rPr>
          <w:szCs w:val="22"/>
        </w:rPr>
        <w:t xml:space="preserve">Executive Branch </w:t>
      </w:r>
      <w:r w:rsidRPr="00065066">
        <w:rPr>
          <w:szCs w:val="22"/>
        </w:rPr>
        <w:t xml:space="preserve">Agencies </w:t>
      </w:r>
      <w:r>
        <w:rPr>
          <w:szCs w:val="22"/>
        </w:rPr>
        <w:t>make</w:t>
      </w:r>
      <w:r w:rsidRPr="007747FD">
        <w:rPr>
          <w:szCs w:val="22"/>
        </w:rPr>
        <w:t xml:space="preserve"> this r</w:t>
      </w:r>
      <w:r>
        <w:rPr>
          <w:szCs w:val="22"/>
        </w:rPr>
        <w:t xml:space="preserve">equest because they believe </w:t>
      </w:r>
      <w:r w:rsidR="0093701D">
        <w:rPr>
          <w:szCs w:val="22"/>
        </w:rPr>
        <w:t>StarVox and CTI are</w:t>
      </w:r>
      <w:r w:rsidRPr="007747FD">
        <w:rPr>
          <w:szCs w:val="22"/>
        </w:rPr>
        <w:t xml:space="preserve"> no longer in business</w:t>
      </w:r>
      <w:r w:rsidRPr="005047B2">
        <w:rPr>
          <w:szCs w:val="22"/>
        </w:rPr>
        <w:t>.</w:t>
      </w:r>
      <w:r>
        <w:rPr>
          <w:rStyle w:val="FootnoteReference"/>
          <w:szCs w:val="22"/>
        </w:rPr>
        <w:footnoteReference w:id="5"/>
      </w:r>
      <w:r w:rsidRPr="005047B2">
        <w:rPr>
          <w:szCs w:val="22"/>
        </w:rPr>
        <w:t xml:space="preserve">  </w:t>
      </w:r>
    </w:p>
    <w:p w:rsidR="00362049" w:rsidP="001E7E09" w14:paraId="7DADC501" w14:textId="00A0CE8B">
      <w:pPr>
        <w:ind w:firstLine="720"/>
        <w:rPr>
          <w:szCs w:val="22"/>
        </w:rPr>
      </w:pPr>
    </w:p>
    <w:p w:rsidR="001E7E09" w:rsidP="00362B41" w14:paraId="279854E3" w14:textId="11936CCB">
      <w:pPr>
        <w:widowControl/>
        <w:ind w:firstLine="720"/>
        <w:rPr>
          <w:snapToGrid/>
          <w:kern w:val="0"/>
          <w:szCs w:val="22"/>
        </w:rPr>
      </w:pPr>
      <w:r w:rsidRPr="005047B2">
        <w:rPr>
          <w:szCs w:val="22"/>
        </w:rPr>
        <w:t xml:space="preserve">On </w:t>
      </w:r>
      <w:r w:rsidR="00493F40">
        <w:rPr>
          <w:szCs w:val="22"/>
        </w:rPr>
        <w:t>December</w:t>
      </w:r>
      <w:r w:rsidRPr="005047B2" w:rsidR="00493F40">
        <w:rPr>
          <w:szCs w:val="22"/>
        </w:rPr>
        <w:t xml:space="preserve"> </w:t>
      </w:r>
      <w:r w:rsidR="00493F40">
        <w:rPr>
          <w:szCs w:val="22"/>
        </w:rPr>
        <w:t>14</w:t>
      </w:r>
      <w:r w:rsidRPr="005047B2">
        <w:rPr>
          <w:szCs w:val="22"/>
        </w:rPr>
        <w:t>, 201</w:t>
      </w:r>
      <w:r>
        <w:rPr>
          <w:szCs w:val="22"/>
        </w:rPr>
        <w:t>8</w:t>
      </w:r>
      <w:r w:rsidRPr="005047B2">
        <w:rPr>
          <w:szCs w:val="22"/>
        </w:rPr>
        <w:t xml:space="preserve">, the Bureau’s Telecommunications and Analysis Division sent </w:t>
      </w:r>
      <w:r w:rsidR="00502D6D">
        <w:rPr>
          <w:szCs w:val="22"/>
        </w:rPr>
        <w:t xml:space="preserve">a </w:t>
      </w:r>
      <w:r w:rsidRPr="005047B2">
        <w:rPr>
          <w:szCs w:val="22"/>
        </w:rPr>
        <w:t xml:space="preserve">letter to </w:t>
      </w:r>
      <w:r w:rsidR="00493F40">
        <w:rPr>
          <w:szCs w:val="22"/>
        </w:rPr>
        <w:t>StarVox</w:t>
      </w:r>
      <w:r w:rsidR="00493F40">
        <w:rPr>
          <w:szCs w:val="22"/>
        </w:rPr>
        <w:t xml:space="preserve"> and CTI</w:t>
      </w:r>
      <w:r w:rsidRPr="005047B2">
        <w:rPr>
          <w:szCs w:val="22"/>
        </w:rPr>
        <w:t xml:space="preserve"> at the</w:t>
      </w:r>
      <w:r w:rsidR="00493F40">
        <w:rPr>
          <w:szCs w:val="22"/>
        </w:rPr>
        <w:t>ir</w:t>
      </w:r>
      <w:r w:rsidRPr="005047B2">
        <w:rPr>
          <w:szCs w:val="22"/>
        </w:rPr>
        <w:t xml:space="preserve"> last known addresses on record via certified, return receipt mail, asking </w:t>
      </w:r>
      <w:r w:rsidR="00493F40">
        <w:rPr>
          <w:szCs w:val="22"/>
        </w:rPr>
        <w:t>StarVox and CTI</w:t>
      </w:r>
      <w:r w:rsidRPr="005047B2">
        <w:rPr>
          <w:szCs w:val="22"/>
        </w:rPr>
        <w:t xml:space="preserve"> to respond to the </w:t>
      </w:r>
      <w:r>
        <w:rPr>
          <w:szCs w:val="22"/>
        </w:rPr>
        <w:t xml:space="preserve">Executive Branch </w:t>
      </w:r>
      <w:r w:rsidRPr="005047B2">
        <w:rPr>
          <w:szCs w:val="22"/>
        </w:rPr>
        <w:t xml:space="preserve">Agencies’ allegations </w:t>
      </w:r>
      <w:r>
        <w:rPr>
          <w:szCs w:val="22"/>
        </w:rPr>
        <w:t xml:space="preserve">and possible violations of the Commission’s rules </w:t>
      </w:r>
      <w:r w:rsidRPr="005047B2">
        <w:rPr>
          <w:szCs w:val="22"/>
        </w:rPr>
        <w:t xml:space="preserve">by </w:t>
      </w:r>
      <w:r w:rsidR="00493F40">
        <w:rPr>
          <w:szCs w:val="22"/>
        </w:rPr>
        <w:t>January</w:t>
      </w:r>
      <w:r w:rsidRPr="007B7796" w:rsidR="00493F40">
        <w:rPr>
          <w:szCs w:val="22"/>
        </w:rPr>
        <w:t xml:space="preserve"> </w:t>
      </w:r>
      <w:r w:rsidR="00493F40">
        <w:rPr>
          <w:szCs w:val="22"/>
        </w:rPr>
        <w:t>14</w:t>
      </w:r>
      <w:r w:rsidRPr="007B7796">
        <w:rPr>
          <w:szCs w:val="22"/>
        </w:rPr>
        <w:t xml:space="preserve">, </w:t>
      </w:r>
      <w:r w:rsidRPr="007B7796" w:rsidR="00493F40">
        <w:rPr>
          <w:szCs w:val="22"/>
        </w:rPr>
        <w:t>201</w:t>
      </w:r>
      <w:r w:rsidR="00493F40">
        <w:rPr>
          <w:szCs w:val="22"/>
        </w:rPr>
        <w:t>9</w:t>
      </w:r>
      <w:r>
        <w:rPr>
          <w:szCs w:val="22"/>
        </w:rPr>
        <w:t>.</w:t>
      </w:r>
      <w:r>
        <w:rPr>
          <w:rStyle w:val="FootnoteReference"/>
          <w:szCs w:val="22"/>
        </w:rPr>
        <w:footnoteReference w:id="6"/>
      </w:r>
      <w:r w:rsidRPr="00065066">
        <w:rPr>
          <w:szCs w:val="22"/>
        </w:rPr>
        <w:t xml:space="preserve">  </w:t>
      </w:r>
      <w:r w:rsidRPr="00224A15">
        <w:rPr>
          <w:szCs w:val="22"/>
        </w:rPr>
        <w:t xml:space="preserve">The </w:t>
      </w:r>
      <w:r w:rsidR="00493F40">
        <w:rPr>
          <w:i/>
          <w:szCs w:val="22"/>
        </w:rPr>
        <w:t>StarVox and CTI</w:t>
      </w:r>
      <w:r w:rsidRPr="00E72513">
        <w:rPr>
          <w:i/>
          <w:szCs w:val="22"/>
        </w:rPr>
        <w:t xml:space="preserve"> Letter</w:t>
      </w:r>
      <w:r w:rsidRPr="00224A15">
        <w:rPr>
          <w:szCs w:val="22"/>
        </w:rPr>
        <w:t xml:space="preserve"> state</w:t>
      </w:r>
      <w:r>
        <w:rPr>
          <w:szCs w:val="22"/>
        </w:rPr>
        <w:t>s</w:t>
      </w:r>
      <w:r w:rsidRPr="00224A15">
        <w:rPr>
          <w:szCs w:val="22"/>
        </w:rPr>
        <w:t xml:space="preserve"> that failure to respond will be deemed as an admission of the facts alleged by the Executive Branch Agencies</w:t>
      </w:r>
      <w:r w:rsidR="004325FB">
        <w:rPr>
          <w:szCs w:val="22"/>
        </w:rPr>
        <w:t xml:space="preserve"> and the Commission</w:t>
      </w:r>
      <w:r w:rsidRPr="00224A15">
        <w:rPr>
          <w:szCs w:val="22"/>
        </w:rPr>
        <w:t xml:space="preserve"> and will result in the issuance of an </w:t>
      </w:r>
      <w:r w:rsidR="00590CE7">
        <w:rPr>
          <w:szCs w:val="22"/>
        </w:rPr>
        <w:t>O</w:t>
      </w:r>
      <w:r w:rsidRPr="00224A15">
        <w:rPr>
          <w:szCs w:val="22"/>
        </w:rPr>
        <w:t xml:space="preserve">rder to terminate </w:t>
      </w:r>
      <w:r w:rsidR="00493F40">
        <w:rPr>
          <w:szCs w:val="22"/>
        </w:rPr>
        <w:t>StarVox’s and CTI’s</w:t>
      </w:r>
      <w:r w:rsidRPr="005047B2" w:rsidR="00493F40">
        <w:rPr>
          <w:szCs w:val="22"/>
        </w:rPr>
        <w:t xml:space="preserve"> </w:t>
      </w:r>
      <w:r w:rsidRPr="00224A15">
        <w:rPr>
          <w:szCs w:val="22"/>
        </w:rPr>
        <w:t xml:space="preserve">international Section 214 </w:t>
      </w:r>
      <w:r w:rsidRPr="00224A15">
        <w:rPr>
          <w:szCs w:val="22"/>
        </w:rPr>
        <w:t>authorization</w:t>
      </w:r>
      <w:r w:rsidR="00DD4CB1">
        <w:rPr>
          <w:szCs w:val="22"/>
        </w:rPr>
        <w:t>s</w:t>
      </w:r>
      <w:r>
        <w:rPr>
          <w:szCs w:val="22"/>
        </w:rPr>
        <w:t>.</w:t>
      </w:r>
      <w:r>
        <w:rPr>
          <w:rStyle w:val="FootnoteReference"/>
          <w:szCs w:val="22"/>
        </w:rPr>
        <w:footnoteReference w:id="7"/>
      </w:r>
      <w:r w:rsidRPr="00E76E04">
        <w:rPr>
          <w:szCs w:val="22"/>
        </w:rPr>
        <w:t xml:space="preserve">  </w:t>
      </w:r>
      <w:r w:rsidR="00502D6D">
        <w:rPr>
          <w:szCs w:val="22"/>
        </w:rPr>
        <w:t>T</w:t>
      </w:r>
      <w:r w:rsidR="00362049">
        <w:rPr>
          <w:szCs w:val="22"/>
        </w:rPr>
        <w:t>he letter</w:t>
      </w:r>
      <w:r w:rsidR="00502D6D">
        <w:rPr>
          <w:szCs w:val="22"/>
        </w:rPr>
        <w:t xml:space="preserve"> to each of these last known addresse</w:t>
      </w:r>
      <w:r w:rsidR="00362049">
        <w:rPr>
          <w:szCs w:val="22"/>
        </w:rPr>
        <w:t xml:space="preserve">s </w:t>
      </w:r>
      <w:r w:rsidR="00502D6D">
        <w:rPr>
          <w:szCs w:val="22"/>
        </w:rPr>
        <w:t>was</w:t>
      </w:r>
      <w:r w:rsidR="00362049">
        <w:rPr>
          <w:szCs w:val="22"/>
        </w:rPr>
        <w:t xml:space="preserve"> returned to the Commission</w:t>
      </w:r>
      <w:r w:rsidR="00502D6D">
        <w:rPr>
          <w:szCs w:val="22"/>
        </w:rPr>
        <w:t xml:space="preserve"> as undeliverable</w:t>
      </w:r>
      <w:r>
        <w:rPr>
          <w:snapToGrid/>
          <w:kern w:val="0"/>
          <w:szCs w:val="22"/>
        </w:rPr>
        <w:t>.</w:t>
      </w:r>
      <w:r>
        <w:rPr>
          <w:rStyle w:val="FootnoteReference"/>
          <w:snapToGrid/>
          <w:kern w:val="0"/>
          <w:szCs w:val="22"/>
        </w:rPr>
        <w:footnoteReference w:id="8"/>
      </w:r>
      <w:r w:rsidR="003411A8">
        <w:rPr>
          <w:snapToGrid/>
          <w:kern w:val="0"/>
          <w:szCs w:val="22"/>
        </w:rPr>
        <w:t xml:space="preserve">  </w:t>
      </w:r>
    </w:p>
    <w:p w:rsidR="003411A8" w:rsidP="001E7E09" w14:paraId="28778B6F" w14:textId="77777777">
      <w:pPr>
        <w:ind w:firstLine="720"/>
        <w:rPr>
          <w:snapToGrid/>
          <w:kern w:val="0"/>
          <w:szCs w:val="22"/>
        </w:rPr>
      </w:pPr>
    </w:p>
    <w:p w:rsidR="001E7E09" w:rsidP="001E7E09" w14:paraId="25F0DBB2" w14:textId="0CA22EF4">
      <w:pPr>
        <w:ind w:firstLine="720"/>
        <w:rPr>
          <w:szCs w:val="22"/>
        </w:rPr>
      </w:pPr>
      <w:r>
        <w:rPr>
          <w:szCs w:val="22"/>
        </w:rPr>
        <w:t xml:space="preserve">Additionally, </w:t>
      </w:r>
      <w:r w:rsidR="00784120">
        <w:rPr>
          <w:szCs w:val="22"/>
        </w:rPr>
        <w:t>StarVox and CTI</w:t>
      </w:r>
      <w:r>
        <w:rPr>
          <w:szCs w:val="22"/>
        </w:rPr>
        <w:t xml:space="preserve"> may be in violation of several other Commission statutory and rule provisions.  The </w:t>
      </w:r>
      <w:r w:rsidR="00784120">
        <w:rPr>
          <w:i/>
          <w:szCs w:val="22"/>
        </w:rPr>
        <w:t>StarVox and CTI</w:t>
      </w:r>
      <w:r w:rsidRPr="00E72513" w:rsidR="00784120">
        <w:rPr>
          <w:i/>
          <w:szCs w:val="22"/>
        </w:rPr>
        <w:t xml:space="preserve"> Letter</w:t>
      </w:r>
      <w:r w:rsidRPr="00224A15" w:rsidR="00784120">
        <w:rPr>
          <w:szCs w:val="22"/>
        </w:rPr>
        <w:t xml:space="preserve"> </w:t>
      </w:r>
      <w:r w:rsidRPr="00224A15">
        <w:rPr>
          <w:szCs w:val="22"/>
        </w:rPr>
        <w:t xml:space="preserve">states that </w:t>
      </w:r>
      <w:r w:rsidR="00784120">
        <w:rPr>
          <w:szCs w:val="22"/>
        </w:rPr>
        <w:t xml:space="preserve">StarVox and CTI </w:t>
      </w:r>
      <w:r w:rsidRPr="00224A15">
        <w:rPr>
          <w:szCs w:val="22"/>
        </w:rPr>
        <w:t xml:space="preserve">failed to inform the Commission of any changes in </w:t>
      </w:r>
      <w:r w:rsidR="00502D6D">
        <w:rPr>
          <w:szCs w:val="22"/>
        </w:rPr>
        <w:t>their</w:t>
      </w:r>
      <w:r w:rsidRPr="00224A15" w:rsidR="00502D6D">
        <w:rPr>
          <w:szCs w:val="22"/>
        </w:rPr>
        <w:t xml:space="preserve"> </w:t>
      </w:r>
      <w:r w:rsidRPr="00224A15">
        <w:rPr>
          <w:szCs w:val="22"/>
        </w:rPr>
        <w:t>business status of providing international telecommunications service, as required by Section 63.21(a) of the Commission’s rules</w:t>
      </w:r>
      <w:r>
        <w:rPr>
          <w:szCs w:val="22"/>
        </w:rPr>
        <w:t>.</w:t>
      </w:r>
      <w:r>
        <w:rPr>
          <w:rStyle w:val="FootnoteReference"/>
          <w:szCs w:val="22"/>
        </w:rPr>
        <w:footnoteReference w:id="9"/>
      </w:r>
      <w:r>
        <w:rPr>
          <w:szCs w:val="22"/>
        </w:rPr>
        <w:t xml:space="preserve">  </w:t>
      </w:r>
      <w:r w:rsidR="00721CA4">
        <w:rPr>
          <w:snapToGrid/>
          <w:kern w:val="0"/>
          <w:szCs w:val="22"/>
        </w:rPr>
        <w:t>T</w:t>
      </w:r>
      <w:r w:rsidR="00846A8A">
        <w:rPr>
          <w:snapToGrid/>
          <w:kern w:val="0"/>
          <w:szCs w:val="22"/>
        </w:rPr>
        <w:t xml:space="preserve">he </w:t>
      </w:r>
      <w:r w:rsidR="00784120">
        <w:rPr>
          <w:i/>
          <w:szCs w:val="22"/>
        </w:rPr>
        <w:t>StarVox and CTI</w:t>
      </w:r>
      <w:r w:rsidRPr="00E72513" w:rsidR="00784120">
        <w:rPr>
          <w:i/>
          <w:szCs w:val="22"/>
        </w:rPr>
        <w:t xml:space="preserve"> Letter</w:t>
      </w:r>
      <w:r w:rsidRPr="00224A15" w:rsidR="00784120">
        <w:rPr>
          <w:szCs w:val="22"/>
        </w:rPr>
        <w:t xml:space="preserve"> </w:t>
      </w:r>
      <w:r w:rsidRPr="00224A15">
        <w:rPr>
          <w:snapToGrid/>
          <w:kern w:val="0"/>
          <w:szCs w:val="22"/>
        </w:rPr>
        <w:t xml:space="preserve">states </w:t>
      </w:r>
      <w:r w:rsidR="00784120">
        <w:rPr>
          <w:snapToGrid/>
          <w:kern w:val="0"/>
          <w:szCs w:val="22"/>
        </w:rPr>
        <w:t xml:space="preserve">that </w:t>
      </w:r>
      <w:r w:rsidRPr="00224A15">
        <w:rPr>
          <w:snapToGrid/>
          <w:kern w:val="0"/>
          <w:szCs w:val="22"/>
        </w:rPr>
        <w:t>t</w:t>
      </w:r>
      <w:r w:rsidRPr="00224A15">
        <w:rPr>
          <w:szCs w:val="22"/>
        </w:rPr>
        <w:t xml:space="preserve">here is no indication that </w:t>
      </w:r>
      <w:r w:rsidR="00784120">
        <w:rPr>
          <w:szCs w:val="22"/>
        </w:rPr>
        <w:t>StarVox and CTI</w:t>
      </w:r>
      <w:r w:rsidRPr="00224A15">
        <w:rPr>
          <w:szCs w:val="22"/>
        </w:rPr>
        <w:t xml:space="preserve"> </w:t>
      </w:r>
      <w:r w:rsidR="00784120">
        <w:rPr>
          <w:szCs w:val="22"/>
        </w:rPr>
        <w:t xml:space="preserve">are </w:t>
      </w:r>
      <w:r w:rsidRPr="00224A15">
        <w:rPr>
          <w:szCs w:val="22"/>
        </w:rPr>
        <w:t xml:space="preserve">currently providing service pursuant to </w:t>
      </w:r>
      <w:r w:rsidR="00784120">
        <w:rPr>
          <w:szCs w:val="22"/>
        </w:rPr>
        <w:t>their</w:t>
      </w:r>
      <w:r w:rsidRPr="00224A15" w:rsidR="00784120">
        <w:rPr>
          <w:szCs w:val="22"/>
        </w:rPr>
        <w:t xml:space="preserve"> </w:t>
      </w:r>
      <w:r w:rsidRPr="00224A15">
        <w:rPr>
          <w:szCs w:val="22"/>
        </w:rPr>
        <w:t xml:space="preserve">international </w:t>
      </w:r>
      <w:r>
        <w:rPr>
          <w:szCs w:val="22"/>
        </w:rPr>
        <w:t>S</w:t>
      </w:r>
      <w:r w:rsidRPr="00224A15">
        <w:rPr>
          <w:szCs w:val="22"/>
        </w:rPr>
        <w:t>ection 214 authorization</w:t>
      </w:r>
      <w:r w:rsidR="00784120">
        <w:rPr>
          <w:szCs w:val="22"/>
        </w:rPr>
        <w:t>s</w:t>
      </w:r>
      <w:r w:rsidR="00C23A91">
        <w:rPr>
          <w:szCs w:val="22"/>
        </w:rPr>
        <w:t>,</w:t>
      </w:r>
      <w:r>
        <w:rPr>
          <w:szCs w:val="22"/>
        </w:rPr>
        <w:t xml:space="preserve"> and if</w:t>
      </w:r>
      <w:r w:rsidRPr="00224A15">
        <w:rPr>
          <w:szCs w:val="22"/>
        </w:rPr>
        <w:t xml:space="preserve"> </w:t>
      </w:r>
      <w:r w:rsidR="00784120">
        <w:rPr>
          <w:szCs w:val="22"/>
        </w:rPr>
        <w:t>they have</w:t>
      </w:r>
      <w:r w:rsidRPr="00224A15">
        <w:rPr>
          <w:szCs w:val="22"/>
        </w:rPr>
        <w:t xml:space="preserve"> discontinued</w:t>
      </w:r>
      <w:r w:rsidR="00784120">
        <w:rPr>
          <w:szCs w:val="22"/>
        </w:rPr>
        <w:t xml:space="preserve"> international</w:t>
      </w:r>
      <w:r w:rsidRPr="00224A15">
        <w:rPr>
          <w:szCs w:val="22"/>
        </w:rPr>
        <w:t xml:space="preserve"> service</w:t>
      </w:r>
      <w:r w:rsidR="00784120">
        <w:rPr>
          <w:szCs w:val="22"/>
        </w:rPr>
        <w:t xml:space="preserve">s, they </w:t>
      </w:r>
      <w:r w:rsidRPr="00224A15">
        <w:rPr>
          <w:szCs w:val="22"/>
        </w:rPr>
        <w:t>may be in violation of Section 63.19 of the Commission’s rules requiring prior notification for such a discontinuance</w:t>
      </w:r>
      <w:r>
        <w:rPr>
          <w:szCs w:val="22"/>
        </w:rPr>
        <w:t>.</w:t>
      </w:r>
      <w:r>
        <w:rPr>
          <w:rStyle w:val="FootnoteReference"/>
          <w:szCs w:val="22"/>
        </w:rPr>
        <w:footnoteReference w:id="10"/>
      </w:r>
      <w:r>
        <w:rPr>
          <w:szCs w:val="22"/>
        </w:rPr>
        <w:t xml:space="preserve">  </w:t>
      </w:r>
      <w:r w:rsidRPr="00224A15">
        <w:rPr>
          <w:kern w:val="0"/>
          <w:szCs w:val="22"/>
        </w:rPr>
        <w:t xml:space="preserve">Further, as part of </w:t>
      </w:r>
      <w:r w:rsidR="00784120">
        <w:rPr>
          <w:kern w:val="0"/>
          <w:szCs w:val="22"/>
        </w:rPr>
        <w:t>their</w:t>
      </w:r>
      <w:r w:rsidRPr="00224A15" w:rsidR="00784120">
        <w:rPr>
          <w:kern w:val="0"/>
          <w:szCs w:val="22"/>
        </w:rPr>
        <w:t xml:space="preserve"> </w:t>
      </w:r>
      <w:r w:rsidRPr="00224A15">
        <w:rPr>
          <w:kern w:val="0"/>
          <w:szCs w:val="22"/>
        </w:rPr>
        <w:t>authorization</w:t>
      </w:r>
      <w:r w:rsidR="00026FD8">
        <w:rPr>
          <w:kern w:val="0"/>
          <w:szCs w:val="22"/>
        </w:rPr>
        <w:t>s</w:t>
      </w:r>
      <w:r w:rsidRPr="00224A15">
        <w:rPr>
          <w:kern w:val="0"/>
          <w:szCs w:val="22"/>
        </w:rPr>
        <w:t xml:space="preserve">, </w:t>
      </w:r>
      <w:r w:rsidR="00784120">
        <w:rPr>
          <w:szCs w:val="22"/>
        </w:rPr>
        <w:t>StarVox and CTI</w:t>
      </w:r>
      <w:r w:rsidRPr="00224A15">
        <w:rPr>
          <w:szCs w:val="22"/>
        </w:rPr>
        <w:t xml:space="preserve"> </w:t>
      </w:r>
      <w:r w:rsidR="00784120">
        <w:rPr>
          <w:szCs w:val="22"/>
        </w:rPr>
        <w:t>were</w:t>
      </w:r>
      <w:r w:rsidRPr="00224A15" w:rsidR="00784120">
        <w:rPr>
          <w:szCs w:val="22"/>
        </w:rPr>
        <w:t xml:space="preserve"> </w:t>
      </w:r>
      <w:r w:rsidRPr="00224A15">
        <w:rPr>
          <w:szCs w:val="22"/>
        </w:rPr>
        <w:t>required to file annual international telecommunications traffic and revenue report</w:t>
      </w:r>
      <w:r w:rsidR="00502D6D">
        <w:rPr>
          <w:szCs w:val="22"/>
        </w:rPr>
        <w:t>s</w:t>
      </w:r>
      <w:r w:rsidRPr="00224A15">
        <w:rPr>
          <w:szCs w:val="22"/>
        </w:rPr>
        <w:t>, as required by Section 43.62 of the Commission</w:t>
      </w:r>
      <w:r>
        <w:rPr>
          <w:szCs w:val="22"/>
        </w:rPr>
        <w:t>’</w:t>
      </w:r>
      <w:r w:rsidRPr="00224A15">
        <w:rPr>
          <w:szCs w:val="22"/>
        </w:rPr>
        <w:t>s rules</w:t>
      </w:r>
      <w:r w:rsidR="00502D6D">
        <w:rPr>
          <w:szCs w:val="22"/>
        </w:rPr>
        <w:t>,</w:t>
      </w:r>
      <w:r w:rsidRPr="00224A15">
        <w:rPr>
          <w:szCs w:val="22"/>
        </w:rPr>
        <w:t xml:space="preserve"> which was in effect until April 2018</w:t>
      </w:r>
      <w:r>
        <w:rPr>
          <w:szCs w:val="22"/>
        </w:rPr>
        <w:t>.</w:t>
      </w:r>
      <w:r>
        <w:rPr>
          <w:rStyle w:val="FootnoteReference"/>
          <w:szCs w:val="22"/>
        </w:rPr>
        <w:footnoteReference w:id="11"/>
      </w:r>
      <w:r>
        <w:rPr>
          <w:szCs w:val="22"/>
        </w:rPr>
        <w:t xml:space="preserve">  Specifically, Se</w:t>
      </w:r>
      <w:r w:rsidRPr="000110A0">
        <w:rPr>
          <w:szCs w:val="22"/>
        </w:rPr>
        <w:t>ction 43.62(b) state</w:t>
      </w:r>
      <w:r w:rsidR="00846A8A">
        <w:rPr>
          <w:szCs w:val="22"/>
        </w:rPr>
        <w:t>d</w:t>
      </w:r>
      <w:r w:rsidRPr="000110A0">
        <w:rPr>
          <w:szCs w:val="22"/>
        </w:rPr>
        <w:t xml:space="preserve"> that “[n]ot later than July 31 of each year, each person or entity that holds an authorization pursuant to </w:t>
      </w:r>
      <w:r w:rsidR="00502D6D">
        <w:rPr>
          <w:szCs w:val="22"/>
        </w:rPr>
        <w:t>S</w:t>
      </w:r>
      <w:r w:rsidRPr="000110A0">
        <w:rPr>
          <w:szCs w:val="22"/>
        </w:rPr>
        <w:t>ection 214 to provide international telecommunications service shall report whether it provided international telecommunications services during the preceding calendar year.”</w:t>
      </w:r>
      <w:r>
        <w:rPr>
          <w:rStyle w:val="FootnoteReference"/>
          <w:szCs w:val="22"/>
        </w:rPr>
        <w:footnoteReference w:id="12"/>
      </w:r>
      <w:r>
        <w:rPr>
          <w:szCs w:val="22"/>
        </w:rPr>
        <w:t xml:space="preserve">  </w:t>
      </w:r>
      <w:r w:rsidR="00784120">
        <w:rPr>
          <w:szCs w:val="22"/>
        </w:rPr>
        <w:t>StarVox and CTI</w:t>
      </w:r>
      <w:r w:rsidRPr="00224A15">
        <w:rPr>
          <w:snapToGrid/>
          <w:kern w:val="0"/>
          <w:szCs w:val="22"/>
        </w:rPr>
        <w:t xml:space="preserve">, however, did not submit traffic and revenue reports indicating whether or not </w:t>
      </w:r>
      <w:r w:rsidR="00784120">
        <w:rPr>
          <w:snapToGrid/>
          <w:kern w:val="0"/>
          <w:szCs w:val="22"/>
        </w:rPr>
        <w:t>they</w:t>
      </w:r>
      <w:r w:rsidRPr="00224A15" w:rsidR="00784120">
        <w:rPr>
          <w:snapToGrid/>
          <w:kern w:val="0"/>
          <w:szCs w:val="22"/>
        </w:rPr>
        <w:t xml:space="preserve"> </w:t>
      </w:r>
      <w:r w:rsidRPr="00224A15">
        <w:rPr>
          <w:snapToGrid/>
          <w:kern w:val="0"/>
          <w:szCs w:val="22"/>
        </w:rPr>
        <w:t>provided services for the 2014 and 2015 reporting periods</w:t>
      </w:r>
      <w:r>
        <w:rPr>
          <w:snapToGrid/>
          <w:kern w:val="0"/>
          <w:szCs w:val="22"/>
        </w:rPr>
        <w:t xml:space="preserve"> and may </w:t>
      </w:r>
      <w:r w:rsidR="00846A8A">
        <w:rPr>
          <w:snapToGrid/>
          <w:kern w:val="0"/>
          <w:szCs w:val="22"/>
        </w:rPr>
        <w:t>have violated</w:t>
      </w:r>
      <w:r>
        <w:rPr>
          <w:snapToGrid/>
          <w:kern w:val="0"/>
          <w:szCs w:val="22"/>
        </w:rPr>
        <w:t xml:space="preserve"> Section 43.62 of the Commission’s rules.</w:t>
      </w:r>
      <w:r>
        <w:rPr>
          <w:rStyle w:val="FootnoteReference"/>
          <w:snapToGrid/>
          <w:kern w:val="0"/>
          <w:szCs w:val="22"/>
        </w:rPr>
        <w:footnoteReference w:id="13"/>
      </w:r>
    </w:p>
    <w:p w:rsidR="001E7E09" w:rsidP="001E7E09" w14:paraId="2428FAE8" w14:textId="77777777">
      <w:pPr>
        <w:ind w:firstLine="720"/>
        <w:rPr>
          <w:szCs w:val="22"/>
        </w:rPr>
      </w:pPr>
    </w:p>
    <w:p w:rsidR="001E7E09" w:rsidRPr="00224A15" w:rsidP="001E7E09" w14:paraId="532E5572" w14:textId="44EFFD30">
      <w:pPr>
        <w:tabs>
          <w:tab w:val="left" w:pos="720"/>
        </w:tabs>
        <w:ind w:firstLine="720"/>
        <w:rPr>
          <w:szCs w:val="22"/>
        </w:rPr>
      </w:pPr>
      <w:r>
        <w:rPr>
          <w:b/>
          <w:szCs w:val="22"/>
        </w:rPr>
        <w:t>StarVox and CTI</w:t>
      </w:r>
      <w:r w:rsidRPr="00224A15">
        <w:rPr>
          <w:b/>
          <w:szCs w:val="22"/>
        </w:rPr>
        <w:t xml:space="preserve"> must respond no later than 15 days </w:t>
      </w:r>
      <w:r>
        <w:rPr>
          <w:b/>
          <w:szCs w:val="22"/>
        </w:rPr>
        <w:t>of the date of t</w:t>
      </w:r>
      <w:r w:rsidRPr="00224A15">
        <w:rPr>
          <w:b/>
          <w:szCs w:val="22"/>
        </w:rPr>
        <w:t>his Public Notice and address the issues alleged in th</w:t>
      </w:r>
      <w:r>
        <w:rPr>
          <w:b/>
          <w:szCs w:val="22"/>
        </w:rPr>
        <w:t xml:space="preserve">e </w:t>
      </w:r>
      <w:r w:rsidRPr="001B7494">
        <w:rPr>
          <w:b/>
          <w:szCs w:val="22"/>
        </w:rPr>
        <w:t>DHS Letter</w:t>
      </w:r>
      <w:r>
        <w:rPr>
          <w:b/>
          <w:szCs w:val="22"/>
        </w:rPr>
        <w:t xml:space="preserve"> and possible statutory and rule violations</w:t>
      </w:r>
      <w:r w:rsidRPr="00224A15">
        <w:rPr>
          <w:szCs w:val="22"/>
        </w:rPr>
        <w:t xml:space="preserve">.  </w:t>
      </w:r>
      <w:r w:rsidR="00784120">
        <w:rPr>
          <w:szCs w:val="22"/>
        </w:rPr>
        <w:t>StarVox’s and CTI’s</w:t>
      </w:r>
      <w:r w:rsidRPr="00224A15">
        <w:rPr>
          <w:szCs w:val="22"/>
        </w:rPr>
        <w:t xml:space="preserve"> failure to respond to this Public Notice will be deemed as an admission of the facts alleged by the Executive Branch Agencies and of the violations of the statutory and rule provisions set out above.</w:t>
      </w:r>
      <w:r>
        <w:rPr>
          <w:rStyle w:val="FootnoteReference"/>
          <w:szCs w:val="22"/>
        </w:rPr>
        <w:footnoteReference w:id="14"/>
      </w:r>
      <w:r w:rsidRPr="00224A15">
        <w:rPr>
          <w:szCs w:val="22"/>
        </w:rPr>
        <w:t xml:space="preserve">  The Bureau hereby provides final notice to </w:t>
      </w:r>
      <w:r w:rsidR="00784120">
        <w:rPr>
          <w:szCs w:val="22"/>
        </w:rPr>
        <w:t>StarVox and CTI</w:t>
      </w:r>
      <w:r w:rsidRPr="00224A15">
        <w:rPr>
          <w:szCs w:val="22"/>
        </w:rPr>
        <w:t xml:space="preserve"> that it intends to take action</w:t>
      </w:r>
      <w:r>
        <w:rPr>
          <w:szCs w:val="22"/>
        </w:rPr>
        <w:t xml:space="preserve"> and issue an Order</w:t>
      </w:r>
      <w:r w:rsidRPr="00224A15">
        <w:rPr>
          <w:szCs w:val="22"/>
        </w:rPr>
        <w:t xml:space="preserve"> declar</w:t>
      </w:r>
      <w:r>
        <w:rPr>
          <w:szCs w:val="22"/>
        </w:rPr>
        <w:t>ing</w:t>
      </w:r>
      <w:r w:rsidRPr="00224A15">
        <w:rPr>
          <w:szCs w:val="22"/>
        </w:rPr>
        <w:t xml:space="preserve"> </w:t>
      </w:r>
      <w:r w:rsidR="00784120">
        <w:rPr>
          <w:szCs w:val="22"/>
        </w:rPr>
        <w:t>their</w:t>
      </w:r>
      <w:r w:rsidRPr="00224A15">
        <w:rPr>
          <w:szCs w:val="22"/>
        </w:rPr>
        <w:t xml:space="preserve"> international </w:t>
      </w:r>
      <w:r>
        <w:rPr>
          <w:szCs w:val="22"/>
        </w:rPr>
        <w:t xml:space="preserve">Section </w:t>
      </w:r>
      <w:r w:rsidRPr="00224A15">
        <w:rPr>
          <w:szCs w:val="22"/>
        </w:rPr>
        <w:t>214 authorization</w:t>
      </w:r>
      <w:r w:rsidR="00784120">
        <w:rPr>
          <w:szCs w:val="22"/>
        </w:rPr>
        <w:t>s</w:t>
      </w:r>
      <w:r w:rsidRPr="00224A15">
        <w:rPr>
          <w:szCs w:val="22"/>
        </w:rPr>
        <w:t xml:space="preserve"> terminated for failure to comply with </w:t>
      </w:r>
      <w:r w:rsidR="00502D6D">
        <w:rPr>
          <w:szCs w:val="22"/>
        </w:rPr>
        <w:t xml:space="preserve">the </w:t>
      </w:r>
      <w:r w:rsidRPr="00224A15">
        <w:rPr>
          <w:szCs w:val="22"/>
        </w:rPr>
        <w:t xml:space="preserve">conditions of </w:t>
      </w:r>
      <w:r w:rsidR="00784120">
        <w:rPr>
          <w:szCs w:val="22"/>
        </w:rPr>
        <w:t>their</w:t>
      </w:r>
      <w:r w:rsidRPr="00224A15" w:rsidR="00784120">
        <w:rPr>
          <w:szCs w:val="22"/>
        </w:rPr>
        <w:t xml:space="preserve"> </w:t>
      </w:r>
      <w:r w:rsidRPr="00224A15">
        <w:rPr>
          <w:szCs w:val="22"/>
        </w:rPr>
        <w:t>authorization</w:t>
      </w:r>
      <w:r w:rsidR="00784120">
        <w:rPr>
          <w:szCs w:val="22"/>
        </w:rPr>
        <w:t>s</w:t>
      </w:r>
      <w:r w:rsidRPr="00224A15">
        <w:rPr>
          <w:szCs w:val="22"/>
        </w:rPr>
        <w:t xml:space="preserve">.  We further advise </w:t>
      </w:r>
      <w:r w:rsidR="00784120">
        <w:rPr>
          <w:szCs w:val="22"/>
        </w:rPr>
        <w:t>StarVox and CTI</w:t>
      </w:r>
      <w:r w:rsidRPr="00224A15" w:rsidR="00784120">
        <w:rPr>
          <w:szCs w:val="22"/>
        </w:rPr>
        <w:t xml:space="preserve"> </w:t>
      </w:r>
      <w:r w:rsidRPr="00224A15">
        <w:rPr>
          <w:szCs w:val="22"/>
        </w:rPr>
        <w:t xml:space="preserve">that </w:t>
      </w:r>
      <w:r w:rsidR="00AC011C">
        <w:rPr>
          <w:szCs w:val="22"/>
        </w:rPr>
        <w:t>their</w:t>
      </w:r>
      <w:r w:rsidRPr="00224A15">
        <w:rPr>
          <w:szCs w:val="22"/>
        </w:rPr>
        <w:t xml:space="preserve"> non-compliance with the applicable regulatory provisions would warrant termination wholly apart from </w:t>
      </w:r>
      <w:r w:rsidR="00D8665D">
        <w:rPr>
          <w:szCs w:val="22"/>
        </w:rPr>
        <w:t>StarVox’s</w:t>
      </w:r>
      <w:r w:rsidR="00D8665D">
        <w:rPr>
          <w:szCs w:val="22"/>
        </w:rPr>
        <w:t xml:space="preserve"> and CTI’s</w:t>
      </w:r>
      <w:r w:rsidRPr="00224A15" w:rsidR="00D8665D">
        <w:rPr>
          <w:szCs w:val="22"/>
        </w:rPr>
        <w:t xml:space="preserve"> </w:t>
      </w:r>
      <w:r w:rsidRPr="00224A15">
        <w:rPr>
          <w:szCs w:val="22"/>
        </w:rPr>
        <w:t xml:space="preserve">inability to satisfy the conditions of </w:t>
      </w:r>
      <w:r w:rsidR="00D8665D">
        <w:rPr>
          <w:szCs w:val="22"/>
        </w:rPr>
        <w:t>their</w:t>
      </w:r>
      <w:r w:rsidRPr="00224A15" w:rsidR="00D8665D">
        <w:rPr>
          <w:szCs w:val="22"/>
        </w:rPr>
        <w:t xml:space="preserve"> </w:t>
      </w:r>
      <w:r w:rsidRPr="00224A15">
        <w:rPr>
          <w:szCs w:val="22"/>
        </w:rPr>
        <w:t>authorization</w:t>
      </w:r>
      <w:r w:rsidR="00D8665D">
        <w:rPr>
          <w:szCs w:val="22"/>
        </w:rPr>
        <w:t>s</w:t>
      </w:r>
      <w:r w:rsidRPr="00224A15">
        <w:rPr>
          <w:szCs w:val="22"/>
        </w:rPr>
        <w:t xml:space="preserve">.  </w:t>
      </w:r>
    </w:p>
    <w:p w:rsidR="001E7E09" w:rsidRPr="00E46D96" w:rsidP="001E7E09" w14:paraId="3390D4FA" w14:textId="77777777">
      <w:pPr>
        <w:rPr>
          <w:szCs w:val="22"/>
        </w:rPr>
      </w:pPr>
    </w:p>
    <w:p w:rsidR="001E7E09" w:rsidP="001E7E09" w14:paraId="56473723" w14:textId="3AFAEBFA">
      <w:pPr>
        <w:ind w:firstLine="720"/>
        <w:rPr>
          <w:szCs w:val="22"/>
        </w:rPr>
      </w:pPr>
      <w:r>
        <w:rPr>
          <w:szCs w:val="22"/>
        </w:rPr>
        <w:t>StarVox and CTI</w:t>
      </w:r>
      <w:r w:rsidRPr="00E46D96">
        <w:rPr>
          <w:szCs w:val="22"/>
        </w:rPr>
        <w:t xml:space="preserve"> </w:t>
      </w:r>
      <w:r w:rsidRPr="00E46D96">
        <w:rPr>
          <w:szCs w:val="22"/>
        </w:rPr>
        <w:t xml:space="preserve">should send </w:t>
      </w:r>
      <w:r>
        <w:rPr>
          <w:szCs w:val="22"/>
        </w:rPr>
        <w:t>their</w:t>
      </w:r>
      <w:r w:rsidRPr="00E46D96">
        <w:rPr>
          <w:szCs w:val="22"/>
        </w:rPr>
        <w:t xml:space="preserve"> </w:t>
      </w:r>
      <w:r w:rsidRPr="00E46D96">
        <w:rPr>
          <w:szCs w:val="22"/>
        </w:rPr>
        <w:t xml:space="preserve">response to Denise Coca, Chief, Telecommunications and Analysis Division, International Bureau via email at </w:t>
      </w:r>
      <w:hyperlink r:id="rId5" w:history="1">
        <w:r w:rsidRPr="00E46D96">
          <w:rPr>
            <w:rStyle w:val="Hyperlink"/>
            <w:szCs w:val="22"/>
          </w:rPr>
          <w:t>Denise.Coca@fcc.gov</w:t>
        </w:r>
      </w:hyperlink>
      <w:r w:rsidRPr="00E46D96">
        <w:rPr>
          <w:szCs w:val="22"/>
        </w:rPr>
        <w:t xml:space="preserve"> and to Veronica Garcia-Ulloa, </w:t>
      </w:r>
      <w:r>
        <w:rPr>
          <w:szCs w:val="22"/>
        </w:rPr>
        <w:t xml:space="preserve">Attorney Advisor, </w:t>
      </w:r>
      <w:r w:rsidRPr="00E46D96">
        <w:rPr>
          <w:szCs w:val="22"/>
        </w:rPr>
        <w:t xml:space="preserve">Telecommunications and Analysis Division, International Bureau at </w:t>
      </w:r>
      <w:hyperlink r:id="rId6" w:history="1">
        <w:r w:rsidRPr="00E46D96">
          <w:rPr>
            <w:rStyle w:val="Hyperlink"/>
            <w:szCs w:val="22"/>
          </w:rPr>
          <w:t>Veronica.Garcia-Ulloa@fcc.gov</w:t>
        </w:r>
      </w:hyperlink>
      <w:r w:rsidRPr="00E46D96">
        <w:rPr>
          <w:szCs w:val="22"/>
        </w:rPr>
        <w:t xml:space="preserve"> and file it in </w:t>
      </w:r>
      <w:r>
        <w:rPr>
          <w:szCs w:val="22"/>
        </w:rPr>
        <w:t xml:space="preserve">IBFS under </w:t>
      </w:r>
      <w:r w:rsidRPr="00E46D96">
        <w:rPr>
          <w:szCs w:val="22"/>
        </w:rPr>
        <w:t>File No</w:t>
      </w:r>
      <w:r>
        <w:rPr>
          <w:szCs w:val="22"/>
        </w:rPr>
        <w:t>s</w:t>
      </w:r>
      <w:r w:rsidRPr="00E46D96">
        <w:rPr>
          <w:szCs w:val="22"/>
        </w:rPr>
        <w:t xml:space="preserve">. </w:t>
      </w:r>
      <w:r w:rsidRPr="00E46D96">
        <w:rPr>
          <w:b/>
          <w:szCs w:val="22"/>
        </w:rPr>
        <w:t>ITC-</w:t>
      </w:r>
      <w:r w:rsidRPr="00E46D96">
        <w:rPr>
          <w:b/>
          <w:bCs/>
          <w:szCs w:val="22"/>
        </w:rPr>
        <w:t>214-</w:t>
      </w:r>
      <w:r>
        <w:rPr>
          <w:b/>
          <w:bCs/>
          <w:szCs w:val="22"/>
        </w:rPr>
        <w:t>19920520</w:t>
      </w:r>
      <w:r w:rsidRPr="00E46D96">
        <w:rPr>
          <w:b/>
          <w:bCs/>
          <w:szCs w:val="22"/>
        </w:rPr>
        <w:t>-</w:t>
      </w:r>
      <w:r w:rsidRPr="00E46D96">
        <w:rPr>
          <w:b/>
          <w:bCs/>
          <w:szCs w:val="22"/>
        </w:rPr>
        <w:t>00</w:t>
      </w:r>
      <w:r>
        <w:rPr>
          <w:b/>
          <w:bCs/>
          <w:szCs w:val="22"/>
        </w:rPr>
        <w:t xml:space="preserve">115 </w:t>
      </w:r>
      <w:r w:rsidRPr="001B7494">
        <w:rPr>
          <w:bCs/>
          <w:szCs w:val="22"/>
        </w:rPr>
        <w:t>and</w:t>
      </w:r>
      <w:r>
        <w:rPr>
          <w:b/>
          <w:bCs/>
          <w:szCs w:val="22"/>
        </w:rPr>
        <w:t xml:space="preserve"> ITC-214-20050407-00146</w:t>
      </w:r>
      <w:r>
        <w:rPr>
          <w:szCs w:val="22"/>
        </w:rPr>
        <w:t xml:space="preserve"> </w:t>
      </w:r>
      <w:r w:rsidRPr="00700CB0">
        <w:rPr>
          <w:szCs w:val="22"/>
        </w:rPr>
        <w:t xml:space="preserve">via IBFS at </w:t>
      </w:r>
      <w:hyperlink r:id="rId7" w:history="1">
        <w:r w:rsidRPr="00700CB0">
          <w:rPr>
            <w:rStyle w:val="Hyperlink"/>
            <w:szCs w:val="22"/>
          </w:rPr>
          <w:t>http://licensing.fcc.gov/myibfs/pleading.do</w:t>
        </w:r>
      </w:hyperlink>
      <w:r w:rsidRPr="00700CB0">
        <w:rPr>
          <w:szCs w:val="22"/>
        </w:rPr>
        <w:t>.</w:t>
      </w:r>
      <w:r w:rsidRPr="00E46D96">
        <w:rPr>
          <w:szCs w:val="22"/>
        </w:rPr>
        <w:t xml:space="preserve"> </w:t>
      </w:r>
    </w:p>
    <w:p w:rsidR="003411A8" w:rsidP="001E7E09" w14:paraId="37FD7BA1" w14:textId="77777777">
      <w:pPr>
        <w:ind w:firstLine="720"/>
        <w:rPr>
          <w:szCs w:val="22"/>
        </w:rPr>
      </w:pPr>
    </w:p>
    <w:p w:rsidR="001E7E09" w:rsidRPr="00410328" w:rsidP="001E7E09" w14:paraId="7C0ED1A4" w14:textId="7A9D65C2">
      <w:pPr>
        <w:ind w:firstLine="720"/>
        <w:rPr>
          <w:szCs w:val="22"/>
        </w:rPr>
      </w:pPr>
      <w:r w:rsidRPr="005047B2">
        <w:rPr>
          <w:szCs w:val="22"/>
        </w:rPr>
        <w:t xml:space="preserve">The proceeding in this Notice shall be treated as a “permit-but-disclose” proceeding in accordance with the Commission’s </w:t>
      </w:r>
      <w:r w:rsidRPr="000561C6">
        <w:rPr>
          <w:i/>
          <w:szCs w:val="22"/>
        </w:rPr>
        <w:t>ex parte</w:t>
      </w:r>
      <w:r w:rsidRPr="005047B2">
        <w:rPr>
          <w:szCs w:val="22"/>
        </w:rPr>
        <w:t xml:space="preserve"> rules.</w:t>
      </w:r>
      <w:r>
        <w:rPr>
          <w:rStyle w:val="FootnoteReference"/>
          <w:szCs w:val="22"/>
        </w:rPr>
        <w:footnoteReference w:id="15"/>
      </w:r>
      <w:r w:rsidRPr="005047B2">
        <w:rPr>
          <w:szCs w:val="22"/>
        </w:rPr>
        <w:t xml:space="preserve">  Persons making </w:t>
      </w:r>
      <w:r w:rsidRPr="000561C6">
        <w:rPr>
          <w:i/>
          <w:szCs w:val="22"/>
        </w:rPr>
        <w:t>ex parte</w:t>
      </w:r>
      <w:r w:rsidRPr="005047B2">
        <w:rPr>
          <w:szCs w:val="22"/>
        </w:rPr>
        <w:t xml:space="preserve"> presentations must fil</w:t>
      </w:r>
      <w:r w:rsidRPr="007B7796">
        <w:rPr>
          <w:szCs w:val="22"/>
        </w:rPr>
        <w:t xml:space="preserve">e </w:t>
      </w:r>
      <w:r w:rsidRPr="00E46D96">
        <w:rPr>
          <w:szCs w:val="22"/>
        </w:rPr>
        <w:t xml:space="preserve">in </w:t>
      </w:r>
      <w:r>
        <w:rPr>
          <w:szCs w:val="22"/>
        </w:rPr>
        <w:t xml:space="preserve">IBFS, under </w:t>
      </w:r>
      <w:r w:rsidRPr="00E46D96" w:rsidR="00D8665D">
        <w:rPr>
          <w:szCs w:val="22"/>
        </w:rPr>
        <w:t>File No</w:t>
      </w:r>
      <w:r w:rsidR="00D8665D">
        <w:rPr>
          <w:szCs w:val="22"/>
        </w:rPr>
        <w:t>s</w:t>
      </w:r>
      <w:r w:rsidRPr="00E46D96" w:rsidR="00D8665D">
        <w:rPr>
          <w:szCs w:val="22"/>
        </w:rPr>
        <w:t xml:space="preserve">. </w:t>
      </w:r>
      <w:r w:rsidRPr="00E46D96" w:rsidR="00D8665D">
        <w:rPr>
          <w:b/>
          <w:szCs w:val="22"/>
        </w:rPr>
        <w:t>ITC-</w:t>
      </w:r>
      <w:r w:rsidRPr="00E46D96" w:rsidR="00D8665D">
        <w:rPr>
          <w:b/>
          <w:bCs/>
          <w:szCs w:val="22"/>
        </w:rPr>
        <w:t>214-</w:t>
      </w:r>
      <w:r w:rsidR="00D8665D">
        <w:rPr>
          <w:b/>
          <w:bCs/>
          <w:szCs w:val="22"/>
        </w:rPr>
        <w:t>19920520</w:t>
      </w:r>
      <w:r w:rsidRPr="00E46D96" w:rsidR="00D8665D">
        <w:rPr>
          <w:b/>
          <w:bCs/>
          <w:szCs w:val="22"/>
        </w:rPr>
        <w:t>-00</w:t>
      </w:r>
      <w:r w:rsidR="00D8665D">
        <w:rPr>
          <w:b/>
          <w:bCs/>
          <w:szCs w:val="22"/>
        </w:rPr>
        <w:t xml:space="preserve">115 </w:t>
      </w:r>
      <w:r w:rsidRPr="008C2D22" w:rsidR="00D8665D">
        <w:rPr>
          <w:bCs/>
          <w:szCs w:val="22"/>
        </w:rPr>
        <w:t>and</w:t>
      </w:r>
      <w:r w:rsidR="00D8665D">
        <w:rPr>
          <w:b/>
          <w:bCs/>
          <w:szCs w:val="22"/>
        </w:rPr>
        <w:t xml:space="preserve"> ITC-214-20050407-00146</w:t>
      </w:r>
      <w:r>
        <w:rPr>
          <w:bCs/>
          <w:szCs w:val="22"/>
        </w:rPr>
        <w:t xml:space="preserve">, </w:t>
      </w:r>
      <w:r w:rsidRPr="007B7796">
        <w:rPr>
          <w:szCs w:val="22"/>
        </w:rPr>
        <w:t xml:space="preserve">a copy of any written presentation or a memorandum summarizing any oral presentation within two business days after the presentation.  Persons making oral </w:t>
      </w:r>
      <w:r w:rsidRPr="000561C6">
        <w:rPr>
          <w:i/>
          <w:szCs w:val="22"/>
        </w:rPr>
        <w:t>ex parte</w:t>
      </w:r>
      <w:r w:rsidRPr="007B7796">
        <w:rPr>
          <w:szCs w:val="22"/>
        </w:rPr>
        <w:t xml:space="preserve"> presentations are reminded that memoranda summarizing the presentation must (1) list all persons attending or otherwise participating in the meeting at which the </w:t>
      </w:r>
      <w:r w:rsidRPr="000561C6">
        <w:rPr>
          <w:i/>
          <w:szCs w:val="22"/>
        </w:rPr>
        <w:t>ex parte</w:t>
      </w:r>
      <w:r w:rsidRPr="007B779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sidR="00846A8A">
        <w:rPr>
          <w:szCs w:val="22"/>
        </w:rPr>
        <w:t>,</w:t>
      </w:r>
      <w:r w:rsidRPr="007B7796">
        <w:rPr>
          <w:szCs w:val="22"/>
        </w:rPr>
        <w:t xml:space="preserve"> or other filings in the proceeding, the presenter may provide citations to such data or arguments in his or her prior comments, memoranda, or other filings (specifying th</w:t>
      </w:r>
      <w:r w:rsidRPr="00F14692">
        <w:rPr>
          <w:szCs w:val="22"/>
        </w:rPr>
        <w:t xml:space="preserve">e relevant page and/or paragraph numbers where such data or arguments can be found) in lieu of summarizing them in the memorandum.  Documents shown or given to Commission staff during </w:t>
      </w:r>
      <w:r w:rsidRPr="000561C6">
        <w:rPr>
          <w:i/>
          <w:szCs w:val="22"/>
        </w:rPr>
        <w:t>ex parte</w:t>
      </w:r>
      <w:r w:rsidRPr="00F14692">
        <w:rPr>
          <w:szCs w:val="22"/>
        </w:rPr>
        <w:t xml:space="preserve"> meetings are deemed to be written ex parte presentations and mu</w:t>
      </w:r>
      <w:r w:rsidRPr="00410328">
        <w:rPr>
          <w:szCs w:val="22"/>
        </w:rPr>
        <w:t>st be filed consistent with rule 1.1206(b).</w:t>
      </w:r>
      <w:r>
        <w:rPr>
          <w:rStyle w:val="FootnoteReference"/>
          <w:szCs w:val="22"/>
        </w:rPr>
        <w:footnoteReference w:id="16"/>
      </w:r>
      <w:r w:rsidRPr="00410328">
        <w:rPr>
          <w:szCs w:val="22"/>
        </w:rPr>
        <w:t xml:space="preserve">  </w:t>
      </w:r>
      <w:r w:rsidRPr="00DC0EA2">
        <w:rPr>
          <w:szCs w:val="22"/>
        </w:rPr>
        <w:t xml:space="preserve">In proceedings governed by rule 1.49(f) or for which the Commission has made available a method of electronic filing, written </w:t>
      </w:r>
      <w:r w:rsidRPr="004376A3">
        <w:rPr>
          <w:i/>
          <w:szCs w:val="22"/>
        </w:rPr>
        <w:t>ex parte</w:t>
      </w:r>
      <w:r w:rsidRPr="00DC0EA2">
        <w:rPr>
          <w:szCs w:val="22"/>
        </w:rPr>
        <w:t xml:space="preserve"> presentations and memoranda summarizing oral </w:t>
      </w:r>
      <w:r w:rsidRPr="004376A3">
        <w:rPr>
          <w:i/>
          <w:szCs w:val="22"/>
        </w:rPr>
        <w:t>ex parte</w:t>
      </w:r>
      <w:r w:rsidRPr="00DC0EA2">
        <w:rPr>
          <w:szCs w:val="22"/>
        </w:rPr>
        <w:t xml:space="preserve"> presentations, and all attachments thereto, must be filed through the electronic comment filing system available for that proceeding, and must be filed in their native format (e.g., .doc, .xml, .ppt, searchable .pdf).</w:t>
      </w:r>
      <w:r>
        <w:rPr>
          <w:szCs w:val="22"/>
        </w:rPr>
        <w:t xml:space="preserve">  </w:t>
      </w:r>
      <w:r w:rsidRPr="00410328">
        <w:rPr>
          <w:szCs w:val="22"/>
        </w:rPr>
        <w:t xml:space="preserve">Participants in this proceeding should familiarize themselves with the Commission’s </w:t>
      </w:r>
      <w:r w:rsidRPr="000561C6">
        <w:rPr>
          <w:i/>
          <w:szCs w:val="22"/>
        </w:rPr>
        <w:t xml:space="preserve">ex parte </w:t>
      </w:r>
      <w:r w:rsidRPr="00410328">
        <w:rPr>
          <w:szCs w:val="22"/>
        </w:rPr>
        <w:t>rules.</w:t>
      </w:r>
    </w:p>
    <w:p w:rsidR="001E7E09" w:rsidRPr="00E46D96" w:rsidP="001E7E09" w14:paraId="5F8D7B02" w14:textId="77777777">
      <w:pPr>
        <w:ind w:firstLine="720"/>
        <w:rPr>
          <w:szCs w:val="22"/>
        </w:rPr>
      </w:pPr>
    </w:p>
    <w:p w:rsidR="001E7E09" w:rsidRPr="00E46D96" w:rsidP="001E7E09" w14:paraId="51B4F46F" w14:textId="77777777">
      <w:pPr>
        <w:rPr>
          <w:szCs w:val="22"/>
        </w:rPr>
      </w:pPr>
      <w:r w:rsidRPr="00E46D96">
        <w:rPr>
          <w:szCs w:val="22"/>
        </w:rPr>
        <w:tab/>
        <w:t xml:space="preserve">For further information, please contact Veronica Garcia-Ulloa, </w:t>
      </w:r>
      <w:r>
        <w:rPr>
          <w:szCs w:val="22"/>
        </w:rPr>
        <w:t xml:space="preserve">Attorney Advisor, </w:t>
      </w:r>
      <w:r w:rsidRPr="00E46D96">
        <w:rPr>
          <w:szCs w:val="22"/>
        </w:rPr>
        <w:t>Telecommunications and Analysis Division, International Bureau, (202) 418-0481.</w:t>
      </w:r>
    </w:p>
    <w:p w:rsidR="001E7E09" w:rsidRPr="00E46D96" w:rsidP="001E7E09" w14:paraId="26123811" w14:textId="77777777">
      <w:pPr>
        <w:rPr>
          <w:szCs w:val="22"/>
        </w:rPr>
      </w:pPr>
    </w:p>
    <w:p w:rsidR="001E7E09" w:rsidRPr="00E46D96" w:rsidP="001E7E09" w14:paraId="23FDB3AD" w14:textId="77777777">
      <w:pPr>
        <w:spacing w:before="120" w:after="240"/>
        <w:jc w:val="center"/>
        <w:rPr>
          <w:szCs w:val="22"/>
        </w:rPr>
      </w:pPr>
      <w:r w:rsidRPr="00E46D96">
        <w:rPr>
          <w:szCs w:val="22"/>
        </w:rPr>
        <w:t>-FCC-</w:t>
      </w:r>
    </w:p>
    <w:p w:rsidR="001E7E09" w:rsidRPr="00E46D96" w:rsidP="001E7E09" w14:paraId="56E2C2F9" w14:textId="77777777">
      <w:pPr>
        <w:ind w:right="90"/>
        <w:jc w:val="right"/>
        <w:rPr>
          <w:szCs w:val="22"/>
        </w:rPr>
      </w:pPr>
    </w:p>
    <w:p w:rsidR="00F96F63" w:rsidP="00F96F63" w14:paraId="545E9D1A" w14:textId="77777777">
      <w:pPr>
        <w:rPr>
          <w:sz w:val="24"/>
        </w:rPr>
      </w:pPr>
    </w:p>
    <w:p w:rsidR="00930ECF" w:rsidRPr="00930ECF" w:rsidP="00F96F63" w14:paraId="4CBDD5B2"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E38A0A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D774D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AF73B9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4786E1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4C59" w14:paraId="44E570B5" w14:textId="77777777">
      <w:r>
        <w:separator/>
      </w:r>
    </w:p>
  </w:footnote>
  <w:footnote w:type="continuationSeparator" w:id="1">
    <w:p w:rsidR="005E4C59" w14:paraId="716315AF" w14:textId="77777777">
      <w:pPr>
        <w:rPr>
          <w:sz w:val="20"/>
        </w:rPr>
      </w:pPr>
      <w:r>
        <w:rPr>
          <w:sz w:val="20"/>
        </w:rPr>
        <w:t xml:space="preserve">(Continued from previous page)  </w:t>
      </w:r>
      <w:r>
        <w:rPr>
          <w:sz w:val="20"/>
        </w:rPr>
        <w:separator/>
      </w:r>
    </w:p>
  </w:footnote>
  <w:footnote w:type="continuationNotice" w:id="2">
    <w:p w:rsidR="005E4C59" w:rsidP="00910F12" w14:paraId="21C2A656" w14:textId="77777777">
      <w:pPr>
        <w:jc w:val="right"/>
        <w:rPr>
          <w:sz w:val="20"/>
        </w:rPr>
      </w:pPr>
    </w:p>
  </w:footnote>
  <w:footnote w:id="3">
    <w:p w:rsidR="001E7E09" w:rsidRPr="000561C6" w:rsidP="001E7E09" w14:paraId="50342D96" w14:textId="0B3785B3">
      <w:pPr>
        <w:shd w:val="clear" w:color="auto" w:fill="FFFFFF"/>
        <w:spacing w:after="120"/>
        <w:rPr>
          <w:sz w:val="20"/>
        </w:rPr>
      </w:pPr>
      <w:r w:rsidRPr="00A278DD">
        <w:rPr>
          <w:rStyle w:val="FootnoteReference"/>
          <w:sz w:val="20"/>
        </w:rPr>
        <w:footnoteRef/>
      </w:r>
      <w:r w:rsidRPr="000561C6">
        <w:rPr>
          <w:sz w:val="20"/>
        </w:rPr>
        <w:t xml:space="preserve"> </w:t>
      </w:r>
      <w:r w:rsidRPr="001B7494" w:rsidR="000A1BAD">
        <w:rPr>
          <w:snapToGrid/>
          <w:kern w:val="0"/>
          <w:sz w:val="20"/>
        </w:rPr>
        <w:t>Letter from Phil Ludvigson, Director, Foreign Investment Risk Management, Office of Policy, U.S. Department of Homeland Security, to Marlene H. Dortch, Secretary, FCC (July 23, 2018) (DHS Letter).</w:t>
      </w:r>
    </w:p>
  </w:footnote>
  <w:footnote w:id="4">
    <w:p w:rsidR="001E7E09" w:rsidRPr="000561C6" w:rsidP="001B7494" w14:paraId="7CC5B439" w14:textId="1B81137D">
      <w:pPr>
        <w:pStyle w:val="FootnoteText"/>
      </w:pPr>
      <w:r w:rsidRPr="000561C6">
        <w:rPr>
          <w:rStyle w:val="FootnoteReference"/>
          <w:sz w:val="20"/>
        </w:rPr>
        <w:footnoteRef/>
      </w:r>
      <w:r w:rsidRPr="000561C6">
        <w:rPr>
          <w:i/>
        </w:rPr>
        <w:t xml:space="preserve"> Id.</w:t>
      </w:r>
      <w:r w:rsidRPr="000561C6">
        <w:t xml:space="preserve"> at 1</w:t>
      </w:r>
      <w:r w:rsidRPr="00591730" w:rsidR="0093701D">
        <w:t>.</w:t>
      </w:r>
    </w:p>
  </w:footnote>
  <w:footnote w:id="5">
    <w:p w:rsidR="001E7E09" w:rsidRPr="000561C6" w:rsidP="001E7E09" w14:paraId="479FDBA7" w14:textId="759D53BE">
      <w:pPr>
        <w:widowControl/>
        <w:autoSpaceDE w:val="0"/>
        <w:autoSpaceDN w:val="0"/>
        <w:adjustRightInd w:val="0"/>
        <w:spacing w:after="120"/>
        <w:rPr>
          <w:snapToGrid/>
          <w:kern w:val="0"/>
          <w:sz w:val="20"/>
        </w:rPr>
      </w:pPr>
      <w:r w:rsidRPr="000561C6">
        <w:rPr>
          <w:rStyle w:val="FootnoteReference"/>
          <w:sz w:val="20"/>
        </w:rPr>
        <w:footnoteRef/>
      </w:r>
      <w:r w:rsidRPr="000561C6">
        <w:rPr>
          <w:sz w:val="20"/>
        </w:rPr>
        <w:t xml:space="preserve"> </w:t>
      </w:r>
      <w:r w:rsidR="00520DEA">
        <w:rPr>
          <w:i/>
          <w:snapToGrid/>
          <w:kern w:val="0"/>
          <w:sz w:val="20"/>
        </w:rPr>
        <w:t>Id.</w:t>
      </w:r>
      <w:r w:rsidRPr="00E72513">
        <w:rPr>
          <w:i/>
          <w:snapToGrid/>
          <w:kern w:val="0"/>
          <w:sz w:val="20"/>
        </w:rPr>
        <w:t xml:space="preserve"> </w:t>
      </w:r>
      <w:r w:rsidRPr="000561C6">
        <w:rPr>
          <w:snapToGrid/>
          <w:kern w:val="0"/>
          <w:sz w:val="20"/>
        </w:rPr>
        <w:t xml:space="preserve"> </w:t>
      </w:r>
    </w:p>
  </w:footnote>
  <w:footnote w:id="6">
    <w:p w:rsidR="001E7E09" w:rsidRPr="000561C6" w:rsidP="001E7E09" w14:paraId="5ABA73B4" w14:textId="7D9109F1">
      <w:pPr>
        <w:pStyle w:val="FootnoteText"/>
      </w:pPr>
      <w:r w:rsidRPr="000561C6">
        <w:rPr>
          <w:rStyle w:val="FootnoteReference"/>
        </w:rPr>
        <w:footnoteRef/>
      </w:r>
      <w:r w:rsidRPr="000561C6">
        <w:t xml:space="preserve"> Letter from Denise Coca, Division Chief, Telecommunications and Analysis Division, International Bureau, FCC to Mr. </w:t>
      </w:r>
      <w:r w:rsidR="004D5A63">
        <w:t>Kyle L. Dickson, Esq., General Counsel</w:t>
      </w:r>
      <w:r w:rsidRPr="000561C6">
        <w:t xml:space="preserve">, </w:t>
      </w:r>
      <w:r w:rsidR="004D5A63">
        <w:t>StarVox Communications, Inc., Capital Telecommunications, Inc., and U.S. Wireless Data, Inc</w:t>
      </w:r>
      <w:r w:rsidRPr="000561C6">
        <w:t>. at 1 (</w:t>
      </w:r>
      <w:r w:rsidR="00F53CB7">
        <w:t>Dec</w:t>
      </w:r>
      <w:r w:rsidRPr="000561C6">
        <w:t xml:space="preserve">. </w:t>
      </w:r>
      <w:r w:rsidR="00F53CB7">
        <w:t>14</w:t>
      </w:r>
      <w:r w:rsidRPr="000561C6">
        <w:t>, 2018) (</w:t>
      </w:r>
      <w:r w:rsidR="004D5A63">
        <w:rPr>
          <w:i/>
        </w:rPr>
        <w:t>StarVox</w:t>
      </w:r>
      <w:r w:rsidR="004D5A63">
        <w:rPr>
          <w:i/>
        </w:rPr>
        <w:t xml:space="preserve"> and CTI</w:t>
      </w:r>
      <w:r w:rsidRPr="00E72513">
        <w:rPr>
          <w:i/>
        </w:rPr>
        <w:t xml:space="preserve"> Letter</w:t>
      </w:r>
      <w:r w:rsidRPr="000561C6">
        <w:t>).  A copy of this letter</w:t>
      </w:r>
      <w:r w:rsidR="002E5897">
        <w:t>,</w:t>
      </w:r>
      <w:r w:rsidR="004D5A63">
        <w:t xml:space="preserve"> </w:t>
      </w:r>
      <w:r w:rsidRPr="000561C6">
        <w:t xml:space="preserve">the </w:t>
      </w:r>
      <w:r w:rsidRPr="001B7494" w:rsidR="004D5A63">
        <w:t>DHS Letter</w:t>
      </w:r>
      <w:r w:rsidR="002E5897">
        <w:t>, and other filings</w:t>
      </w:r>
      <w:r w:rsidRPr="000561C6">
        <w:t xml:space="preserve"> may be viewed on the FCC’s website through IBFS at </w:t>
      </w:r>
      <w:hyperlink r:id="rId1" w:history="1">
        <w:r w:rsidRPr="000561C6">
          <w:rPr>
            <w:rStyle w:val="Hyperlink"/>
          </w:rPr>
          <w:t>https://licensing.fcc.gov/myibfs</w:t>
        </w:r>
      </w:hyperlink>
      <w:r w:rsidRPr="000561C6">
        <w:t xml:space="preserve"> by searching for File No. </w:t>
      </w:r>
      <w:r w:rsidRPr="000561C6">
        <w:rPr>
          <w:bCs/>
        </w:rPr>
        <w:t>ITC-214-</w:t>
      </w:r>
      <w:r w:rsidR="004D5A63">
        <w:rPr>
          <w:bCs/>
        </w:rPr>
        <w:t>19920520</w:t>
      </w:r>
      <w:r w:rsidRPr="000561C6">
        <w:rPr>
          <w:bCs/>
        </w:rPr>
        <w:t>-</w:t>
      </w:r>
      <w:r w:rsidRPr="000561C6" w:rsidR="004D5A63">
        <w:rPr>
          <w:bCs/>
        </w:rPr>
        <w:t>00</w:t>
      </w:r>
      <w:r w:rsidR="004D5A63">
        <w:rPr>
          <w:bCs/>
        </w:rPr>
        <w:t>115</w:t>
      </w:r>
      <w:r w:rsidRPr="000561C6" w:rsidR="004D5A63">
        <w:rPr>
          <w:b/>
          <w:bCs/>
        </w:rPr>
        <w:t xml:space="preserve"> </w:t>
      </w:r>
      <w:r w:rsidRPr="001B7494" w:rsidR="004D5A63">
        <w:rPr>
          <w:bCs/>
        </w:rPr>
        <w:t>or</w:t>
      </w:r>
      <w:r w:rsidR="004D5A63">
        <w:rPr>
          <w:b/>
          <w:bCs/>
        </w:rPr>
        <w:t xml:space="preserve"> </w:t>
      </w:r>
      <w:r w:rsidRPr="000561C6" w:rsidR="004D5A63">
        <w:rPr>
          <w:bCs/>
        </w:rPr>
        <w:t>ITC-214-200</w:t>
      </w:r>
      <w:r w:rsidR="004D5A63">
        <w:rPr>
          <w:bCs/>
        </w:rPr>
        <w:t>50407</w:t>
      </w:r>
      <w:r w:rsidRPr="000561C6" w:rsidR="004D5A63">
        <w:rPr>
          <w:bCs/>
        </w:rPr>
        <w:t>-00</w:t>
      </w:r>
      <w:r w:rsidR="004D5A63">
        <w:rPr>
          <w:bCs/>
        </w:rPr>
        <w:t>146</w:t>
      </w:r>
      <w:r w:rsidRPr="000561C6" w:rsidR="004D5A63">
        <w:rPr>
          <w:b/>
          <w:bCs/>
        </w:rPr>
        <w:t xml:space="preserve"> </w:t>
      </w:r>
      <w:r w:rsidRPr="000561C6">
        <w:t>and accessing the “other filings related to this application” from the Document Viewing area.</w:t>
      </w:r>
    </w:p>
  </w:footnote>
  <w:footnote w:id="7">
    <w:p w:rsidR="001E7E09" w:rsidRPr="003411A8" w:rsidP="003411A8" w14:paraId="3DF598A8" w14:textId="453E6B81">
      <w:pPr>
        <w:pStyle w:val="FootnoteText"/>
      </w:pPr>
      <w:r w:rsidRPr="000561C6">
        <w:rPr>
          <w:rStyle w:val="FootnoteReference"/>
        </w:rPr>
        <w:footnoteRef/>
      </w:r>
      <w:r w:rsidRPr="000561C6">
        <w:t xml:space="preserve"> </w:t>
      </w:r>
      <w:r w:rsidRPr="000561C6">
        <w:rPr>
          <w:i/>
        </w:rPr>
        <w:t>Id</w:t>
      </w:r>
      <w:r w:rsidRPr="000561C6">
        <w:t xml:space="preserve">. at </w:t>
      </w:r>
      <w:r w:rsidR="004D5A63">
        <w:t>3</w:t>
      </w:r>
      <w:r w:rsidRPr="000561C6">
        <w:t>.</w:t>
      </w:r>
      <w:r w:rsidR="003411A8">
        <w:t xml:space="preserve">  We also noted that on April 2, 2008, pursuant to Section 63.71(c) of the Commission’s rules and absent further Commission action, the Wireline Competition Bureau approved StarVox and CTI’s request to discontinue domestic service on or after May 3, 2008</w:t>
      </w:r>
      <w:r w:rsidR="00401945">
        <w:t>,</w:t>
      </w:r>
      <w:r w:rsidR="003411A8">
        <w:t xml:space="preserve"> and </w:t>
      </w:r>
      <w:r w:rsidR="00502D6D">
        <w:t xml:space="preserve">that </w:t>
      </w:r>
      <w:r w:rsidR="003411A8">
        <w:t xml:space="preserve">we do not address the Executive Branch Agencies’ request to terminate the domestic Section 214 authorizations of StarVox and CTI.  </w:t>
      </w:r>
      <w:r w:rsidR="003411A8">
        <w:rPr>
          <w:i/>
        </w:rPr>
        <w:t xml:space="preserve">Id. </w:t>
      </w:r>
      <w:r w:rsidR="003411A8">
        <w:t>at 2.</w:t>
      </w:r>
    </w:p>
  </w:footnote>
  <w:footnote w:id="8">
    <w:p w:rsidR="001E7E09" w:rsidRPr="000561C6" w:rsidP="001E7E09" w14:paraId="11EE3DD3" w14:textId="5BE3A140">
      <w:pPr>
        <w:pStyle w:val="FootnoteText"/>
      </w:pPr>
      <w:r w:rsidRPr="000561C6">
        <w:rPr>
          <w:rStyle w:val="FootnoteReference"/>
        </w:rPr>
        <w:footnoteRef/>
      </w:r>
      <w:r w:rsidRPr="000561C6">
        <w:t xml:space="preserve"> </w:t>
      </w:r>
      <w:r w:rsidR="00726E34">
        <w:t>We sent t</w:t>
      </w:r>
      <w:r w:rsidRPr="000561C6">
        <w:t xml:space="preserve">he </w:t>
      </w:r>
      <w:r w:rsidR="00425359">
        <w:rPr>
          <w:i/>
        </w:rPr>
        <w:t>StarVox</w:t>
      </w:r>
      <w:r w:rsidR="00425359">
        <w:rPr>
          <w:i/>
        </w:rPr>
        <w:t xml:space="preserve"> and CTI</w:t>
      </w:r>
      <w:r w:rsidRPr="00E72513" w:rsidR="00425359">
        <w:rPr>
          <w:i/>
        </w:rPr>
        <w:t xml:space="preserve"> Letter</w:t>
      </w:r>
      <w:r w:rsidRPr="000561C6">
        <w:t xml:space="preserve"> to</w:t>
      </w:r>
      <w:r>
        <w:t>: (1)</w:t>
      </w:r>
      <w:r w:rsidRPr="000561C6">
        <w:t xml:space="preserve"> </w:t>
      </w:r>
      <w:r w:rsidR="00425359">
        <w:t>Kyle L. Dickson, Esq., General Counsel for StarVox Communications, Inc., Capital Telecommunications, Inc., and U.S. Wireless Data, Inc.</w:t>
      </w:r>
      <w:r>
        <w:t xml:space="preserve"> – </w:t>
      </w:r>
      <w:r w:rsidR="00425359">
        <w:t>8275 El Rio</w:t>
      </w:r>
      <w:r w:rsidRPr="000561C6">
        <w:t>, Suite</w:t>
      </w:r>
      <w:r>
        <w:t xml:space="preserve"> </w:t>
      </w:r>
      <w:r w:rsidRPr="000561C6">
        <w:t xml:space="preserve"># </w:t>
      </w:r>
      <w:r w:rsidR="00425359">
        <w:t>110</w:t>
      </w:r>
      <w:r w:rsidR="00846A8A">
        <w:t>,</w:t>
      </w:r>
      <w:r w:rsidRPr="000561C6">
        <w:t xml:space="preserve"> </w:t>
      </w:r>
      <w:r w:rsidR="00425359">
        <w:t>Houston</w:t>
      </w:r>
      <w:r w:rsidRPr="000561C6">
        <w:t xml:space="preserve">, </w:t>
      </w:r>
      <w:r w:rsidR="00425359">
        <w:t>Texas</w:t>
      </w:r>
      <w:r w:rsidRPr="000561C6" w:rsidR="00425359">
        <w:t xml:space="preserve"> </w:t>
      </w:r>
      <w:r w:rsidR="00425359">
        <w:t>77054 and 2728 Orchard Parkway</w:t>
      </w:r>
      <w:r w:rsidR="007A2CD3">
        <w:t>,</w:t>
      </w:r>
      <w:r w:rsidR="00425359">
        <w:t xml:space="preserve"> San Jose, California 95134</w:t>
      </w:r>
      <w:r>
        <w:t xml:space="preserve">; (2) </w:t>
      </w:r>
      <w:r w:rsidR="00A07657">
        <w:t>Capital Telecommunications, Inc.</w:t>
      </w:r>
      <w:r w:rsidRPr="000561C6">
        <w:t xml:space="preserve"> </w:t>
      </w:r>
      <w:r>
        <w:t xml:space="preserve">– </w:t>
      </w:r>
      <w:r w:rsidR="00A07657">
        <w:t>200 West Market Street</w:t>
      </w:r>
      <w:r w:rsidR="003266FE">
        <w:t>,</w:t>
      </w:r>
      <w:r w:rsidR="00A07657">
        <w:t xml:space="preserve"> York</w:t>
      </w:r>
      <w:r w:rsidRPr="000561C6">
        <w:t xml:space="preserve">, </w:t>
      </w:r>
      <w:r w:rsidR="00A07657">
        <w:t>Pennsylvania</w:t>
      </w:r>
      <w:r w:rsidRPr="000561C6" w:rsidR="00A07657">
        <w:t xml:space="preserve"> </w:t>
      </w:r>
      <w:r w:rsidR="00A07657">
        <w:t xml:space="preserve">17401; (3) Thomas E. Rowley, Chief Executive Officer and Director of U.S. Wireless Data, Inc. </w:t>
      </w:r>
      <w:r w:rsidR="007A2CD3">
        <w:t>–</w:t>
      </w:r>
      <w:r w:rsidRPr="000561C6">
        <w:t xml:space="preserve"> </w:t>
      </w:r>
      <w:r w:rsidR="00A07657">
        <w:t>2728 Orchard Parkway</w:t>
      </w:r>
      <w:r w:rsidR="007A2CD3">
        <w:t>,</w:t>
      </w:r>
      <w:r w:rsidR="00A07657">
        <w:t xml:space="preserve"> San Jose, California 95134</w:t>
      </w:r>
      <w:r w:rsidRPr="001B7494" w:rsidR="00A07657">
        <w:t>;</w:t>
      </w:r>
      <w:r w:rsidR="00A07657">
        <w:rPr>
          <w:b/>
        </w:rPr>
        <w:t xml:space="preserve"> </w:t>
      </w:r>
      <w:r w:rsidRPr="001B7494" w:rsidR="00A07657">
        <w:t>and</w:t>
      </w:r>
      <w:r w:rsidR="00A07657">
        <w:rPr>
          <w:b/>
        </w:rPr>
        <w:t xml:space="preserve"> (</w:t>
      </w:r>
      <w:r w:rsidRPr="001B7494" w:rsidR="00A07657">
        <w:t>4)</w:t>
      </w:r>
      <w:r w:rsidR="00A07657">
        <w:t xml:space="preserve"> Jackie Sorman, StarVox Communications Inc.’s DC Agent, Premier Corporate Services, Inc., National Registered Agents, Inc. – 1090 Vermont Avenue, NW</w:t>
      </w:r>
      <w:r w:rsidR="007A2CD3">
        <w:t>,</w:t>
      </w:r>
      <w:r w:rsidR="00A07657">
        <w:t xml:space="preserve"> Suite 190</w:t>
      </w:r>
      <w:r w:rsidR="007A2CD3">
        <w:t>,</w:t>
      </w:r>
      <w:r w:rsidR="00A07657">
        <w:t xml:space="preserve"> Washington, DC 20005</w:t>
      </w:r>
      <w:r w:rsidRPr="000561C6">
        <w:t>.</w:t>
      </w:r>
      <w:r w:rsidR="00520DEA">
        <w:t xml:space="preserve">  </w:t>
      </w:r>
      <w:r>
        <w:t xml:space="preserve">We also emailed </w:t>
      </w:r>
      <w:r w:rsidR="00846A8A">
        <w:t xml:space="preserve">the letter to </w:t>
      </w:r>
      <w:r w:rsidR="00726E34">
        <w:t xml:space="preserve">the contact emails on record:  </w:t>
      </w:r>
      <w:r w:rsidR="00A07657">
        <w:t xml:space="preserve">Kyle L. Dickson </w:t>
      </w:r>
      <w:r w:rsidR="00846A8A">
        <w:t xml:space="preserve">at </w:t>
      </w:r>
      <w:hyperlink r:id="rId2" w:history="1">
        <w:r w:rsidRPr="001B7494" w:rsidR="00A07657">
          <w:rPr>
            <w:rStyle w:val="Hyperlink"/>
          </w:rPr>
          <w:t>kdickson@starvox.com</w:t>
        </w:r>
      </w:hyperlink>
      <w:r w:rsidR="00C27E8D">
        <w:t>;</w:t>
      </w:r>
      <w:r w:rsidRPr="001B7494" w:rsidR="00A07657">
        <w:t xml:space="preserve"> Thomas Rowley at</w:t>
      </w:r>
      <w:r w:rsidR="00A07657">
        <w:rPr>
          <w:rStyle w:val="Hyperlink"/>
        </w:rPr>
        <w:t xml:space="preserve"> </w:t>
      </w:r>
      <w:hyperlink r:id="rId3" w:history="1">
        <w:r w:rsidRPr="00F10A68" w:rsidR="00A07657">
          <w:rPr>
            <w:rStyle w:val="Hyperlink"/>
          </w:rPr>
          <w:t>tomrowley@starvox.com</w:t>
        </w:r>
      </w:hyperlink>
      <w:r w:rsidR="00C27E8D">
        <w:t>;</w:t>
      </w:r>
      <w:r w:rsidRPr="001B7494" w:rsidR="00A07657">
        <w:t xml:space="preserve"> and Jackie </w:t>
      </w:r>
      <w:r w:rsidRPr="001B7494" w:rsidR="00A07657">
        <w:t>Sor</w:t>
      </w:r>
      <w:r w:rsidR="00A07657">
        <w:t>m</w:t>
      </w:r>
      <w:r w:rsidRPr="001B7494" w:rsidR="00A07657">
        <w:t>an</w:t>
      </w:r>
      <w:r w:rsidRPr="001B7494" w:rsidR="00A07657">
        <w:t xml:space="preserve"> at</w:t>
      </w:r>
      <w:r w:rsidR="00A07657">
        <w:rPr>
          <w:rStyle w:val="Hyperlink"/>
        </w:rPr>
        <w:t xml:space="preserve"> jackie@premiercorp.com</w:t>
      </w:r>
      <w:r w:rsidR="00A712A1">
        <w:t xml:space="preserve">. </w:t>
      </w:r>
      <w:r w:rsidR="005F4B5D">
        <w:t xml:space="preserve"> </w:t>
      </w:r>
      <w:r w:rsidR="00A712A1">
        <w:rPr>
          <w:snapToGrid w:val="0"/>
        </w:rPr>
        <w:t xml:space="preserve">We received </w:t>
      </w:r>
      <w:r w:rsidR="00520DEA">
        <w:rPr>
          <w:snapToGrid w:val="0"/>
        </w:rPr>
        <w:t xml:space="preserve">no answer in response </w:t>
      </w:r>
      <w:r w:rsidR="002E5897">
        <w:rPr>
          <w:snapToGrid w:val="0"/>
        </w:rPr>
        <w:t xml:space="preserve">to our email </w:t>
      </w:r>
      <w:r w:rsidR="0097540F">
        <w:rPr>
          <w:snapToGrid w:val="0"/>
        </w:rPr>
        <w:t>except</w:t>
      </w:r>
      <w:r w:rsidR="002E5897">
        <w:rPr>
          <w:snapToGrid w:val="0"/>
        </w:rPr>
        <w:t xml:space="preserve"> </w:t>
      </w:r>
      <w:r w:rsidR="00A712A1">
        <w:rPr>
          <w:snapToGrid w:val="0"/>
        </w:rPr>
        <w:t xml:space="preserve">an </w:t>
      </w:r>
      <w:r w:rsidR="00520DEA">
        <w:rPr>
          <w:snapToGrid w:val="0"/>
        </w:rPr>
        <w:t>email</w:t>
      </w:r>
      <w:r w:rsidR="00A712A1">
        <w:rPr>
          <w:snapToGrid w:val="0"/>
        </w:rPr>
        <w:t xml:space="preserve"> stating that delivery to </w:t>
      </w:r>
      <w:r w:rsidR="00A07657">
        <w:rPr>
          <w:snapToGrid w:val="0"/>
        </w:rPr>
        <w:t>recipients</w:t>
      </w:r>
      <w:r w:rsidR="00A712A1">
        <w:rPr>
          <w:snapToGrid w:val="0"/>
        </w:rPr>
        <w:t xml:space="preserve"> was complete, but no delivery notification was sent by the destination</w:t>
      </w:r>
      <w:r w:rsidR="00126BBD">
        <w:rPr>
          <w:snapToGrid w:val="0"/>
        </w:rPr>
        <w:t xml:space="preserve"> server</w:t>
      </w:r>
      <w:r w:rsidRPr="001E7E09">
        <w:t>.</w:t>
      </w:r>
      <w:r w:rsidR="00520DEA">
        <w:t xml:space="preserve">  </w:t>
      </w:r>
    </w:p>
  </w:footnote>
  <w:footnote w:id="9">
    <w:p w:rsidR="001E7E09" w:rsidRPr="000561C6" w:rsidP="001E7E09" w14:paraId="7BC6847E" w14:textId="5A688BDD">
      <w:pPr>
        <w:pStyle w:val="FootnoteText"/>
      </w:pPr>
      <w:r w:rsidRPr="000561C6">
        <w:rPr>
          <w:rStyle w:val="FootnoteReference"/>
        </w:rPr>
        <w:footnoteRef/>
      </w:r>
      <w:r w:rsidRPr="000561C6">
        <w:t xml:space="preserve"> </w:t>
      </w:r>
      <w:r w:rsidR="00784120">
        <w:rPr>
          <w:i/>
        </w:rPr>
        <w:t>StarVox and CTI</w:t>
      </w:r>
      <w:r w:rsidRPr="00E72513" w:rsidR="00784120">
        <w:rPr>
          <w:i/>
        </w:rPr>
        <w:t xml:space="preserve"> Letter</w:t>
      </w:r>
      <w:r w:rsidRPr="00E72513" w:rsidR="00784120">
        <w:rPr>
          <w:i/>
        </w:rPr>
        <w:t xml:space="preserve"> </w:t>
      </w:r>
      <w:r w:rsidRPr="000561C6">
        <w:t xml:space="preserve">at </w:t>
      </w:r>
      <w:r w:rsidR="00784120">
        <w:t>2</w:t>
      </w:r>
      <w:r w:rsidRPr="000561C6" w:rsidR="00784120">
        <w:t xml:space="preserve"> </w:t>
      </w:r>
      <w:r w:rsidRPr="000561C6">
        <w:t>(stating that after having received an international Section 214 authorization, pursuant to Section 63.21(a), a carrier “is responsible for the continuing accuracy of the certifications made in its application” and must correct information no longer accurate, “and in any event, within thirty (30) days”); 47 CFR § 63.21(a).</w:t>
      </w:r>
    </w:p>
  </w:footnote>
  <w:footnote w:id="10">
    <w:p w:rsidR="001E7E09" w:rsidRPr="000561C6" w:rsidP="001E7E09" w14:paraId="09D5C27F" w14:textId="5D573F8D">
      <w:pPr>
        <w:pStyle w:val="FootnoteText"/>
      </w:pPr>
      <w:r w:rsidRPr="000561C6">
        <w:rPr>
          <w:rStyle w:val="FootnoteReference"/>
        </w:rPr>
        <w:footnoteRef/>
      </w:r>
      <w:r w:rsidRPr="000561C6">
        <w:t xml:space="preserve"> </w:t>
      </w:r>
      <w:r w:rsidRPr="000561C6">
        <w:rPr>
          <w:i/>
        </w:rPr>
        <w:t>Id.</w:t>
      </w:r>
      <w:r w:rsidRPr="000561C6">
        <w:t xml:space="preserve"> at </w:t>
      </w:r>
      <w:r w:rsidR="00784120">
        <w:t>2</w:t>
      </w:r>
      <w:r w:rsidRPr="000561C6">
        <w:t>, n.</w:t>
      </w:r>
      <w:r w:rsidR="00784120">
        <w:t>8</w:t>
      </w:r>
      <w:r>
        <w:t>;</w:t>
      </w:r>
      <w:r w:rsidRPr="000561C6">
        <w:t xml:space="preserve"> 47 CFR § 63.19.  </w:t>
      </w:r>
    </w:p>
  </w:footnote>
  <w:footnote w:id="11">
    <w:p w:rsidR="001E7E09" w:rsidRPr="000561C6" w:rsidP="001E7E09" w14:paraId="68934B31" w14:textId="46ADFBBA">
      <w:pPr>
        <w:widowControl/>
        <w:autoSpaceDE w:val="0"/>
        <w:autoSpaceDN w:val="0"/>
        <w:adjustRightInd w:val="0"/>
        <w:spacing w:after="120"/>
        <w:rPr>
          <w:sz w:val="20"/>
        </w:rPr>
      </w:pPr>
      <w:r w:rsidRPr="000561C6">
        <w:rPr>
          <w:rStyle w:val="FootnoteReference"/>
          <w:sz w:val="20"/>
        </w:rPr>
        <w:footnoteRef/>
      </w:r>
      <w:r w:rsidRPr="000561C6">
        <w:rPr>
          <w:sz w:val="20"/>
        </w:rPr>
        <w:t xml:space="preserve"> </w:t>
      </w:r>
      <w:r w:rsidRPr="000561C6">
        <w:rPr>
          <w:i/>
          <w:sz w:val="20"/>
        </w:rPr>
        <w:t>Id</w:t>
      </w:r>
      <w:r w:rsidRPr="000561C6">
        <w:rPr>
          <w:sz w:val="20"/>
        </w:rPr>
        <w:t xml:space="preserve">. at </w:t>
      </w:r>
      <w:r w:rsidR="00784120">
        <w:rPr>
          <w:sz w:val="20"/>
        </w:rPr>
        <w:t>3</w:t>
      </w:r>
      <w:r w:rsidR="00C23A91">
        <w:rPr>
          <w:sz w:val="20"/>
        </w:rPr>
        <w:t>,</w:t>
      </w:r>
      <w:r w:rsidRPr="000561C6">
        <w:rPr>
          <w:sz w:val="20"/>
        </w:rPr>
        <w:t xml:space="preserve"> </w:t>
      </w:r>
      <w:r>
        <w:rPr>
          <w:sz w:val="20"/>
        </w:rPr>
        <w:t>n</w:t>
      </w:r>
      <w:r w:rsidRPr="000561C6">
        <w:rPr>
          <w:sz w:val="20"/>
        </w:rPr>
        <w:t>.</w:t>
      </w:r>
      <w:r w:rsidR="00784120">
        <w:rPr>
          <w:sz w:val="20"/>
        </w:rPr>
        <w:t>9</w:t>
      </w:r>
      <w:r w:rsidRPr="000561C6" w:rsidR="00784120">
        <w:rPr>
          <w:sz w:val="20"/>
        </w:rPr>
        <w:t xml:space="preserve"> </w:t>
      </w:r>
      <w:r w:rsidRPr="000561C6">
        <w:rPr>
          <w:sz w:val="20"/>
        </w:rPr>
        <w:t xml:space="preserve">(citing </w:t>
      </w:r>
      <w:r w:rsidRPr="000561C6">
        <w:rPr>
          <w:snapToGrid/>
          <w:kern w:val="0"/>
          <w:sz w:val="20"/>
        </w:rPr>
        <w:t>47 CFR § 43.62(b) and providing subsequent history).</w:t>
      </w:r>
    </w:p>
  </w:footnote>
  <w:footnote w:id="12">
    <w:p w:rsidR="001E7E09" w:rsidRPr="000561C6" w:rsidP="001E7E09" w14:paraId="75B87475" w14:textId="77777777">
      <w:pPr>
        <w:pStyle w:val="FootnoteText"/>
      </w:pPr>
      <w:r w:rsidRPr="000561C6">
        <w:rPr>
          <w:rStyle w:val="FootnoteReference"/>
        </w:rPr>
        <w:footnoteRef/>
      </w:r>
      <w:r w:rsidRPr="000561C6">
        <w:t xml:space="preserve"> 47 CFR § 43.62(b) (2015).</w:t>
      </w:r>
    </w:p>
  </w:footnote>
  <w:footnote w:id="13">
    <w:p w:rsidR="001E7E09" w:rsidRPr="000561C6" w:rsidP="001E7E09" w14:paraId="4058AEA8" w14:textId="7BD80DA1">
      <w:pPr>
        <w:pStyle w:val="FootnoteText"/>
      </w:pPr>
      <w:r w:rsidRPr="000561C6">
        <w:rPr>
          <w:rStyle w:val="FootnoteReference"/>
        </w:rPr>
        <w:footnoteRef/>
      </w:r>
      <w:r w:rsidRPr="000561C6">
        <w:t xml:space="preserve"> </w:t>
      </w:r>
      <w:r w:rsidR="00A21CED">
        <w:rPr>
          <w:i/>
        </w:rPr>
        <w:t>StarVox</w:t>
      </w:r>
      <w:r w:rsidR="00A21CED">
        <w:rPr>
          <w:i/>
        </w:rPr>
        <w:t xml:space="preserve"> and CTI Letter</w:t>
      </w:r>
      <w:r w:rsidRPr="000561C6">
        <w:t xml:space="preserve"> at </w:t>
      </w:r>
      <w:r w:rsidR="00784120">
        <w:t>3</w:t>
      </w:r>
      <w:r>
        <w:t xml:space="preserve"> </w:t>
      </w:r>
      <w:r w:rsidR="00502D6D">
        <w:t xml:space="preserve">&amp; </w:t>
      </w:r>
      <w:r>
        <w:t>n.</w:t>
      </w:r>
      <w:r w:rsidR="00784120">
        <w:t>11</w:t>
      </w:r>
      <w:r w:rsidRPr="000561C6">
        <w:t>.</w:t>
      </w:r>
    </w:p>
  </w:footnote>
  <w:footnote w:id="14">
    <w:p w:rsidR="005B4E2E" w14:paraId="73AC96F4" w14:textId="6AF5949A">
      <w:pPr>
        <w:pStyle w:val="FootnoteText"/>
      </w:pPr>
      <w:r>
        <w:rPr>
          <w:rStyle w:val="FootnoteReference"/>
        </w:rPr>
        <w:footnoteRef/>
      </w:r>
      <w:r>
        <w:t xml:space="preserve"> Because </w:t>
      </w:r>
      <w:r w:rsidR="00726E34">
        <w:t xml:space="preserve">the </w:t>
      </w:r>
      <w:r w:rsidR="00DA3822">
        <w:t xml:space="preserve">letter sent to </w:t>
      </w:r>
      <w:r w:rsidR="00726E34">
        <w:t xml:space="preserve">each of </w:t>
      </w:r>
      <w:r>
        <w:t xml:space="preserve">the addresses </w:t>
      </w:r>
      <w:r w:rsidR="00B93083">
        <w:t xml:space="preserve">on record </w:t>
      </w:r>
      <w:r w:rsidR="00726E34">
        <w:t xml:space="preserve">was </w:t>
      </w:r>
      <w:r>
        <w:t xml:space="preserve">undeliverable, we will email this Public Notice to the last </w:t>
      </w:r>
      <w:r w:rsidR="00B93083">
        <w:t xml:space="preserve">known </w:t>
      </w:r>
      <w:r>
        <w:t xml:space="preserve">email addresses.  </w:t>
      </w:r>
      <w:r w:rsidRPr="005B4E2E">
        <w:t xml:space="preserve">   </w:t>
      </w:r>
    </w:p>
  </w:footnote>
  <w:footnote w:id="15">
    <w:p w:rsidR="001E7E09" w:rsidRPr="000561C6" w:rsidP="001E7E09" w14:paraId="25312A24" w14:textId="77777777">
      <w:pPr>
        <w:pStyle w:val="FootnoteText"/>
        <w:rPr>
          <w:i/>
        </w:rPr>
      </w:pPr>
      <w:r w:rsidRPr="000561C6">
        <w:rPr>
          <w:rStyle w:val="FootnoteReference"/>
        </w:rPr>
        <w:footnoteRef/>
      </w:r>
      <w:r w:rsidRPr="000561C6">
        <w:t xml:space="preserve"> 47 CFR § 1.1200 </w:t>
      </w:r>
      <w:r w:rsidRPr="000561C6">
        <w:rPr>
          <w:i/>
          <w:iCs/>
        </w:rPr>
        <w:t>et seq.</w:t>
      </w:r>
    </w:p>
  </w:footnote>
  <w:footnote w:id="16">
    <w:p w:rsidR="001E7E09" w:rsidRPr="000561C6" w:rsidP="001E7E09" w14:paraId="6A2A6903" w14:textId="77777777">
      <w:pPr>
        <w:pStyle w:val="FootnoteText"/>
      </w:pPr>
      <w:r w:rsidRPr="000561C6">
        <w:rPr>
          <w:rStyle w:val="FootnoteReference"/>
        </w:rPr>
        <w:footnoteRef/>
      </w:r>
      <w:r w:rsidRPr="000561C6">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B368544" w14:textId="524D520B">
    <w:pPr>
      <w:tabs>
        <w:tab w:val="center" w:pos="4680"/>
        <w:tab w:val="right" w:pos="9360"/>
      </w:tabs>
    </w:pPr>
    <w:r w:rsidRPr="009838BC">
      <w:rPr>
        <w:b/>
      </w:rPr>
      <w:tab/>
    </w:r>
    <w:r w:rsidRPr="009838BC">
      <w:rPr>
        <w:b/>
      </w:rPr>
      <w:tab/>
    </w:r>
    <w:r w:rsidR="00D924C7">
      <w:rPr>
        <w:b/>
      </w:rPr>
      <w:t xml:space="preserve">DA </w:t>
    </w:r>
    <w:r w:rsidR="00952E56">
      <w:rPr>
        <w:b/>
      </w:rPr>
      <w:t>19</w:t>
    </w:r>
    <w:r w:rsidR="00D924C7">
      <w:rPr>
        <w:b/>
      </w:rPr>
      <w:t>-</w:t>
    </w:r>
    <w:r w:rsidR="00FE7364">
      <w:rPr>
        <w:b/>
      </w:rPr>
      <w:t>124</w:t>
    </w:r>
  </w:p>
  <w:p w:rsidR="009838BC" w:rsidRPr="009838BC" w:rsidP="009838BC" w14:paraId="55A35CB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729B31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3D2A869"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EF85143" w14:textId="77777777">
                    <w:pPr>
                      <w:rPr>
                        <w:rFonts w:ascii="Arial" w:hAnsi="Arial"/>
                        <w:b/>
                      </w:rPr>
                    </w:pPr>
                    <w:r>
                      <w:rPr>
                        <w:rFonts w:ascii="Arial" w:hAnsi="Arial"/>
                        <w:b/>
                      </w:rPr>
                      <w:t>Federal Communications Commission</w:t>
                    </w:r>
                  </w:p>
                  <w:p w:rsidR="009838BC" w:rsidP="009838BC" w14:paraId="475267A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F5F7CA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50324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3936783"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66D32838" w14:textId="77777777">
                    <w:pPr>
                      <w:spacing w:before="40"/>
                      <w:jc w:val="right"/>
                      <w:rPr>
                        <w:rFonts w:ascii="Arial" w:hAnsi="Arial"/>
                        <w:b/>
                        <w:sz w:val="16"/>
                      </w:rPr>
                    </w:pPr>
                    <w:r>
                      <w:rPr>
                        <w:rFonts w:ascii="Arial" w:hAnsi="Arial"/>
                        <w:b/>
                        <w:sz w:val="16"/>
                      </w:rPr>
                      <w:t>News Media Information 202 / 418-0500</w:t>
                    </w:r>
                  </w:p>
                  <w:p w:rsidR="009838BC" w:rsidP="009838BC" w14:paraId="4DBACA27"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1EA23E5" w14:textId="77777777">
                    <w:pPr>
                      <w:jc w:val="right"/>
                    </w:pPr>
                    <w:r>
                      <w:rPr>
                        <w:rFonts w:ascii="Arial" w:hAnsi="Arial"/>
                        <w:b/>
                        <w:sz w:val="16"/>
                      </w:rPr>
                      <w:t>TTY: 1-888-835-5322</w:t>
                    </w:r>
                  </w:p>
                </w:txbxContent>
              </v:textbox>
            </v:shape>
          </w:pict>
        </mc:Fallback>
      </mc:AlternateContent>
    </w:r>
  </w:p>
  <w:p w:rsidR="006F7393" w:rsidRPr="009838BC" w:rsidP="009838BC" w14:paraId="08F6DC3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09"/>
    <w:rsid w:val="000072CE"/>
    <w:rsid w:val="00007D47"/>
    <w:rsid w:val="000110A0"/>
    <w:rsid w:val="00013A8B"/>
    <w:rsid w:val="00021445"/>
    <w:rsid w:val="00026FD8"/>
    <w:rsid w:val="00036039"/>
    <w:rsid w:val="00037F90"/>
    <w:rsid w:val="000561C6"/>
    <w:rsid w:val="00065066"/>
    <w:rsid w:val="00067176"/>
    <w:rsid w:val="000875BF"/>
    <w:rsid w:val="00096D8C"/>
    <w:rsid w:val="000A1BAD"/>
    <w:rsid w:val="000C0B65"/>
    <w:rsid w:val="000E3D42"/>
    <w:rsid w:val="000E5884"/>
    <w:rsid w:val="001201E7"/>
    <w:rsid w:val="00122BD5"/>
    <w:rsid w:val="00124F94"/>
    <w:rsid w:val="00126BBD"/>
    <w:rsid w:val="001979D9"/>
    <w:rsid w:val="001A40FE"/>
    <w:rsid w:val="001B50FF"/>
    <w:rsid w:val="001B7494"/>
    <w:rsid w:val="001D6BCF"/>
    <w:rsid w:val="001E01CA"/>
    <w:rsid w:val="001E7E09"/>
    <w:rsid w:val="00204E8F"/>
    <w:rsid w:val="002060D9"/>
    <w:rsid w:val="00224A15"/>
    <w:rsid w:val="00226822"/>
    <w:rsid w:val="00253C58"/>
    <w:rsid w:val="00260594"/>
    <w:rsid w:val="00285017"/>
    <w:rsid w:val="002A2D2E"/>
    <w:rsid w:val="002E5897"/>
    <w:rsid w:val="0030670E"/>
    <w:rsid w:val="003266FE"/>
    <w:rsid w:val="003411A8"/>
    <w:rsid w:val="00343749"/>
    <w:rsid w:val="00346C84"/>
    <w:rsid w:val="00357D50"/>
    <w:rsid w:val="00362049"/>
    <w:rsid w:val="00362B41"/>
    <w:rsid w:val="003925DC"/>
    <w:rsid w:val="00397C4C"/>
    <w:rsid w:val="003B0550"/>
    <w:rsid w:val="003B694F"/>
    <w:rsid w:val="003F171C"/>
    <w:rsid w:val="00401945"/>
    <w:rsid w:val="00410328"/>
    <w:rsid w:val="00412FC5"/>
    <w:rsid w:val="00422276"/>
    <w:rsid w:val="004242F1"/>
    <w:rsid w:val="00425359"/>
    <w:rsid w:val="004325FB"/>
    <w:rsid w:val="004376A3"/>
    <w:rsid w:val="00445A00"/>
    <w:rsid w:val="00451B0F"/>
    <w:rsid w:val="0046125F"/>
    <w:rsid w:val="00472C7F"/>
    <w:rsid w:val="00476913"/>
    <w:rsid w:val="00487524"/>
    <w:rsid w:val="00493F40"/>
    <w:rsid w:val="00496106"/>
    <w:rsid w:val="004C12D0"/>
    <w:rsid w:val="004C2EE3"/>
    <w:rsid w:val="004D5A63"/>
    <w:rsid w:val="004E4A22"/>
    <w:rsid w:val="004E5E76"/>
    <w:rsid w:val="00502D6D"/>
    <w:rsid w:val="00504730"/>
    <w:rsid w:val="005047B2"/>
    <w:rsid w:val="00511968"/>
    <w:rsid w:val="00520DEA"/>
    <w:rsid w:val="0055614C"/>
    <w:rsid w:val="00590CE7"/>
    <w:rsid w:val="00591730"/>
    <w:rsid w:val="005B4E2E"/>
    <w:rsid w:val="005E4C59"/>
    <w:rsid w:val="005F3D84"/>
    <w:rsid w:val="005F4B5D"/>
    <w:rsid w:val="00607BA5"/>
    <w:rsid w:val="00626EB6"/>
    <w:rsid w:val="006353A3"/>
    <w:rsid w:val="00655D03"/>
    <w:rsid w:val="00657B98"/>
    <w:rsid w:val="0067294A"/>
    <w:rsid w:val="00683F84"/>
    <w:rsid w:val="00685EC2"/>
    <w:rsid w:val="00686810"/>
    <w:rsid w:val="006A6A81"/>
    <w:rsid w:val="006E26AF"/>
    <w:rsid w:val="006F3728"/>
    <w:rsid w:val="006F7393"/>
    <w:rsid w:val="00700CB0"/>
    <w:rsid w:val="0070224F"/>
    <w:rsid w:val="007115F7"/>
    <w:rsid w:val="00721CA4"/>
    <w:rsid w:val="00722B3D"/>
    <w:rsid w:val="00726E34"/>
    <w:rsid w:val="007747FD"/>
    <w:rsid w:val="00784120"/>
    <w:rsid w:val="00784871"/>
    <w:rsid w:val="00785689"/>
    <w:rsid w:val="0079754B"/>
    <w:rsid w:val="007A1E6D"/>
    <w:rsid w:val="007A2CD3"/>
    <w:rsid w:val="007A7342"/>
    <w:rsid w:val="007B7796"/>
    <w:rsid w:val="007F0FFF"/>
    <w:rsid w:val="00807ED5"/>
    <w:rsid w:val="0081341A"/>
    <w:rsid w:val="00822CE0"/>
    <w:rsid w:val="00837C62"/>
    <w:rsid w:val="00841AB1"/>
    <w:rsid w:val="00845867"/>
    <w:rsid w:val="00846A8A"/>
    <w:rsid w:val="00866218"/>
    <w:rsid w:val="00867282"/>
    <w:rsid w:val="008958BF"/>
    <w:rsid w:val="008C22FD"/>
    <w:rsid w:val="008C2D22"/>
    <w:rsid w:val="00910F12"/>
    <w:rsid w:val="00926503"/>
    <w:rsid w:val="00930ECF"/>
    <w:rsid w:val="0093701D"/>
    <w:rsid w:val="00952E56"/>
    <w:rsid w:val="0097540F"/>
    <w:rsid w:val="009838BC"/>
    <w:rsid w:val="00990206"/>
    <w:rsid w:val="009A2281"/>
    <w:rsid w:val="00A07657"/>
    <w:rsid w:val="00A21CED"/>
    <w:rsid w:val="00A45F4F"/>
    <w:rsid w:val="00A55D93"/>
    <w:rsid w:val="00A600A9"/>
    <w:rsid w:val="00A712A1"/>
    <w:rsid w:val="00A866AC"/>
    <w:rsid w:val="00A869A0"/>
    <w:rsid w:val="00A95A91"/>
    <w:rsid w:val="00AA55B7"/>
    <w:rsid w:val="00AA5B9E"/>
    <w:rsid w:val="00AB2407"/>
    <w:rsid w:val="00AB53DF"/>
    <w:rsid w:val="00AC011C"/>
    <w:rsid w:val="00AD051A"/>
    <w:rsid w:val="00AD0D0E"/>
    <w:rsid w:val="00B07E5C"/>
    <w:rsid w:val="00B326E3"/>
    <w:rsid w:val="00B41596"/>
    <w:rsid w:val="00B71C9C"/>
    <w:rsid w:val="00B811F7"/>
    <w:rsid w:val="00B93083"/>
    <w:rsid w:val="00BA5DC6"/>
    <w:rsid w:val="00BA6196"/>
    <w:rsid w:val="00BC6D8C"/>
    <w:rsid w:val="00C036EE"/>
    <w:rsid w:val="00C16AF2"/>
    <w:rsid w:val="00C23A91"/>
    <w:rsid w:val="00C27E8D"/>
    <w:rsid w:val="00C34006"/>
    <w:rsid w:val="00C426B1"/>
    <w:rsid w:val="00C82B6B"/>
    <w:rsid w:val="00C90D6A"/>
    <w:rsid w:val="00CB7F15"/>
    <w:rsid w:val="00CC72B6"/>
    <w:rsid w:val="00CE1C18"/>
    <w:rsid w:val="00D0218D"/>
    <w:rsid w:val="00D216CD"/>
    <w:rsid w:val="00D74B1B"/>
    <w:rsid w:val="00D8665D"/>
    <w:rsid w:val="00D924C7"/>
    <w:rsid w:val="00DA2529"/>
    <w:rsid w:val="00DA3822"/>
    <w:rsid w:val="00DB130A"/>
    <w:rsid w:val="00DC0EA2"/>
    <w:rsid w:val="00DC10A1"/>
    <w:rsid w:val="00DC655F"/>
    <w:rsid w:val="00DD4CB1"/>
    <w:rsid w:val="00DD7EBD"/>
    <w:rsid w:val="00DF62B6"/>
    <w:rsid w:val="00E07225"/>
    <w:rsid w:val="00E155B7"/>
    <w:rsid w:val="00E46D96"/>
    <w:rsid w:val="00E5409F"/>
    <w:rsid w:val="00E72513"/>
    <w:rsid w:val="00E76E04"/>
    <w:rsid w:val="00EC0185"/>
    <w:rsid w:val="00ED505B"/>
    <w:rsid w:val="00F021FA"/>
    <w:rsid w:val="00F10A68"/>
    <w:rsid w:val="00F14692"/>
    <w:rsid w:val="00F41C72"/>
    <w:rsid w:val="00F429F7"/>
    <w:rsid w:val="00F42CFB"/>
    <w:rsid w:val="00F53CB7"/>
    <w:rsid w:val="00F57ACA"/>
    <w:rsid w:val="00F62E97"/>
    <w:rsid w:val="00F64209"/>
    <w:rsid w:val="00F84D4B"/>
    <w:rsid w:val="00F93BF5"/>
    <w:rsid w:val="00F96F63"/>
    <w:rsid w:val="00FE73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680666F-907C-4E39-BE1F-A3C679BE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rrfootnote Char Char Char"/>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rrfootnote Char Char Char Char"/>
    <w:link w:val="FootnoteText"/>
    <w:uiPriority w:val="99"/>
    <w:rsid w:val="001E7E09"/>
  </w:style>
  <w:style w:type="paragraph" w:styleId="BalloonText">
    <w:name w:val="Balloon Text"/>
    <w:basedOn w:val="Normal"/>
    <w:link w:val="BalloonTextChar"/>
    <w:uiPriority w:val="99"/>
    <w:semiHidden/>
    <w:unhideWhenUsed/>
    <w:rsid w:val="0080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ED5"/>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AD051A"/>
    <w:rPr>
      <w:sz w:val="16"/>
      <w:szCs w:val="16"/>
    </w:rPr>
  </w:style>
  <w:style w:type="paragraph" w:styleId="CommentText">
    <w:name w:val="annotation text"/>
    <w:basedOn w:val="Normal"/>
    <w:link w:val="CommentTextChar"/>
    <w:uiPriority w:val="99"/>
    <w:semiHidden/>
    <w:unhideWhenUsed/>
    <w:rsid w:val="00AD051A"/>
    <w:rPr>
      <w:sz w:val="20"/>
    </w:rPr>
  </w:style>
  <w:style w:type="character" w:customStyle="1" w:styleId="CommentTextChar">
    <w:name w:val="Comment Text Char"/>
    <w:basedOn w:val="DefaultParagraphFont"/>
    <w:link w:val="CommentText"/>
    <w:uiPriority w:val="99"/>
    <w:semiHidden/>
    <w:rsid w:val="00AD051A"/>
    <w:rPr>
      <w:snapToGrid w:val="0"/>
      <w:kern w:val="28"/>
    </w:rPr>
  </w:style>
  <w:style w:type="paragraph" w:styleId="CommentSubject">
    <w:name w:val="annotation subject"/>
    <w:basedOn w:val="CommentText"/>
    <w:next w:val="CommentText"/>
    <w:link w:val="CommentSubjectChar"/>
    <w:uiPriority w:val="99"/>
    <w:semiHidden/>
    <w:unhideWhenUsed/>
    <w:rsid w:val="00AD051A"/>
    <w:rPr>
      <w:b/>
      <w:bCs/>
    </w:rPr>
  </w:style>
  <w:style w:type="character" w:customStyle="1" w:styleId="CommentSubjectChar">
    <w:name w:val="Comment Subject Char"/>
    <w:basedOn w:val="CommentTextChar"/>
    <w:link w:val="CommentSubject"/>
    <w:uiPriority w:val="99"/>
    <w:semiHidden/>
    <w:rsid w:val="00AD051A"/>
    <w:rPr>
      <w:b/>
      <w:bCs/>
      <w:snapToGrid w:val="0"/>
      <w:kern w:val="28"/>
    </w:rPr>
  </w:style>
  <w:style w:type="character" w:customStyle="1" w:styleId="UnresolvedMention">
    <w:name w:val="Unresolved Mention"/>
    <w:basedOn w:val="DefaultParagraphFont"/>
    <w:uiPriority w:val="99"/>
    <w:semiHidden/>
    <w:unhideWhenUsed/>
    <w:rsid w:val="00A07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enise.Coca@fcc.gov" TargetMode="External" /><Relationship Id="rId6" Type="http://schemas.openxmlformats.org/officeDocument/2006/relationships/hyperlink" Target="mailto:Veronica.Garcia-Ulloa@fcc.gov" TargetMode="External" /><Relationship Id="rId7" Type="http://schemas.openxmlformats.org/officeDocument/2006/relationships/hyperlink" Target="http://licensing.fcc.gov/myibfs/pleading.do"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licensing.fcc.gov/myibfs" TargetMode="External" /><Relationship Id="rId2" Type="http://schemas.openxmlformats.org/officeDocument/2006/relationships/hyperlink" Target="mailto:kdickson@starvox.com" TargetMode="External" /><Relationship Id="rId3" Type="http://schemas.openxmlformats.org/officeDocument/2006/relationships/hyperlink" Target="mailto:tomrowley@starvox.com"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