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7505" w:rsidP="00A0399C" w14:paraId="13DC796F" w14:textId="77777777">
      <w:pPr>
        <w:rPr>
          <w:b/>
          <w:sz w:val="24"/>
        </w:rPr>
      </w:pPr>
    </w:p>
    <w:p w:rsidR="002A142C" w:rsidRPr="00C760A9" w:rsidP="002A142C" w14:paraId="0C2B4436" w14:textId="6DAC5184">
      <w:pPr>
        <w:jc w:val="right"/>
        <w:rPr>
          <w:b/>
          <w:sz w:val="24"/>
          <w:szCs w:val="22"/>
        </w:rPr>
      </w:pPr>
      <w:r w:rsidRPr="00C760A9">
        <w:rPr>
          <w:b/>
          <w:sz w:val="24"/>
          <w:szCs w:val="22"/>
        </w:rPr>
        <w:t>DA 19-</w:t>
      </w:r>
      <w:r w:rsidR="00C16CBD">
        <w:rPr>
          <w:b/>
          <w:sz w:val="24"/>
          <w:szCs w:val="22"/>
        </w:rPr>
        <w:t>1263</w:t>
      </w:r>
    </w:p>
    <w:p w:rsidR="002A142C" w:rsidRPr="00C760A9" w:rsidP="002A142C" w14:paraId="72E47786" w14:textId="5BEDB917">
      <w:pPr>
        <w:jc w:val="right"/>
        <w:rPr>
          <w:sz w:val="24"/>
          <w:szCs w:val="22"/>
        </w:rPr>
      </w:pPr>
      <w:r w:rsidRPr="00C760A9">
        <w:rPr>
          <w:b/>
          <w:sz w:val="24"/>
          <w:szCs w:val="22"/>
        </w:rPr>
        <w:t xml:space="preserve">Released:  </w:t>
      </w:r>
      <w:r w:rsidR="00FE71F6">
        <w:rPr>
          <w:b/>
          <w:sz w:val="24"/>
          <w:szCs w:val="22"/>
        </w:rPr>
        <w:t xml:space="preserve">December </w:t>
      </w:r>
      <w:r w:rsidR="00C16CBD">
        <w:rPr>
          <w:b/>
          <w:sz w:val="24"/>
          <w:szCs w:val="22"/>
        </w:rPr>
        <w:t>12</w:t>
      </w:r>
      <w:r w:rsidR="00AD7461">
        <w:rPr>
          <w:b/>
          <w:sz w:val="24"/>
          <w:szCs w:val="22"/>
        </w:rPr>
        <w:t>, 2019</w:t>
      </w:r>
    </w:p>
    <w:p w:rsidR="002A142C" w:rsidRPr="00C760A9" w:rsidP="002A142C" w14:paraId="41CA3A74" w14:textId="77777777">
      <w:pPr>
        <w:jc w:val="center"/>
        <w:rPr>
          <w:b/>
          <w:color w:val="000000"/>
          <w:sz w:val="24"/>
          <w:szCs w:val="22"/>
        </w:rPr>
      </w:pPr>
    </w:p>
    <w:p w:rsidR="002A142C" w:rsidRPr="00C760A9" w:rsidP="002A142C" w14:paraId="063147D7" w14:textId="77777777">
      <w:pPr>
        <w:jc w:val="center"/>
        <w:rPr>
          <w:b/>
          <w:color w:val="000000"/>
          <w:sz w:val="24"/>
          <w:szCs w:val="22"/>
        </w:rPr>
      </w:pPr>
      <w:r w:rsidRPr="00C760A9">
        <w:rPr>
          <w:b/>
          <w:color w:val="000000"/>
          <w:sz w:val="24"/>
          <w:szCs w:val="22"/>
        </w:rPr>
        <w:t>BIENNIAL REVIEW FOR THE ALASKA PLAN WIRELINE CARRIERS</w:t>
      </w:r>
    </w:p>
    <w:p w:rsidR="002A142C" w:rsidRPr="00C760A9" w:rsidP="002A142C" w14:paraId="2B9DB276" w14:textId="77777777">
      <w:pPr>
        <w:jc w:val="center"/>
        <w:rPr>
          <w:b/>
          <w:sz w:val="24"/>
          <w:szCs w:val="22"/>
        </w:rPr>
      </w:pPr>
    </w:p>
    <w:p w:rsidR="002A142C" w:rsidRPr="00C760A9" w:rsidP="002A142C" w14:paraId="5BD42AEA" w14:textId="77777777">
      <w:pPr>
        <w:jc w:val="center"/>
        <w:rPr>
          <w:b/>
          <w:sz w:val="24"/>
          <w:szCs w:val="22"/>
        </w:rPr>
      </w:pPr>
      <w:r w:rsidRPr="00C760A9">
        <w:rPr>
          <w:b/>
          <w:sz w:val="24"/>
          <w:szCs w:val="22"/>
        </w:rPr>
        <w:t>WC Docket Nos. 10-90 and 16-271</w:t>
      </w:r>
    </w:p>
    <w:p w:rsidR="002A142C" w:rsidRPr="004734AE" w:rsidP="002A142C" w14:paraId="757F28DF" w14:textId="77777777">
      <w:pPr>
        <w:jc w:val="center"/>
        <w:rPr>
          <w:b/>
          <w:szCs w:val="22"/>
        </w:rPr>
      </w:pPr>
    </w:p>
    <w:p w:rsidR="002A142C" w:rsidP="002A142C" w14:paraId="2A4FF95C" w14:textId="1801B198">
      <w:pPr>
        <w:spacing w:after="120"/>
        <w:ind w:firstLine="720"/>
      </w:pPr>
      <w:r>
        <w:t xml:space="preserve">In this Public Notice, </w:t>
      </w:r>
      <w:r w:rsidR="000864D6">
        <w:t xml:space="preserve">the Wireline Competition Bureau </w:t>
      </w:r>
      <w:r>
        <w:t>announce</w:t>
      </w:r>
      <w:r w:rsidR="000864D6">
        <w:t>s</w:t>
      </w:r>
      <w:r>
        <w:t xml:space="preserve"> the conclusion of the Biennial Review required by </w:t>
      </w:r>
      <w:r>
        <w:rPr>
          <w:szCs w:val="22"/>
        </w:rPr>
        <w:t xml:space="preserve">the Federal Communications Commission </w:t>
      </w:r>
      <w:r>
        <w:rPr>
          <w:szCs w:val="22"/>
        </w:rPr>
        <w:t xml:space="preserve">pursuant to the </w:t>
      </w:r>
      <w:r>
        <w:rPr>
          <w:i/>
          <w:szCs w:val="22"/>
        </w:rPr>
        <w:t>Alaska Plan Order</w:t>
      </w:r>
      <w:r>
        <w:rPr>
          <w:szCs w:val="22"/>
        </w:rPr>
        <w:t xml:space="preserve"> </w:t>
      </w:r>
      <w:r>
        <w:rPr>
          <w:szCs w:val="22"/>
        </w:rPr>
        <w:t>adopted by the Commission on August 23, 2016.</w:t>
      </w:r>
      <w:r w:rsidRPr="0093586C">
        <w:rPr>
          <w:rStyle w:val="FootnoteReference"/>
          <w:szCs w:val="22"/>
        </w:rPr>
        <w:t xml:space="preserve"> </w:t>
      </w:r>
      <w:r>
        <w:rPr>
          <w:rStyle w:val="FootnoteReference"/>
          <w:szCs w:val="22"/>
        </w:rPr>
        <w:footnoteReference w:id="3"/>
      </w:r>
      <w:r>
        <w:rPr>
          <w:szCs w:val="22"/>
        </w:rPr>
        <w:t xml:space="preserve">  </w:t>
      </w:r>
      <w:r>
        <w:rPr>
          <w:szCs w:val="22"/>
        </w:rPr>
        <w:t xml:space="preserve">In the </w:t>
      </w:r>
      <w:r w:rsidRPr="007340FA">
        <w:rPr>
          <w:i/>
          <w:szCs w:val="22"/>
        </w:rPr>
        <w:t>Alaska Plan Order</w:t>
      </w:r>
      <w:r>
        <w:rPr>
          <w:szCs w:val="22"/>
        </w:rPr>
        <w:t xml:space="preserve">, the Commission </w:t>
      </w:r>
      <w:r>
        <w:t xml:space="preserve">provided a one-time opportunity for Alaskan rate-of-return carriers to elect to receive support frozen at adjusted 2011 levels for a 10-year term in exchange for meeting individualized performance obligations—offering voice and broadband services meeting specific service obligations at specified minimum speeds by five-year and 10-year service milestones to a specified number of locations.  </w:t>
      </w:r>
    </w:p>
    <w:p w:rsidR="002A142C" w:rsidP="002A142C" w14:paraId="591E0C1F" w14:textId="026EBE92">
      <w:pPr>
        <w:spacing w:after="120"/>
        <w:ind w:firstLine="720"/>
      </w:pPr>
      <w:r>
        <w:rPr>
          <w:szCs w:val="22"/>
        </w:rPr>
        <w:t xml:space="preserve">On December 16, 2016, </w:t>
      </w:r>
      <w:r w:rsidRPr="004734AE">
        <w:rPr>
          <w:szCs w:val="22"/>
        </w:rPr>
        <w:t xml:space="preserve">the Wireline Competition Bureau (Bureau) </w:t>
      </w:r>
      <w:r>
        <w:rPr>
          <w:szCs w:val="22"/>
        </w:rPr>
        <w:t xml:space="preserve">authorized the </w:t>
      </w:r>
      <w:r>
        <w:t>individualized performance obligations and support amounts for 13 rate-of-return companies in Alaska.</w:t>
      </w:r>
      <w:r>
        <w:rPr>
          <w:rStyle w:val="FootnoteReference"/>
          <w:szCs w:val="22"/>
        </w:rPr>
        <w:footnoteReference w:id="4"/>
      </w:r>
      <w:r>
        <w:t xml:space="preserve">  Carriers with approved plans to maintain existing levels service, which include Arctic Slope Telephone Cooperative, Inc. (ASTAC), Adak Eagle Enterprise, LLC, Bush-Tell, Inc., Circle Telephone &amp; Electric, LLC, and Mukluk Telephone Company, Inc.</w:t>
      </w:r>
      <w:r w:rsidR="008907CF">
        <w:t>,</w:t>
      </w:r>
      <w:r>
        <w:t xml:space="preserve"> are subject to biennial review.</w:t>
      </w:r>
      <w:r>
        <w:rPr>
          <w:rStyle w:val="FootnoteReference"/>
        </w:rPr>
        <w:footnoteReference w:id="5"/>
      </w:r>
      <w:r>
        <w:t xml:space="preserve">  </w:t>
      </w:r>
    </w:p>
    <w:p w:rsidR="002A142C" w:rsidP="002A142C" w14:paraId="26CD0E32" w14:textId="785CA646">
      <w:pPr>
        <w:spacing w:after="120"/>
        <w:ind w:firstLine="720"/>
      </w:pPr>
      <w:r>
        <w:t xml:space="preserve">In conducting this Biennial Review, the Bureau </w:t>
      </w:r>
      <w:r w:rsidR="00020DBC">
        <w:t xml:space="preserve">held </w:t>
      </w:r>
      <w:r>
        <w:t>discussions with the carriers and</w:t>
      </w:r>
      <w:r w:rsidR="00064DEB">
        <w:t>/or</w:t>
      </w:r>
      <w:r>
        <w:t xml:space="preserve"> assess</w:t>
      </w:r>
      <w:r w:rsidR="005A73F3">
        <w:t xml:space="preserve">ed </w:t>
      </w:r>
      <w:r>
        <w:t xml:space="preserve">of the carriers’ annual location and middle-mile map filings.  </w:t>
      </w:r>
      <w:r>
        <w:t>Based on our review, we conclude that Circle and Bush-Tell will remain authorized to continue to maintain service</w:t>
      </w:r>
      <w:r w:rsidR="008907CF">
        <w:t xml:space="preserve"> at existing levels</w:t>
      </w:r>
      <w:r>
        <w:t xml:space="preserve"> per the </w:t>
      </w:r>
      <w:r w:rsidRPr="00D276E0">
        <w:rPr>
          <w:i/>
        </w:rPr>
        <w:t>Alaska Plan Wireline Authorization Public Notic</w:t>
      </w:r>
      <w:r>
        <w:rPr>
          <w:i/>
        </w:rPr>
        <w:t>e</w:t>
      </w:r>
      <w:r>
        <w:t xml:space="preserve">.  Since the inception of the Alaska Plan, these carriers have not obtained </w:t>
      </w:r>
      <w:r>
        <w:t>access to new or upgraded middle-mile facilities in any of the areas of Alaska they serve.</w:t>
      </w:r>
      <w:r>
        <w:rPr>
          <w:rStyle w:val="FootnoteReference"/>
        </w:rPr>
        <w:footnoteReference w:id="6"/>
      </w:r>
      <w:r>
        <w:t xml:space="preserve">  For the same reasons, Adak will also remain authorized to continue to maintain service per the </w:t>
      </w:r>
      <w:r w:rsidRPr="00D276E0">
        <w:rPr>
          <w:i/>
        </w:rPr>
        <w:t>Alaska Plan Wireline Authorization Public Notic</w:t>
      </w:r>
      <w:r>
        <w:rPr>
          <w:i/>
        </w:rPr>
        <w:t>e</w:t>
      </w:r>
      <w:r>
        <w:t>, but we note that Adak has a petition for reconsideration pending related to its Alaska Plan authorization.</w:t>
      </w:r>
      <w:r>
        <w:rPr>
          <w:rStyle w:val="FootnoteReference"/>
        </w:rPr>
        <w:footnoteReference w:id="7"/>
      </w:r>
      <w:r>
        <w:t xml:space="preserve">     </w:t>
      </w:r>
    </w:p>
    <w:p w:rsidR="00BD1064" w:rsidP="00BD1064" w14:paraId="4D8E71CD" w14:textId="167D4658">
      <w:pPr>
        <w:widowControl/>
        <w:spacing w:after="120"/>
        <w:ind w:firstLine="720"/>
        <w:rPr>
          <w:szCs w:val="22"/>
        </w:rPr>
      </w:pPr>
      <w:r>
        <w:rPr>
          <w:szCs w:val="22"/>
        </w:rPr>
        <w:t>For ASTAC and Mukluk, we approve revised performance obligations</w:t>
      </w:r>
      <w:r w:rsidR="00E56727">
        <w:rPr>
          <w:szCs w:val="22"/>
        </w:rPr>
        <w:t xml:space="preserve"> provided in the Appendix to this </w:t>
      </w:r>
      <w:r w:rsidR="00856DA7">
        <w:rPr>
          <w:szCs w:val="22"/>
        </w:rPr>
        <w:t>P</w:t>
      </w:r>
      <w:r w:rsidR="00E56727">
        <w:rPr>
          <w:szCs w:val="22"/>
        </w:rPr>
        <w:t xml:space="preserve">ublic </w:t>
      </w:r>
      <w:r w:rsidR="00856DA7">
        <w:rPr>
          <w:szCs w:val="22"/>
        </w:rPr>
        <w:t>N</w:t>
      </w:r>
      <w:r w:rsidR="00E56727">
        <w:rPr>
          <w:szCs w:val="22"/>
        </w:rPr>
        <w:t>otice.</w:t>
      </w:r>
      <w:r w:rsidR="00D31A51">
        <w:rPr>
          <w:szCs w:val="22"/>
        </w:rPr>
        <w:t xml:space="preserve">  </w:t>
      </w:r>
      <w:r>
        <w:rPr>
          <w:szCs w:val="22"/>
        </w:rPr>
        <w:t>On November 1, 2018, ASTAC submitted proposed revised wireline performance obligations.</w:t>
      </w:r>
      <w:r>
        <w:rPr>
          <w:rStyle w:val="FootnoteReference"/>
          <w:szCs w:val="22"/>
        </w:rPr>
        <w:footnoteReference w:id="8"/>
      </w:r>
      <w:r>
        <w:rPr>
          <w:szCs w:val="22"/>
        </w:rPr>
        <w:t xml:space="preserve">  After discussions with Bureau staff, ASTAC clarified those proposed obligations on November 27, 2018 and then further supple</w:t>
      </w:r>
      <w:bookmarkStart w:id="0" w:name="_GoBack"/>
      <w:bookmarkEnd w:id="0"/>
      <w:r>
        <w:rPr>
          <w:szCs w:val="22"/>
        </w:rPr>
        <w:t>mented them on December 26, 2018</w:t>
      </w:r>
      <w:r w:rsidRPr="00B90712" w:rsidR="00B90712">
        <w:rPr>
          <w:szCs w:val="22"/>
        </w:rPr>
        <w:t xml:space="preserve"> </w:t>
      </w:r>
      <w:r w:rsidR="00B90712">
        <w:rPr>
          <w:szCs w:val="22"/>
        </w:rPr>
        <w:t>and again on November 19, 2019</w:t>
      </w:r>
      <w:r>
        <w:rPr>
          <w:szCs w:val="22"/>
        </w:rPr>
        <w:t>.</w:t>
      </w:r>
      <w:r>
        <w:rPr>
          <w:rStyle w:val="FootnoteReference"/>
          <w:szCs w:val="22"/>
        </w:rPr>
        <w:footnoteReference w:id="9"/>
      </w:r>
      <w:r>
        <w:rPr>
          <w:szCs w:val="22"/>
        </w:rPr>
        <w:t xml:space="preserve">  On March 1, 2019, Mukluk submitted proposed revised wireline performance obligations.  After discussions with Bureau staff, Mukluk clarified and revised those performance obligations on March 8, 2019 and again on May 17, 2019;</w:t>
      </w:r>
      <w:r>
        <w:rPr>
          <w:rStyle w:val="FootnoteReference"/>
          <w:szCs w:val="22"/>
        </w:rPr>
        <w:footnoteReference w:id="10"/>
      </w:r>
      <w:r>
        <w:rPr>
          <w:szCs w:val="22"/>
        </w:rPr>
        <w:t xml:space="preserve"> and Mukluk subsequently </w:t>
      </w:r>
      <w:r w:rsidR="00E56727">
        <w:rPr>
          <w:szCs w:val="22"/>
        </w:rPr>
        <w:t xml:space="preserve">addressed why it does not </w:t>
      </w:r>
      <w:r w:rsidR="00BC040E">
        <w:rPr>
          <w:szCs w:val="22"/>
        </w:rPr>
        <w:t>offer a</w:t>
      </w:r>
      <w:r w:rsidR="00E56727">
        <w:rPr>
          <w:szCs w:val="22"/>
        </w:rPr>
        <w:t xml:space="preserve"> level of </w:t>
      </w:r>
      <w:r w:rsidRPr="00E56727" w:rsidR="00E56727">
        <w:rPr>
          <w:szCs w:val="22"/>
        </w:rPr>
        <w:t>service consistent with that</w:t>
      </w:r>
      <w:r w:rsidR="00643816">
        <w:rPr>
          <w:szCs w:val="22"/>
        </w:rPr>
        <w:t xml:space="preserve"> of</w:t>
      </w:r>
      <w:r w:rsidRPr="00E56727" w:rsidR="00E56727">
        <w:rPr>
          <w:szCs w:val="22"/>
        </w:rPr>
        <w:t xml:space="preserve"> </w:t>
      </w:r>
      <w:r w:rsidR="00E56727">
        <w:rPr>
          <w:szCs w:val="22"/>
        </w:rPr>
        <w:t>GCI’s TERRA Network in certain communities.</w:t>
      </w:r>
      <w:r>
        <w:rPr>
          <w:rStyle w:val="FootnoteReference"/>
          <w:szCs w:val="22"/>
        </w:rPr>
        <w:footnoteReference w:id="11"/>
      </w:r>
      <w:r w:rsidRPr="00643816" w:rsidR="00643816">
        <w:rPr>
          <w:szCs w:val="22"/>
        </w:rPr>
        <w:t xml:space="preserve"> </w:t>
      </w:r>
      <w:r w:rsidR="00643816">
        <w:rPr>
          <w:szCs w:val="22"/>
        </w:rPr>
        <w:t xml:space="preserve"> As shown in their submissions, each of these carriers has obtained access to new middle-mile facilities allowing them offer improved service in </w:t>
      </w:r>
      <w:r w:rsidR="00856DA7">
        <w:rPr>
          <w:szCs w:val="22"/>
        </w:rPr>
        <w:t xml:space="preserve">parts of </w:t>
      </w:r>
      <w:r w:rsidR="00643816">
        <w:rPr>
          <w:szCs w:val="22"/>
        </w:rPr>
        <w:t xml:space="preserve">their </w:t>
      </w:r>
      <w:r w:rsidR="00856DA7">
        <w:rPr>
          <w:szCs w:val="22"/>
        </w:rPr>
        <w:t xml:space="preserve">study </w:t>
      </w:r>
      <w:r w:rsidR="00643816">
        <w:rPr>
          <w:szCs w:val="22"/>
        </w:rPr>
        <w:t>areas.  The performance obligations we approve today replace the performance obligations the Bureau approved for ASTAC and Mukluk on December 16, 2016.</w:t>
      </w:r>
      <w:r>
        <w:rPr>
          <w:rStyle w:val="FootnoteReference"/>
          <w:szCs w:val="22"/>
        </w:rPr>
        <w:footnoteReference w:id="12"/>
      </w:r>
      <w:r w:rsidR="00643816">
        <w:rPr>
          <w:szCs w:val="22"/>
        </w:rPr>
        <w:t xml:space="preserve">   </w:t>
      </w:r>
    </w:p>
    <w:p w:rsidR="002A142C" w:rsidRPr="005C12FB" w:rsidP="00BD1064" w14:paraId="72738DF7" w14:textId="1DD69E95">
      <w:pPr>
        <w:widowControl/>
        <w:spacing w:after="120"/>
        <w:ind w:firstLine="720"/>
        <w:rPr>
          <w:b/>
          <w:szCs w:val="24"/>
        </w:rPr>
      </w:pPr>
      <w:r>
        <w:t xml:space="preserve">For additional information on this proceeding, contact Jesse Jachman, </w:t>
      </w:r>
      <w:hyperlink r:id="rId5" w:history="1">
        <w:r w:rsidRPr="00B26EFD" w:rsidR="00E56727">
          <w:rPr>
            <w:rStyle w:val="Hyperlink"/>
          </w:rPr>
          <w:t>jesse.jachman@fcc.gov</w:t>
        </w:r>
      </w:hyperlink>
      <w:r w:rsidR="00E56727">
        <w:t xml:space="preserve"> </w:t>
      </w:r>
      <w:r>
        <w:t>of the Wireline Competition Bureau, (202) 418-2668.</w:t>
      </w:r>
    </w:p>
    <w:p w:rsidR="002A142C" w:rsidP="002A142C" w14:paraId="561A41BA" w14:textId="77777777">
      <w:pPr>
        <w:jc w:val="center"/>
        <w:rPr>
          <w:b/>
          <w:szCs w:val="22"/>
        </w:rPr>
      </w:pPr>
      <w:r w:rsidRPr="00FB3181">
        <w:rPr>
          <w:b/>
          <w:szCs w:val="22"/>
        </w:rPr>
        <w:t xml:space="preserve">- FCC </w:t>
      </w:r>
      <w:r>
        <w:rPr>
          <w:b/>
          <w:szCs w:val="22"/>
        </w:rPr>
        <w:t xml:space="preserve">- </w:t>
      </w:r>
    </w:p>
    <w:p w:rsidR="002A142C" w:rsidP="00A0399C" w14:paraId="4858664B" w14:textId="77777777">
      <w:pPr>
        <w:rPr>
          <w:sz w:val="24"/>
        </w:rPr>
      </w:pPr>
    </w:p>
    <w:p w:rsidR="002A142C" w:rsidRPr="00BC57CE" w:rsidP="002A142C" w14:paraId="02593067" w14:textId="77777777">
      <w:pPr>
        <w:jc w:val="center"/>
        <w:rPr>
          <w:b/>
        </w:rPr>
      </w:pPr>
      <w:r>
        <w:rPr>
          <w:sz w:val="24"/>
        </w:rPr>
        <w:br w:type="page"/>
      </w:r>
      <w:r w:rsidRPr="00BC57CE">
        <w:rPr>
          <w:b/>
        </w:rPr>
        <w:t>Appendix</w:t>
      </w:r>
    </w:p>
    <w:p w:rsidR="002A142C" w:rsidRPr="00BC57CE" w:rsidP="002A142C" w14:paraId="32A29B23" w14:textId="77777777">
      <w:pPr>
        <w:jc w:val="center"/>
        <w:rPr>
          <w:b/>
        </w:rPr>
      </w:pPr>
      <w:r>
        <w:rPr>
          <w:b/>
        </w:rPr>
        <w:t xml:space="preserve">Revised </w:t>
      </w:r>
      <w:r w:rsidRPr="00BC57CE">
        <w:rPr>
          <w:b/>
        </w:rPr>
        <w:t xml:space="preserve">Performance </w:t>
      </w:r>
      <w:r>
        <w:rPr>
          <w:b/>
        </w:rPr>
        <w:t>Obligations</w:t>
      </w:r>
    </w:p>
    <w:p w:rsidR="002A142C" w:rsidP="002A142C" w14:paraId="23265EA4" w14:textId="77777777"/>
    <w:p w:rsidR="002A142C" w:rsidRPr="00BC57CE" w:rsidP="002A142C" w14:paraId="12098AA7" w14:textId="77777777">
      <w:pPr>
        <w:ind w:firstLine="720"/>
        <w:rPr>
          <w:b/>
        </w:rPr>
      </w:pPr>
      <w:r w:rsidRPr="00BC57CE">
        <w:rPr>
          <w:b/>
        </w:rPr>
        <w:t xml:space="preserve">1.  Arctic Slope Telephone Cooperative, Inc. </w:t>
      </w:r>
    </w:p>
    <w:p w:rsidR="002A142C" w:rsidP="00230F00" w14:paraId="3ED5E5AE" w14:textId="7E473AC1">
      <w:pPr>
        <w:rPr>
          <w:sz w:val="24"/>
        </w:rPr>
      </w:pPr>
    </w:p>
    <w:p w:rsidR="00230F00" w:rsidP="00230F00" w14:paraId="0DA5F567" w14:textId="25667D7F">
      <w:pP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in;height:289.5pt;mso-wrap-style:square;visibility:visible">
            <v:imagedata r:id="rId6" o:title=""/>
          </v:shape>
        </w:pict>
      </w:r>
    </w:p>
    <w:p w:rsidR="002A142C" w:rsidP="002A142C" w14:paraId="2ED90CF8" w14:textId="77777777">
      <w:pPr>
        <w:ind w:left="720"/>
        <w:rPr>
          <w:b/>
        </w:rPr>
      </w:pPr>
      <w:r>
        <w:rPr>
          <w:sz w:val="24"/>
        </w:rPr>
        <w:br w:type="page"/>
      </w:r>
      <w:r w:rsidRPr="00BC57CE">
        <w:rPr>
          <w:b/>
        </w:rPr>
        <w:t xml:space="preserve">2.  Mukluk Telephone Company, Inc.  </w:t>
      </w:r>
    </w:p>
    <w:p w:rsidR="002A142C" w:rsidP="00A0399C" w14:paraId="57D347E1" w14:textId="77777777">
      <w:pPr>
        <w:rPr>
          <w:sz w:val="24"/>
        </w:rPr>
      </w:pPr>
    </w:p>
    <w:p w:rsidR="002A142C" w:rsidP="002A142C" w14:paraId="5F796F02" w14:textId="77777777">
      <w:pPr>
        <w:jc w:val="center"/>
        <w:rPr>
          <w:sz w:val="24"/>
        </w:rPr>
      </w:pPr>
      <w:r>
        <w:rPr>
          <w:noProof/>
          <w:snapToGrid/>
        </w:rPr>
        <w:pict>
          <v:shape id="_x0000_i1026" type="#_x0000_t75" style="width:683.25pt;height:239.25pt;mso-wrap-style:square;visibility:visible">
            <v:imagedata r:id="rId7" o:title=""/>
          </v:shape>
        </w:pict>
      </w:r>
    </w:p>
    <w:sectPr w:rsidSect="00A0399C">
      <w:headerReference w:type="default" r:id="rId8"/>
      <w:footerReference w:type="even" r:id="rId9"/>
      <w:footerReference w:type="default" r:id="rId10"/>
      <w:headerReference w:type="first" r:id="rId11"/>
      <w:footerReference w:type="first" r:id="rId12"/>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FE1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46C09B" w14:textId="77777777">
    <w:pPr>
      <w:pStyle w:val="Footer"/>
    </w:pPr>
  </w:p>
  <w:p w:rsidR="003660ED" w14:paraId="4C57BE31" w14:textId="77777777"/>
  <w:p w:rsidR="001E1613" w14:paraId="5D284D5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520EBD3A" w14:textId="77777777">
    <w:pPr>
      <w:jc w:val="center"/>
    </w:pPr>
    <w:r>
      <w:fldChar w:fldCharType="begin"/>
    </w:r>
    <w:r>
      <w:instrText xml:space="preserve"> PAGE  \* Arabic  \* MERGEFORMAT </w:instrText>
    </w:r>
    <w:r>
      <w:fldChar w:fldCharType="separate"/>
    </w:r>
    <w:r w:rsidR="006312E5">
      <w:rPr>
        <w:noProof/>
      </w:rPr>
      <w:t>4</w:t>
    </w:r>
    <w:r>
      <w:fldChar w:fldCharType="end"/>
    </w:r>
  </w:p>
  <w:p w:rsidR="001E1613" w14:paraId="1A7E493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36AA2E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142C" w14:paraId="22737BC5" w14:textId="77777777">
      <w:r>
        <w:separator/>
      </w:r>
    </w:p>
  </w:footnote>
  <w:footnote w:type="continuationSeparator" w:id="1">
    <w:p w:rsidR="002A142C" w:rsidP="00C721AC" w14:paraId="5335CA12" w14:textId="77777777">
      <w:pPr>
        <w:spacing w:before="120"/>
        <w:rPr>
          <w:sz w:val="20"/>
        </w:rPr>
      </w:pPr>
      <w:r>
        <w:rPr>
          <w:sz w:val="20"/>
        </w:rPr>
        <w:t xml:space="preserve">(Continued from previous page)  </w:t>
      </w:r>
      <w:r>
        <w:rPr>
          <w:sz w:val="20"/>
        </w:rPr>
        <w:separator/>
      </w:r>
    </w:p>
  </w:footnote>
  <w:footnote w:type="continuationNotice" w:id="2">
    <w:p w:rsidR="002A142C" w:rsidP="00C721AC" w14:paraId="002EADAE" w14:textId="77777777">
      <w:pPr>
        <w:jc w:val="right"/>
        <w:rPr>
          <w:sz w:val="20"/>
        </w:rPr>
      </w:pPr>
      <w:r>
        <w:rPr>
          <w:sz w:val="20"/>
        </w:rPr>
        <w:t>(continued….)</w:t>
      </w:r>
    </w:p>
  </w:footnote>
  <w:footnote w:id="3">
    <w:p w:rsidR="0093586C" w:rsidP="0093586C" w14:paraId="22C72DBE" w14:textId="77777777">
      <w:pPr>
        <w:pStyle w:val="FootnoteText"/>
      </w:pPr>
      <w:r>
        <w:rPr>
          <w:rStyle w:val="FootnoteReference"/>
        </w:rPr>
        <w:footnoteRef/>
      </w:r>
      <w:r>
        <w:t xml:space="preserve"> </w:t>
      </w:r>
      <w:r w:rsidRPr="007340FA">
        <w:rPr>
          <w:i/>
        </w:rPr>
        <w:t>Connect America Fund, et al.</w:t>
      </w:r>
      <w:r>
        <w:t>, WC Docket No. 10-90 et al., Report and Order and Further Notice of Proposed Rulemaking, 31 FCC Rcd 10139 (2016) (</w:t>
      </w:r>
      <w:r w:rsidRPr="007340FA">
        <w:rPr>
          <w:i/>
        </w:rPr>
        <w:t>Alaska Plan Order</w:t>
      </w:r>
      <w:r>
        <w:t xml:space="preserve">).  </w:t>
      </w:r>
    </w:p>
  </w:footnote>
  <w:footnote w:id="4">
    <w:p w:rsidR="002A142C" w:rsidRPr="00026755" w:rsidP="002A142C" w14:paraId="1317D499" w14:textId="77777777">
      <w:pPr>
        <w:pStyle w:val="FootnoteText"/>
      </w:pPr>
      <w:r>
        <w:rPr>
          <w:rStyle w:val="FootnoteReference"/>
        </w:rPr>
        <w:footnoteRef/>
      </w:r>
      <w:r>
        <w:t xml:space="preserve"> </w:t>
      </w:r>
      <w:r w:rsidRPr="00026755">
        <w:rPr>
          <w:i/>
        </w:rPr>
        <w:t xml:space="preserve">Wireline Competition Bureau Authorizes Alaska Plan Support </w:t>
      </w:r>
      <w:r>
        <w:rPr>
          <w:i/>
        </w:rPr>
        <w:t>f</w:t>
      </w:r>
      <w:r w:rsidRPr="00026755">
        <w:rPr>
          <w:i/>
        </w:rPr>
        <w:t>or 13 Alaskan Rate-</w:t>
      </w:r>
      <w:r>
        <w:rPr>
          <w:i/>
        </w:rPr>
        <w:t>o</w:t>
      </w:r>
      <w:r w:rsidRPr="00026755">
        <w:rPr>
          <w:i/>
        </w:rPr>
        <w:t>f-Return Companies</w:t>
      </w:r>
      <w:r>
        <w:t>, WC Docket Nos. 10-90, 16-271, Public Notice, 31 FCC Rcd 13347 (WCB 2016) (</w:t>
      </w:r>
      <w:r w:rsidRPr="00D276E0">
        <w:rPr>
          <w:i/>
        </w:rPr>
        <w:t>Alaska Plan Wireline Authorization Public Notice</w:t>
      </w:r>
      <w:r>
        <w:t xml:space="preserve">).  </w:t>
      </w:r>
    </w:p>
  </w:footnote>
  <w:footnote w:id="5">
    <w:p w:rsidR="002A142C" w:rsidRPr="00FC6761" w:rsidP="002A142C" w14:paraId="14439ED7" w14:textId="77777777">
      <w:pPr>
        <w:pStyle w:val="FootnoteText"/>
      </w:pPr>
      <w:r>
        <w:rPr>
          <w:rStyle w:val="FootnoteReference"/>
        </w:rPr>
        <w:footnoteRef/>
      </w:r>
      <w:r>
        <w:t xml:space="preserve"> </w:t>
      </w:r>
      <w:r>
        <w:rPr>
          <w:i/>
        </w:rPr>
        <w:t>See Alaska Plan Order</w:t>
      </w:r>
      <w:r>
        <w:t xml:space="preserve">, 31 FCC Rcd at 10158, para. 62.  </w:t>
      </w:r>
    </w:p>
  </w:footnote>
  <w:footnote w:id="6">
    <w:p w:rsidR="002A142C" w:rsidRPr="00435F0C" w:rsidP="002A142C" w14:paraId="01316CDC" w14:textId="77777777">
      <w:pPr>
        <w:pStyle w:val="FootnoteText"/>
      </w:pPr>
      <w:r>
        <w:rPr>
          <w:rStyle w:val="FootnoteReference"/>
        </w:rPr>
        <w:footnoteRef/>
      </w:r>
      <w:r>
        <w:t xml:space="preserve"> </w:t>
      </w:r>
      <w:r>
        <w:rPr>
          <w:i/>
        </w:rPr>
        <w:t xml:space="preserve">See </w:t>
      </w:r>
      <w:r>
        <w:t xml:space="preserve">Letter from David </w:t>
      </w:r>
      <w:r>
        <w:t>Masephol</w:t>
      </w:r>
      <w:r>
        <w:t xml:space="preserve">, President, Circle Telephone &amp; Electric, LLC, to Marlene H. Dortch, Secretary, FCC, WC Docket No. 16-271 (Apr. 4, 2019); Letter from William Douglas DeVore, President, Bush-Tell, Inc., to Marlene H. Dortch, Secretary, FCC, WC Docket No. 16-271 (May 10, 2019) (letter filed on May 22, 2019 and dated May 10, 2019).  </w:t>
      </w:r>
    </w:p>
  </w:footnote>
  <w:footnote w:id="7">
    <w:p w:rsidR="002A142C" w:rsidP="002A142C" w14:paraId="6029E3B9" w14:textId="77777777">
      <w:pPr>
        <w:pStyle w:val="FootnoteText"/>
      </w:pPr>
      <w:r>
        <w:rPr>
          <w:rStyle w:val="FootnoteReference"/>
        </w:rPr>
        <w:footnoteRef/>
      </w:r>
      <w:r>
        <w:t xml:space="preserve"> </w:t>
      </w:r>
      <w:r>
        <w:rPr>
          <w:i/>
        </w:rPr>
        <w:t xml:space="preserve">See </w:t>
      </w:r>
      <w:r>
        <w:t>Petition for Reconsideration of Adak Each Enterprises, LLC, WC Docket No. 10-90 (Jan. 19, 2017).</w:t>
      </w:r>
    </w:p>
  </w:footnote>
  <w:footnote w:id="8">
    <w:p w:rsidR="002A142C" w:rsidP="002A142C" w14:paraId="4E3150C8" w14:textId="77777777">
      <w:pPr>
        <w:pStyle w:val="FootnoteText"/>
      </w:pPr>
      <w:r>
        <w:rPr>
          <w:rStyle w:val="FootnoteReference"/>
        </w:rPr>
        <w:footnoteRef/>
      </w:r>
      <w:r>
        <w:t xml:space="preserve"> Letter from Jeffry H. Smith President and CEO, GVNW Consulting, to Marlene H. Dortch, Secretary, FCC, WC Docket Nos. 10-90, 16-271, at Attachment (Nov. 1, 2018).   </w:t>
      </w:r>
    </w:p>
  </w:footnote>
  <w:footnote w:id="9">
    <w:p w:rsidR="002A142C" w:rsidP="002A142C" w14:paraId="54F4E2DE" w14:textId="207F4323">
      <w:pPr>
        <w:pStyle w:val="FootnoteText"/>
      </w:pPr>
      <w:r>
        <w:rPr>
          <w:rStyle w:val="FootnoteReference"/>
        </w:rPr>
        <w:footnoteRef/>
      </w:r>
      <w:r>
        <w:t xml:space="preserve"> Letter from Jeffry H. Smith President and CEO, GVNW Consulting, to Marlene H. Dortch, Secretary, FCC, WC Docket Nos. 10-90, 16-271, at Attachment (Nov. 27, 2018); Letter from Jeffry H. Smith President and CEO, GVNW Consulting, to Marlene H. Dortch, Secretary, FCC, WC Docket Nos. 10-90, 16-271, at Attachment (Dec. 26, 2018)</w:t>
      </w:r>
      <w:r w:rsidR="00A75321">
        <w:t>; Letter from Jeffry H. Smith President and CEO, GVNW Consulting, to Marlene H. Dortch, Secretary, FCC, WC Docket Nos. 10-90, 16-271, at 4 (Nov. 19, 2019).</w:t>
      </w:r>
    </w:p>
  </w:footnote>
  <w:footnote w:id="10">
    <w:p w:rsidR="002A142C" w:rsidRPr="00B650BC" w:rsidP="002A142C" w14:paraId="51B05329" w14:textId="77777777">
      <w:pPr>
        <w:pStyle w:val="FootnoteText"/>
      </w:pPr>
      <w:r>
        <w:rPr>
          <w:rStyle w:val="FootnoteReference"/>
        </w:rPr>
        <w:footnoteRef/>
      </w:r>
      <w:r>
        <w:t xml:space="preserve"> </w:t>
      </w:r>
      <w:r>
        <w:rPr>
          <w:i/>
        </w:rPr>
        <w:t xml:space="preserve">See </w:t>
      </w:r>
      <w:r>
        <w:t xml:space="preserve">Letter from David J. Goggins, President and General Manager, </w:t>
      </w:r>
      <w:r>
        <w:t>TelAlaska</w:t>
      </w:r>
      <w:r>
        <w:t xml:space="preserve">, Inc., to Marlene H. Dortch, Secretary, FCC, WC Docket No. 16-271 (Mar. 1, 2019), Letter from David J. Goggins, President and General Manager, </w:t>
      </w:r>
      <w:r>
        <w:t>TelAlaska</w:t>
      </w:r>
      <w:r>
        <w:t xml:space="preserve">, Inc., to Marlene H. Dortch, Secretary, FCC, WC Docket No. 16-271 (Mar. 8, 2019).    Letter from David J. Goggins, President and General Manager, </w:t>
      </w:r>
      <w:r>
        <w:t>TelAlaska</w:t>
      </w:r>
      <w:r>
        <w:t xml:space="preserve">, Inc., to Marlene H. Dortch, Secretary, FCC, WC Docket No. 16-271 (May 17, 2019).  </w:t>
      </w:r>
    </w:p>
  </w:footnote>
  <w:footnote w:id="11">
    <w:p w:rsidR="00E56727" w14:paraId="7473370A" w14:textId="77777777">
      <w:pPr>
        <w:pStyle w:val="FootnoteText"/>
      </w:pPr>
      <w:r>
        <w:rPr>
          <w:rStyle w:val="FootnoteReference"/>
        </w:rPr>
        <w:footnoteRef/>
      </w:r>
      <w:r>
        <w:t xml:space="preserve"> </w:t>
      </w:r>
      <w:r w:rsidR="00721F6D">
        <w:rPr>
          <w:i/>
        </w:rPr>
        <w:t xml:space="preserve">See </w:t>
      </w:r>
      <w:r w:rsidR="00721F6D">
        <w:t xml:space="preserve">Letter from David J. Goggins, President and General Manager, </w:t>
      </w:r>
      <w:r w:rsidR="00721F6D">
        <w:t>TelAlaska</w:t>
      </w:r>
      <w:r w:rsidR="00721F6D">
        <w:t xml:space="preserve">, Inc., to Marlene H. Dortch, Secretary, FCC, WC Docket No. 16-271 (Jun. 7, 2019).  </w:t>
      </w:r>
    </w:p>
  </w:footnote>
  <w:footnote w:id="12">
    <w:p w:rsidR="00643816" w:rsidRPr="00BC4B4C" w:rsidP="00CC6747" w14:paraId="03137119" w14:textId="5DD38777">
      <w:pPr>
        <w:pStyle w:val="FootnoteText"/>
      </w:pPr>
      <w:r>
        <w:rPr>
          <w:rStyle w:val="FootnoteReference"/>
        </w:rPr>
        <w:footnoteRef/>
      </w:r>
      <w:r>
        <w:t xml:space="preserve"> </w:t>
      </w:r>
      <w:r w:rsidRPr="0026320E">
        <w:rPr>
          <w:i/>
        </w:rPr>
        <w:t>See</w:t>
      </w:r>
      <w:r>
        <w:t xml:space="preserve"> </w:t>
      </w:r>
      <w:r w:rsidRPr="00D276E0">
        <w:rPr>
          <w:i/>
        </w:rPr>
        <w:t>Alaska Plan Wireline Authorization Public Notice</w:t>
      </w:r>
      <w:r>
        <w:t xml:space="preserve">, 31 FCC Rcd at 13354, Appx. B.  </w:t>
      </w:r>
      <w:r w:rsidR="00D31A51">
        <w:t xml:space="preserve">Alaska Plan carriers are subject to the Alaska-specific reasonable comparability benchmark, </w:t>
      </w:r>
      <w:r w:rsidR="00BD1064">
        <w:rPr>
          <w:i/>
        </w:rPr>
        <w:t xml:space="preserve">see </w:t>
      </w:r>
      <w:r w:rsidR="00D31A51">
        <w:rPr>
          <w:i/>
        </w:rPr>
        <w:t>Alaska Plan Order</w:t>
      </w:r>
      <w:r w:rsidR="00D31A51">
        <w:t xml:space="preserve">, 31 FCC Rcd at 10149, para. 28, which </w:t>
      </w:r>
      <w:r w:rsidR="00482F67">
        <w:t xml:space="preserve">the Bureau announces annually.  </w:t>
      </w:r>
      <w:r w:rsidR="00482F67">
        <w:rPr>
          <w:i/>
        </w:rPr>
        <w:t>See, e.g.</w:t>
      </w:r>
      <w:r w:rsidR="00482F67">
        <w:t>,</w:t>
      </w:r>
      <w:r w:rsidR="00CC6747">
        <w:t xml:space="preserve"> Wireline Competition Bureau Announces Results of 2019 Urban Rate Survey for Fixed Voice and Broadband Services, Posting of Survey Data and Explanatory Notes, and Required Minimum Usage Allowance for Eligible Telecommunications Carriers, WC Docket No. 10-90, Public Notice, 33 FCC Rcd 12316 (WCB 2018).  </w:t>
      </w:r>
      <w:r w:rsidRPr="00CC6747">
        <w:rPr>
          <w:i/>
        </w:rPr>
        <w:t xml:space="preserve">See </w:t>
      </w:r>
      <w:r w:rsidR="002261E6">
        <w:rPr>
          <w:i/>
        </w:rPr>
        <w:t xml:space="preserve">also </w:t>
      </w:r>
      <w:r w:rsidRPr="00CC6747">
        <w:t>47 CFR § 54.313(a)(3)</w:t>
      </w:r>
      <w:r w:rsidR="00BD1064">
        <w:t xml:space="preserve"> (broadband benchmark certification), </w:t>
      </w:r>
      <w:r w:rsidR="00BD1064">
        <w:rPr>
          <w:i/>
        </w:rPr>
        <w:t xml:space="preserve">and </w:t>
      </w:r>
      <w:r w:rsidRPr="00CC6747">
        <w:rPr>
          <w:i/>
        </w:rPr>
        <w:t>Connect America Fund et al.</w:t>
      </w:r>
      <w:r w:rsidRPr="00CC6747">
        <w:t>, WC Docket No. 10-90 et al., Report and Order, 29 FCC Rcd 15644, 15700-01, para. 155-57 (2014)</w:t>
      </w:r>
      <w:r w:rsidRPr="00CC6747" w:rsidR="00CC6747">
        <w:t xml:space="preserve"> (</w:t>
      </w:r>
      <w:r w:rsidR="002261E6">
        <w:t>directing the Universal Service Administrative Company “to</w:t>
      </w:r>
      <w:r w:rsidRPr="002261E6" w:rsidR="002261E6">
        <w:t xml:space="preserve"> gather additional information when ETCs fail to make the reasonably comparable certification about their voice or broadband rates in their section 54.313 annual report and transmit that information to the Commission.</w:t>
      </w:r>
      <w:r w:rsidR="002261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66801D13" w14:textId="6033A1C9">
    <w:pPr>
      <w:tabs>
        <w:tab w:val="center" w:pos="6480"/>
        <w:tab w:val="right" w:pos="12960"/>
      </w:tabs>
    </w:pPr>
    <w:r w:rsidRPr="00357D50">
      <w:rPr>
        <w:b/>
      </w:rPr>
      <w:tab/>
      <w:t>Federal Communications Commission</w:t>
    </w:r>
    <w:r w:rsidRPr="00357D50">
      <w:rPr>
        <w:b/>
      </w:rPr>
      <w:tab/>
    </w:r>
    <w:r w:rsidR="00C16CBD">
      <w:rPr>
        <w:b/>
      </w:rPr>
      <w:t>DA 19-1263</w:t>
    </w:r>
  </w:p>
  <w:p w:rsidR="00357D50" w:rsidRPr="00357D50" w:rsidP="00357D50" w14:paraId="5BE8531E" w14:textId="77777777">
    <w:pPr>
      <w:tabs>
        <w:tab w:val="left" w:pos="-720"/>
      </w:tabs>
      <w:suppressAutoHyphens/>
      <w:spacing w:line="19" w:lineRule="exact"/>
      <w:rPr>
        <w:spacing w:val="-2"/>
      </w:rPr>
    </w:pPr>
    <w:r>
      <w:rPr>
        <w:noProof/>
      </w:rPr>
      <w:pict>
        <v:rect id="Rectangle 15" o:spid="_x0000_s2049" style="width:645.5pt;height:1.25pt;margin-top:0.8pt;margin-left:0;mso-position-horizontal-relative:margin;position:absolute;visibility:visible;z-index:-251657216" o:allowincell="f" fillcolor="black" stroked="f" strokeweight="0.05pt">
          <w10:wrap anchorx="margin"/>
        </v:rect>
      </w:pict>
    </w:r>
  </w:p>
  <w:p w:rsidR="00357D50" w14:paraId="7AC99158" w14:textId="77777777">
    <w:pPr>
      <w:pStyle w:val="Header"/>
    </w:pPr>
  </w:p>
  <w:p w:rsidR="001E1613" w14:paraId="21D9C8F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D32CCC3" w14:textId="77777777">
    <w:pPr>
      <w:spacing w:before="4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8.5pt;margin-left:-49.65pt;position:absolute;visibility:visible;z-index:-251656192" o:allowincell="f" wrapcoords="-386 0 -386 21214 21600 21214 21600 0 -386 0">
          <v:imagedata r:id="rId1" o:title="fcc_logo"/>
          <w10:wrap type="tight"/>
        </v:shape>
      </w:pict>
    </w:r>
    <w:r w:rsidRPr="00A866AC">
      <w:rPr>
        <w:rFonts w:ascii="Arial" w:hAnsi="Arial" w:cs="Arial"/>
        <w:b/>
        <w:sz w:val="96"/>
      </w:rPr>
      <w:t>PUBLIC NOTICE</w:t>
    </w:r>
  </w:p>
  <w:p w:rsidR="00D47505" w:rsidRPr="00357D50" w:rsidP="00357D50" w14:paraId="50E640D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1" type="#_x0000_t202" style="width:244.8pt;height:50.4pt;margin-top:3.65pt;margin-left:-4.75pt;mso-position-horizontal-relative:margin;position:absolute;visibility:visible;z-index:251658240" o:allowincell="f" stroked="f">
          <v:textbox>
            <w:txbxContent>
              <w:p w:rsidR="00357D50" w:rsidP="00357D50" w14:paraId="75BB16FB" w14:textId="77777777">
                <w:pPr>
                  <w:rPr>
                    <w:rFonts w:ascii="Arial" w:hAnsi="Arial"/>
                    <w:b/>
                  </w:rPr>
                </w:pPr>
                <w:r>
                  <w:rPr>
                    <w:rFonts w:ascii="Arial" w:hAnsi="Arial"/>
                    <w:b/>
                  </w:rPr>
                  <w:t>Federal Communications Commission</w:t>
                </w:r>
              </w:p>
              <w:p w:rsidR="00357D50" w:rsidP="00357D50" w14:paraId="256D985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7D50" w:rsidP="00357D50" w14:paraId="78791C16" w14:textId="77777777">
                <w:pPr>
                  <w:rPr>
                    <w:rFonts w:ascii="Arial" w:hAnsi="Arial"/>
                    <w:sz w:val="24"/>
                  </w:rPr>
                </w:pPr>
                <w:r>
                  <w:rPr>
                    <w:rFonts w:ascii="Arial" w:hAnsi="Arial"/>
                    <w:b/>
                  </w:rPr>
                  <w:t>Washington, D.C. 20554</w:t>
                </w:r>
              </w:p>
            </w:txbxContent>
          </v:textbox>
          <w10:wrap anchorx="margin"/>
        </v:shape>
      </w:pict>
    </w:r>
    <w:r>
      <w:rPr>
        <w:noProof/>
      </w:rPr>
      <w:pict>
        <v:line id="Straight Connector 10" o:spid="_x0000_s2052" style="mso-position-horizontal-relative:margin;mso-wrap-distance-bottom:0pt;mso-wrap-distance-top:0pt;position:absolute;visibility:visible;z-index:251661312" from="2.4pt,56.45pt" to="648.65pt,56.45pt" o:allowincell="f">
          <w10:wrap anchorx="margin"/>
        </v:line>
      </w:pict>
    </w:r>
    <w:r>
      <w:rPr>
        <w:noProof/>
      </w:rPr>
      <w:pict>
        <v:shape id="Text Box 9" o:spid="_x0000_s2053" type="#_x0000_t202" style="width:207.95pt;height:35.25pt;margin-top:16.7pt;margin-left:444.8pt;position:absolute;visibility:visible;z-index:251662336" o:allowincell="f" stroked="f">
          <v:textbox inset=",0,,0">
            <w:txbxContent>
              <w:p w:rsidR="00357D50" w:rsidP="00357D50" w14:paraId="3EA39827" w14:textId="77777777">
                <w:pPr>
                  <w:spacing w:before="40"/>
                  <w:jc w:val="right"/>
                  <w:rPr>
                    <w:rFonts w:ascii="Arial" w:hAnsi="Arial"/>
                    <w:b/>
                    <w:sz w:val="16"/>
                  </w:rPr>
                </w:pPr>
                <w:r>
                  <w:rPr>
                    <w:rFonts w:ascii="Arial" w:hAnsi="Arial"/>
                    <w:b/>
                    <w:sz w:val="16"/>
                  </w:rPr>
                  <w:t>News Media Information 202 / 418-0500</w:t>
                </w:r>
              </w:p>
              <w:p w:rsidR="00357D50" w:rsidP="00357D50" w14:paraId="2510E18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57D50" w:rsidP="00357D50" w14:paraId="13A94F04"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2C"/>
    <w:rsid w:val="00020DBC"/>
    <w:rsid w:val="00026755"/>
    <w:rsid w:val="00036039"/>
    <w:rsid w:val="00037F90"/>
    <w:rsid w:val="00064DEB"/>
    <w:rsid w:val="00083BC6"/>
    <w:rsid w:val="000864D6"/>
    <w:rsid w:val="000875BF"/>
    <w:rsid w:val="00096D8C"/>
    <w:rsid w:val="000C0B65"/>
    <w:rsid w:val="000E05FE"/>
    <w:rsid w:val="000E3D42"/>
    <w:rsid w:val="00121116"/>
    <w:rsid w:val="00122BD5"/>
    <w:rsid w:val="00133F79"/>
    <w:rsid w:val="00194A66"/>
    <w:rsid w:val="001D6BCF"/>
    <w:rsid w:val="001E01CA"/>
    <w:rsid w:val="001E1613"/>
    <w:rsid w:val="002261E6"/>
    <w:rsid w:val="00230F00"/>
    <w:rsid w:val="0026320E"/>
    <w:rsid w:val="00275CF5"/>
    <w:rsid w:val="0028301F"/>
    <w:rsid w:val="00285017"/>
    <w:rsid w:val="002A142C"/>
    <w:rsid w:val="002A2D2E"/>
    <w:rsid w:val="002C00E8"/>
    <w:rsid w:val="00343749"/>
    <w:rsid w:val="00357D50"/>
    <w:rsid w:val="003660ED"/>
    <w:rsid w:val="003B0550"/>
    <w:rsid w:val="003B694F"/>
    <w:rsid w:val="003F171C"/>
    <w:rsid w:val="00412FC5"/>
    <w:rsid w:val="00422276"/>
    <w:rsid w:val="004242F1"/>
    <w:rsid w:val="00435F0C"/>
    <w:rsid w:val="00445A00"/>
    <w:rsid w:val="00451B0F"/>
    <w:rsid w:val="00457EC0"/>
    <w:rsid w:val="004734AE"/>
    <w:rsid w:val="00482F67"/>
    <w:rsid w:val="004A769F"/>
    <w:rsid w:val="004C2EE3"/>
    <w:rsid w:val="004E4A22"/>
    <w:rsid w:val="00511968"/>
    <w:rsid w:val="0055614C"/>
    <w:rsid w:val="005A73F3"/>
    <w:rsid w:val="005C12FB"/>
    <w:rsid w:val="005E14C2"/>
    <w:rsid w:val="00607BA5"/>
    <w:rsid w:val="0061180A"/>
    <w:rsid w:val="00626EB6"/>
    <w:rsid w:val="006312E5"/>
    <w:rsid w:val="00643816"/>
    <w:rsid w:val="00655D03"/>
    <w:rsid w:val="00683388"/>
    <w:rsid w:val="00683F84"/>
    <w:rsid w:val="006A1F49"/>
    <w:rsid w:val="006A6A81"/>
    <w:rsid w:val="006B1456"/>
    <w:rsid w:val="006F0633"/>
    <w:rsid w:val="006F7393"/>
    <w:rsid w:val="0070224F"/>
    <w:rsid w:val="007115F7"/>
    <w:rsid w:val="00721F6D"/>
    <w:rsid w:val="007340FA"/>
    <w:rsid w:val="00785689"/>
    <w:rsid w:val="0079754B"/>
    <w:rsid w:val="007A1E6D"/>
    <w:rsid w:val="007B0EB2"/>
    <w:rsid w:val="007F413A"/>
    <w:rsid w:val="00810B6F"/>
    <w:rsid w:val="00822CE0"/>
    <w:rsid w:val="00841AB1"/>
    <w:rsid w:val="00856DA7"/>
    <w:rsid w:val="008907CF"/>
    <w:rsid w:val="008A0193"/>
    <w:rsid w:val="008C68F1"/>
    <w:rsid w:val="00921803"/>
    <w:rsid w:val="00926503"/>
    <w:rsid w:val="0093586C"/>
    <w:rsid w:val="00951518"/>
    <w:rsid w:val="009726D8"/>
    <w:rsid w:val="009F76DB"/>
    <w:rsid w:val="00A0399C"/>
    <w:rsid w:val="00A129E2"/>
    <w:rsid w:val="00A32C3B"/>
    <w:rsid w:val="00A45F4F"/>
    <w:rsid w:val="00A600A9"/>
    <w:rsid w:val="00A75321"/>
    <w:rsid w:val="00A866AC"/>
    <w:rsid w:val="00A97908"/>
    <w:rsid w:val="00AA55B7"/>
    <w:rsid w:val="00AA5B9E"/>
    <w:rsid w:val="00AB2407"/>
    <w:rsid w:val="00AB53DF"/>
    <w:rsid w:val="00AC424B"/>
    <w:rsid w:val="00AD7461"/>
    <w:rsid w:val="00AF46DC"/>
    <w:rsid w:val="00B07E5C"/>
    <w:rsid w:val="00B20363"/>
    <w:rsid w:val="00B26EFD"/>
    <w:rsid w:val="00B338A9"/>
    <w:rsid w:val="00B650BC"/>
    <w:rsid w:val="00B679AB"/>
    <w:rsid w:val="00B76DB8"/>
    <w:rsid w:val="00B811F7"/>
    <w:rsid w:val="00B90712"/>
    <w:rsid w:val="00BA5DC6"/>
    <w:rsid w:val="00BA6196"/>
    <w:rsid w:val="00BC040E"/>
    <w:rsid w:val="00BC4B4C"/>
    <w:rsid w:val="00BC57CE"/>
    <w:rsid w:val="00BC6D8C"/>
    <w:rsid w:val="00BD1064"/>
    <w:rsid w:val="00C16CBD"/>
    <w:rsid w:val="00C34006"/>
    <w:rsid w:val="00C426B1"/>
    <w:rsid w:val="00C66160"/>
    <w:rsid w:val="00C721AC"/>
    <w:rsid w:val="00C760A9"/>
    <w:rsid w:val="00C77034"/>
    <w:rsid w:val="00C90D6A"/>
    <w:rsid w:val="00CA247E"/>
    <w:rsid w:val="00CC6747"/>
    <w:rsid w:val="00CC72B6"/>
    <w:rsid w:val="00CC776F"/>
    <w:rsid w:val="00D0218D"/>
    <w:rsid w:val="00D216CD"/>
    <w:rsid w:val="00D25FB5"/>
    <w:rsid w:val="00D276E0"/>
    <w:rsid w:val="00D31A51"/>
    <w:rsid w:val="00D44223"/>
    <w:rsid w:val="00D47505"/>
    <w:rsid w:val="00DA2529"/>
    <w:rsid w:val="00DB130A"/>
    <w:rsid w:val="00DB2EBB"/>
    <w:rsid w:val="00DC10A1"/>
    <w:rsid w:val="00DC655F"/>
    <w:rsid w:val="00DD0B59"/>
    <w:rsid w:val="00DD7EBD"/>
    <w:rsid w:val="00DE3D7C"/>
    <w:rsid w:val="00DE4C8D"/>
    <w:rsid w:val="00DF0810"/>
    <w:rsid w:val="00DF62B6"/>
    <w:rsid w:val="00DF6C27"/>
    <w:rsid w:val="00E07225"/>
    <w:rsid w:val="00E5409F"/>
    <w:rsid w:val="00E56727"/>
    <w:rsid w:val="00E73254"/>
    <w:rsid w:val="00EA506B"/>
    <w:rsid w:val="00EB4ACC"/>
    <w:rsid w:val="00EE6488"/>
    <w:rsid w:val="00F021FA"/>
    <w:rsid w:val="00F260E9"/>
    <w:rsid w:val="00F53001"/>
    <w:rsid w:val="00F62E97"/>
    <w:rsid w:val="00F64209"/>
    <w:rsid w:val="00F8591E"/>
    <w:rsid w:val="00F93BF5"/>
    <w:rsid w:val="00FB3181"/>
    <w:rsid w:val="00FC6761"/>
    <w:rsid w:val="00FE2C64"/>
    <w:rsid w:val="00FE71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8FDEBA-955F-49B6-BA00-5C0DEB76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F6"/>
    <w:pPr>
      <w:widowControl w:val="0"/>
    </w:pPr>
    <w:rPr>
      <w:snapToGrid w:val="0"/>
      <w:kern w:val="28"/>
      <w:sz w:val="22"/>
    </w:rPr>
  </w:style>
  <w:style w:type="paragraph" w:styleId="Heading1">
    <w:name w:val="heading 1"/>
    <w:basedOn w:val="Normal"/>
    <w:next w:val="ParaNum"/>
    <w:qFormat/>
    <w:rsid w:val="00FE71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71F6"/>
    <w:pPr>
      <w:keepNext/>
      <w:numPr>
        <w:ilvl w:val="1"/>
        <w:numId w:val="3"/>
      </w:numPr>
      <w:spacing w:after="120"/>
      <w:outlineLvl w:val="1"/>
    </w:pPr>
    <w:rPr>
      <w:b/>
    </w:rPr>
  </w:style>
  <w:style w:type="paragraph" w:styleId="Heading3">
    <w:name w:val="heading 3"/>
    <w:basedOn w:val="Normal"/>
    <w:next w:val="ParaNum"/>
    <w:qFormat/>
    <w:rsid w:val="00FE71F6"/>
    <w:pPr>
      <w:keepNext/>
      <w:numPr>
        <w:ilvl w:val="2"/>
        <w:numId w:val="3"/>
      </w:numPr>
      <w:tabs>
        <w:tab w:val="left" w:pos="2160"/>
      </w:tabs>
      <w:spacing w:after="120"/>
      <w:outlineLvl w:val="2"/>
    </w:pPr>
    <w:rPr>
      <w:b/>
    </w:rPr>
  </w:style>
  <w:style w:type="paragraph" w:styleId="Heading4">
    <w:name w:val="heading 4"/>
    <w:basedOn w:val="Normal"/>
    <w:next w:val="ParaNum"/>
    <w:qFormat/>
    <w:rsid w:val="00FE71F6"/>
    <w:pPr>
      <w:keepNext/>
      <w:numPr>
        <w:ilvl w:val="3"/>
        <w:numId w:val="3"/>
      </w:numPr>
      <w:tabs>
        <w:tab w:val="left" w:pos="2880"/>
      </w:tabs>
      <w:spacing w:after="120"/>
      <w:outlineLvl w:val="3"/>
    </w:pPr>
    <w:rPr>
      <w:b/>
    </w:rPr>
  </w:style>
  <w:style w:type="paragraph" w:styleId="Heading5">
    <w:name w:val="heading 5"/>
    <w:basedOn w:val="Normal"/>
    <w:next w:val="ParaNum"/>
    <w:qFormat/>
    <w:rsid w:val="00FE71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71F6"/>
    <w:pPr>
      <w:numPr>
        <w:ilvl w:val="5"/>
        <w:numId w:val="3"/>
      </w:numPr>
      <w:tabs>
        <w:tab w:val="left" w:pos="4320"/>
      </w:tabs>
      <w:spacing w:after="120"/>
      <w:outlineLvl w:val="5"/>
    </w:pPr>
    <w:rPr>
      <w:b/>
    </w:rPr>
  </w:style>
  <w:style w:type="paragraph" w:styleId="Heading7">
    <w:name w:val="heading 7"/>
    <w:basedOn w:val="Normal"/>
    <w:next w:val="ParaNum"/>
    <w:qFormat/>
    <w:rsid w:val="00FE71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71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71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7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71F6"/>
  </w:style>
  <w:style w:type="paragraph" w:customStyle="1" w:styleId="ParaNum">
    <w:name w:val="ParaNum"/>
    <w:basedOn w:val="Normal"/>
    <w:rsid w:val="00FE71F6"/>
    <w:pPr>
      <w:numPr>
        <w:numId w:val="2"/>
      </w:numPr>
      <w:tabs>
        <w:tab w:val="clear" w:pos="1080"/>
        <w:tab w:val="num" w:pos="1440"/>
      </w:tabs>
      <w:spacing w:after="120"/>
    </w:pPr>
  </w:style>
  <w:style w:type="paragraph" w:styleId="EndnoteText">
    <w:name w:val="endnote text"/>
    <w:basedOn w:val="Normal"/>
    <w:semiHidden/>
    <w:rsid w:val="00FE71F6"/>
    <w:rPr>
      <w:sz w:val="20"/>
    </w:rPr>
  </w:style>
  <w:style w:type="character" w:styleId="EndnoteReference">
    <w:name w:val="endnote reference"/>
    <w:semiHidden/>
    <w:rsid w:val="00FE71F6"/>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FE71F6"/>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FE71F6"/>
    <w:rPr>
      <w:rFonts w:ascii="Times New Roman" w:hAnsi="Times New Roman"/>
      <w:dstrike w:val="0"/>
      <w:color w:val="auto"/>
      <w:sz w:val="20"/>
      <w:vertAlign w:val="superscript"/>
    </w:rPr>
  </w:style>
  <w:style w:type="paragraph" w:styleId="TOC1">
    <w:name w:val="toc 1"/>
    <w:basedOn w:val="Normal"/>
    <w:next w:val="Normal"/>
    <w:semiHidden/>
    <w:rsid w:val="00FE71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71F6"/>
    <w:pPr>
      <w:tabs>
        <w:tab w:val="left" w:pos="720"/>
        <w:tab w:val="right" w:leader="dot" w:pos="9360"/>
      </w:tabs>
      <w:suppressAutoHyphens/>
      <w:ind w:left="720" w:right="720" w:hanging="360"/>
    </w:pPr>
    <w:rPr>
      <w:noProof/>
    </w:rPr>
  </w:style>
  <w:style w:type="paragraph" w:styleId="TOC3">
    <w:name w:val="toc 3"/>
    <w:basedOn w:val="Normal"/>
    <w:next w:val="Normal"/>
    <w:semiHidden/>
    <w:rsid w:val="00FE71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71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71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71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71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71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71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71F6"/>
    <w:pPr>
      <w:tabs>
        <w:tab w:val="right" w:pos="9360"/>
      </w:tabs>
      <w:suppressAutoHyphens/>
    </w:pPr>
  </w:style>
  <w:style w:type="character" w:customStyle="1" w:styleId="EquationCaption">
    <w:name w:val="_Equation Caption"/>
    <w:rsid w:val="00FE71F6"/>
  </w:style>
  <w:style w:type="paragraph" w:styleId="Header">
    <w:name w:val="header"/>
    <w:basedOn w:val="Normal"/>
    <w:autoRedefine/>
    <w:rsid w:val="00FE71F6"/>
    <w:pPr>
      <w:spacing w:before="40"/>
    </w:pPr>
    <w:rPr>
      <w:rFonts w:ascii="Arial" w:hAnsi="Arial" w:cs="Arial"/>
      <w:b/>
      <w:sz w:val="20"/>
    </w:rPr>
  </w:style>
  <w:style w:type="paragraph" w:styleId="Footer">
    <w:name w:val="footer"/>
    <w:basedOn w:val="Normal"/>
    <w:link w:val="FooterChar"/>
    <w:uiPriority w:val="99"/>
    <w:rsid w:val="00FE71F6"/>
    <w:pPr>
      <w:tabs>
        <w:tab w:val="center" w:pos="4320"/>
        <w:tab w:val="right" w:pos="8640"/>
      </w:tabs>
    </w:pPr>
  </w:style>
  <w:style w:type="character" w:styleId="PageNumber">
    <w:name w:val="page number"/>
    <w:basedOn w:val="DefaultParagraphFont"/>
    <w:rsid w:val="00FE71F6"/>
  </w:style>
  <w:style w:type="paragraph" w:styleId="BlockText">
    <w:name w:val="Block Text"/>
    <w:basedOn w:val="Normal"/>
    <w:rsid w:val="00FE71F6"/>
    <w:pPr>
      <w:spacing w:after="240"/>
      <w:ind w:left="1440" w:right="1440"/>
    </w:pPr>
  </w:style>
  <w:style w:type="paragraph" w:customStyle="1" w:styleId="Paratitle">
    <w:name w:val="Para title"/>
    <w:basedOn w:val="Normal"/>
    <w:rsid w:val="00FE71F6"/>
    <w:pPr>
      <w:tabs>
        <w:tab w:val="center" w:pos="9270"/>
      </w:tabs>
      <w:spacing w:after="240"/>
    </w:pPr>
    <w:rPr>
      <w:spacing w:val="-2"/>
    </w:rPr>
  </w:style>
  <w:style w:type="paragraph" w:customStyle="1" w:styleId="Bullet">
    <w:name w:val="Bullet"/>
    <w:basedOn w:val="Normal"/>
    <w:rsid w:val="00FE71F6"/>
    <w:pPr>
      <w:tabs>
        <w:tab w:val="left" w:pos="2160"/>
      </w:tabs>
      <w:spacing w:after="220"/>
      <w:ind w:left="2160" w:hanging="720"/>
    </w:pPr>
  </w:style>
  <w:style w:type="paragraph" w:customStyle="1" w:styleId="TableFormat">
    <w:name w:val="TableFormat"/>
    <w:basedOn w:val="Bullet"/>
    <w:rsid w:val="00FE71F6"/>
    <w:pPr>
      <w:tabs>
        <w:tab w:val="clear" w:pos="2160"/>
        <w:tab w:val="left" w:pos="5040"/>
      </w:tabs>
      <w:ind w:left="5040" w:hanging="3600"/>
    </w:pPr>
  </w:style>
  <w:style w:type="paragraph" w:customStyle="1" w:styleId="TOCTitle">
    <w:name w:val="TOC Title"/>
    <w:basedOn w:val="Normal"/>
    <w:rsid w:val="00FE71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71F6"/>
    <w:pPr>
      <w:jc w:val="center"/>
    </w:pPr>
    <w:rPr>
      <w:rFonts w:ascii="Times New Roman Bold" w:hAnsi="Times New Roman Bold"/>
      <w:b/>
      <w:bCs/>
      <w:caps/>
      <w:szCs w:val="22"/>
    </w:rPr>
  </w:style>
  <w:style w:type="character" w:styleId="Hyperlink">
    <w:name w:val="Hyperlink"/>
    <w:rsid w:val="00FE71F6"/>
    <w:rPr>
      <w:color w:val="0000FF"/>
      <w:u w:val="single"/>
    </w:rPr>
  </w:style>
  <w:style w:type="paragraph" w:styleId="BalloonText">
    <w:name w:val="Balloon Text"/>
    <w:basedOn w:val="Normal"/>
    <w:link w:val="BalloonTextChar"/>
    <w:rsid w:val="00FE71F6"/>
    <w:rPr>
      <w:rFonts w:ascii="Segoe UI" w:hAnsi="Segoe UI" w:cs="Segoe UI"/>
      <w:sz w:val="18"/>
      <w:szCs w:val="18"/>
    </w:rPr>
  </w:style>
  <w:style w:type="character" w:customStyle="1" w:styleId="BalloonTextChar">
    <w:name w:val="Balloon Text Char"/>
    <w:link w:val="BalloonText"/>
    <w:rsid w:val="00FE71F6"/>
    <w:rPr>
      <w:rFonts w:ascii="Segoe UI" w:hAnsi="Segoe UI" w:cs="Segoe UI"/>
      <w:snapToGrid w:val="0"/>
      <w:kern w:val="28"/>
      <w:sz w:val="18"/>
      <w:szCs w:val="18"/>
    </w:rPr>
  </w:style>
  <w:style w:type="character" w:customStyle="1" w:styleId="FooterChar">
    <w:name w:val="Footer Char"/>
    <w:link w:val="Footer"/>
    <w:uiPriority w:val="99"/>
    <w:rsid w:val="00FE71F6"/>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2A142C"/>
  </w:style>
  <w:style w:type="character" w:customStyle="1" w:styleId="UnresolvedMention">
    <w:name w:val="Unresolved Mention"/>
    <w:basedOn w:val="DefaultParagraphFont"/>
    <w:uiPriority w:val="99"/>
    <w:semiHidden/>
    <w:unhideWhenUsed/>
    <w:rsid w:val="00E56727"/>
    <w:rPr>
      <w:color w:val="605E5C"/>
      <w:shd w:val="clear" w:color="auto" w:fill="E1DFDD"/>
    </w:rPr>
  </w:style>
  <w:style w:type="character" w:styleId="CommentReference">
    <w:name w:val="annotation reference"/>
    <w:basedOn w:val="DefaultParagraphFont"/>
    <w:rsid w:val="004A769F"/>
    <w:rPr>
      <w:sz w:val="16"/>
      <w:szCs w:val="16"/>
    </w:rPr>
  </w:style>
  <w:style w:type="paragraph" w:styleId="CommentText">
    <w:name w:val="annotation text"/>
    <w:basedOn w:val="Normal"/>
    <w:link w:val="CommentTextChar"/>
    <w:rsid w:val="004A769F"/>
    <w:rPr>
      <w:sz w:val="20"/>
    </w:rPr>
  </w:style>
  <w:style w:type="character" w:customStyle="1" w:styleId="CommentTextChar">
    <w:name w:val="Comment Text Char"/>
    <w:basedOn w:val="DefaultParagraphFont"/>
    <w:link w:val="CommentText"/>
    <w:rsid w:val="004A769F"/>
    <w:rPr>
      <w:snapToGrid w:val="0"/>
      <w:kern w:val="28"/>
    </w:rPr>
  </w:style>
  <w:style w:type="paragraph" w:styleId="CommentSubject">
    <w:name w:val="annotation subject"/>
    <w:basedOn w:val="CommentText"/>
    <w:next w:val="CommentText"/>
    <w:link w:val="CommentSubjectChar"/>
    <w:rsid w:val="004A769F"/>
    <w:rPr>
      <w:b/>
      <w:bCs/>
    </w:rPr>
  </w:style>
  <w:style w:type="character" w:customStyle="1" w:styleId="CommentSubjectChar">
    <w:name w:val="Comment Subject Char"/>
    <w:basedOn w:val="CommentTextChar"/>
    <w:link w:val="CommentSubject"/>
    <w:rsid w:val="004A769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sse.jachman@fcc.gov"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