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5B32" w:rsidRPr="00ED5746" w:rsidP="00C65B32" w14:paraId="6BC90B00" w14:textId="77777777">
      <w:pPr>
        <w:jc w:val="center"/>
        <w:rPr>
          <w:b/>
        </w:rPr>
      </w:pPr>
      <w:r w:rsidRPr="00ED5746">
        <w:rPr>
          <w:rFonts w:ascii="Times New Roman Bold" w:hAnsi="Times New Roman Bold"/>
          <w:b/>
          <w:kern w:val="0"/>
          <w:szCs w:val="22"/>
        </w:rPr>
        <w:t>Before</w:t>
      </w:r>
      <w:r w:rsidRPr="00ED5746">
        <w:rPr>
          <w:b/>
        </w:rPr>
        <w:t xml:space="preserve"> the</w:t>
      </w:r>
    </w:p>
    <w:p w:rsidR="00C65B32" w:rsidRPr="00ED5746" w:rsidP="00C65B32" w14:paraId="1AB7DE03" w14:textId="77777777">
      <w:pPr>
        <w:pStyle w:val="StyleBoldCentered"/>
      </w:pPr>
      <w:r w:rsidRPr="00ED5746">
        <w:t>F</w:t>
      </w:r>
      <w:r w:rsidRPr="00ED5746">
        <w:rPr>
          <w:caps w:val="0"/>
        </w:rPr>
        <w:t>ederal Communications Commission</w:t>
      </w:r>
    </w:p>
    <w:p w:rsidR="00C65B32" w:rsidRPr="00ED5746" w:rsidP="00C65B32" w14:paraId="1ACCD8DB" w14:textId="77777777">
      <w:pPr>
        <w:pStyle w:val="StyleBoldCentered"/>
      </w:pPr>
      <w:r w:rsidRPr="00ED5746">
        <w:rPr>
          <w:caps w:val="0"/>
        </w:rPr>
        <w:t>Washington, DC 20554</w:t>
      </w:r>
    </w:p>
    <w:p w:rsidR="00C65B32" w:rsidRPr="001C4132" w:rsidP="00C65B32" w14:paraId="3FA81323" w14:textId="77777777">
      <w:pPr>
        <w:rPr>
          <w:szCs w:val="22"/>
        </w:rPr>
      </w:pPr>
    </w:p>
    <w:tbl>
      <w:tblPr>
        <w:tblW w:w="9576" w:type="dxa"/>
        <w:tblLayout w:type="fixed"/>
        <w:tblLook w:val="0000"/>
      </w:tblPr>
      <w:tblGrid>
        <w:gridCol w:w="4698"/>
        <w:gridCol w:w="630"/>
        <w:gridCol w:w="4248"/>
      </w:tblGrid>
      <w:tr w14:paraId="7F54E9DC" w14:textId="77777777" w:rsidTr="00FC3327">
        <w:tblPrEx>
          <w:tblW w:w="9576" w:type="dxa"/>
          <w:tblLayout w:type="fixed"/>
          <w:tblLook w:val="0000"/>
        </w:tblPrEx>
        <w:tc>
          <w:tcPr>
            <w:tcW w:w="4698" w:type="dxa"/>
          </w:tcPr>
          <w:p w:rsidR="00C65B32" w:rsidRPr="001C4132" w:rsidP="00FC3327" w14:paraId="2DF30DCB" w14:textId="77777777">
            <w:pPr>
              <w:tabs>
                <w:tab w:val="center" w:pos="4680"/>
              </w:tabs>
              <w:suppressAutoHyphens/>
              <w:rPr>
                <w:spacing w:val="-2"/>
                <w:szCs w:val="22"/>
              </w:rPr>
            </w:pPr>
            <w:r w:rsidRPr="001C4132">
              <w:rPr>
                <w:spacing w:val="-2"/>
                <w:szCs w:val="22"/>
              </w:rPr>
              <w:t>In the Matter of</w:t>
            </w:r>
          </w:p>
          <w:p w:rsidR="00C65B32" w:rsidRPr="001C4132" w:rsidP="00FC3327" w14:paraId="6064E3AF" w14:textId="77777777">
            <w:pPr>
              <w:tabs>
                <w:tab w:val="center" w:pos="4680"/>
              </w:tabs>
              <w:suppressAutoHyphens/>
              <w:rPr>
                <w:spacing w:val="-2"/>
                <w:szCs w:val="22"/>
              </w:rPr>
            </w:pPr>
          </w:p>
          <w:p w:rsidR="00C65B32" w:rsidRPr="001C4132" w:rsidP="00FC3327" w14:paraId="197FA098" w14:textId="77777777">
            <w:pPr>
              <w:autoSpaceDE w:val="0"/>
              <w:autoSpaceDN w:val="0"/>
              <w:adjustRightInd w:val="0"/>
              <w:rPr>
                <w:szCs w:val="22"/>
              </w:rPr>
            </w:pPr>
            <w:r w:rsidRPr="001C4132">
              <w:rPr>
                <w:szCs w:val="22"/>
              </w:rPr>
              <w:t>L3Harris Technologies, Inc.</w:t>
            </w:r>
          </w:p>
        </w:tc>
        <w:tc>
          <w:tcPr>
            <w:tcW w:w="630" w:type="dxa"/>
          </w:tcPr>
          <w:p w:rsidR="00C65B32" w:rsidRPr="001C4132" w:rsidP="00FC3327" w14:paraId="5040AFE6" w14:textId="77777777">
            <w:pPr>
              <w:tabs>
                <w:tab w:val="center" w:pos="4680"/>
              </w:tabs>
              <w:suppressAutoHyphens/>
              <w:rPr>
                <w:b/>
                <w:spacing w:val="-2"/>
                <w:szCs w:val="22"/>
              </w:rPr>
            </w:pPr>
            <w:r w:rsidRPr="001C4132">
              <w:rPr>
                <w:b/>
                <w:spacing w:val="-2"/>
                <w:szCs w:val="22"/>
              </w:rPr>
              <w:t>)</w:t>
            </w:r>
          </w:p>
          <w:p w:rsidR="00C65B32" w:rsidRPr="001C4132" w:rsidP="00FC3327" w14:paraId="5CA8EBBC" w14:textId="77777777">
            <w:pPr>
              <w:tabs>
                <w:tab w:val="center" w:pos="4680"/>
              </w:tabs>
              <w:suppressAutoHyphens/>
              <w:rPr>
                <w:b/>
                <w:spacing w:val="-2"/>
                <w:szCs w:val="22"/>
              </w:rPr>
            </w:pPr>
            <w:r w:rsidRPr="001C4132">
              <w:rPr>
                <w:b/>
                <w:spacing w:val="-2"/>
                <w:szCs w:val="22"/>
              </w:rPr>
              <w:t>)</w:t>
            </w:r>
          </w:p>
          <w:p w:rsidR="00C65B32" w:rsidRPr="001C4132" w:rsidP="00FC3327" w14:paraId="57687BB0" w14:textId="77777777">
            <w:pPr>
              <w:tabs>
                <w:tab w:val="center" w:pos="4680"/>
              </w:tabs>
              <w:suppressAutoHyphens/>
              <w:rPr>
                <w:b/>
                <w:spacing w:val="-2"/>
                <w:szCs w:val="22"/>
              </w:rPr>
            </w:pPr>
            <w:r w:rsidRPr="001C4132">
              <w:rPr>
                <w:b/>
                <w:spacing w:val="-2"/>
                <w:szCs w:val="22"/>
              </w:rPr>
              <w:t>)</w:t>
            </w:r>
          </w:p>
          <w:p w:rsidR="00C65B32" w:rsidRPr="001C4132" w:rsidP="00FC3327" w14:paraId="5E5DFA75" w14:textId="77777777">
            <w:pPr>
              <w:tabs>
                <w:tab w:val="center" w:pos="4680"/>
              </w:tabs>
              <w:suppressAutoHyphens/>
              <w:rPr>
                <w:b/>
                <w:spacing w:val="-2"/>
                <w:szCs w:val="22"/>
              </w:rPr>
            </w:pPr>
            <w:r w:rsidRPr="001C4132">
              <w:rPr>
                <w:b/>
                <w:spacing w:val="-2"/>
                <w:szCs w:val="22"/>
              </w:rPr>
              <w:t>)</w:t>
            </w:r>
          </w:p>
          <w:p w:rsidR="00C65B32" w:rsidRPr="001C4132" w:rsidP="00FC3327" w14:paraId="565E4D71" w14:textId="77777777">
            <w:pPr>
              <w:tabs>
                <w:tab w:val="center" w:pos="4680"/>
              </w:tabs>
              <w:suppressAutoHyphens/>
              <w:rPr>
                <w:b/>
                <w:spacing w:val="-2"/>
                <w:szCs w:val="22"/>
              </w:rPr>
            </w:pPr>
            <w:r w:rsidRPr="001C4132">
              <w:rPr>
                <w:b/>
                <w:spacing w:val="-2"/>
                <w:szCs w:val="22"/>
              </w:rPr>
              <w:t>)</w:t>
            </w:r>
          </w:p>
          <w:p w:rsidR="00C65B32" w:rsidRPr="001C4132" w:rsidP="00FC3327" w14:paraId="7ACDDA50" w14:textId="77777777">
            <w:pPr>
              <w:tabs>
                <w:tab w:val="center" w:pos="4680"/>
              </w:tabs>
              <w:suppressAutoHyphens/>
              <w:rPr>
                <w:b/>
                <w:spacing w:val="-2"/>
                <w:szCs w:val="22"/>
              </w:rPr>
            </w:pPr>
          </w:p>
        </w:tc>
        <w:tc>
          <w:tcPr>
            <w:tcW w:w="4248" w:type="dxa"/>
          </w:tcPr>
          <w:p w:rsidR="00C65B32" w:rsidRPr="001C4132" w:rsidP="00FC3327" w14:paraId="463D2F57" w14:textId="77777777">
            <w:pPr>
              <w:tabs>
                <w:tab w:val="center" w:pos="4680"/>
              </w:tabs>
              <w:suppressAutoHyphens/>
              <w:ind w:left="432"/>
              <w:rPr>
                <w:spacing w:val="-2"/>
                <w:szCs w:val="22"/>
              </w:rPr>
            </w:pPr>
          </w:p>
          <w:p w:rsidR="00C65B32" w:rsidRPr="001C4132" w:rsidP="00FC3327" w14:paraId="344DF53F" w14:textId="77777777">
            <w:pPr>
              <w:tabs>
                <w:tab w:val="center" w:pos="4680"/>
              </w:tabs>
              <w:suppressAutoHyphens/>
              <w:ind w:left="432"/>
              <w:rPr>
                <w:spacing w:val="-2"/>
                <w:szCs w:val="22"/>
              </w:rPr>
            </w:pPr>
          </w:p>
          <w:p w:rsidR="00C65B32" w:rsidRPr="001C4132" w:rsidP="00FC3327" w14:paraId="2DC64728" w14:textId="77777777">
            <w:pPr>
              <w:tabs>
                <w:tab w:val="center" w:pos="4680"/>
              </w:tabs>
              <w:suppressAutoHyphens/>
              <w:ind w:left="432"/>
              <w:rPr>
                <w:spacing w:val="-2"/>
                <w:szCs w:val="22"/>
              </w:rPr>
            </w:pPr>
            <w:r w:rsidRPr="001C4132">
              <w:rPr>
                <w:spacing w:val="-2"/>
                <w:szCs w:val="22"/>
              </w:rPr>
              <w:t>File No.:  EB-SED-19-00028645</w:t>
            </w:r>
          </w:p>
          <w:p w:rsidR="00C65B32" w:rsidRPr="001C4132" w:rsidP="00FC3327" w14:paraId="2AA49822" w14:textId="77777777">
            <w:pPr>
              <w:ind w:left="432"/>
              <w:rPr>
                <w:spacing w:val="-2"/>
                <w:szCs w:val="22"/>
              </w:rPr>
            </w:pPr>
            <w:r w:rsidRPr="001C4132">
              <w:rPr>
                <w:spacing w:val="-2"/>
                <w:szCs w:val="22"/>
              </w:rPr>
              <w:t>Acct. No.:  202032100004</w:t>
            </w:r>
          </w:p>
          <w:p w:rsidR="00C65B32" w:rsidRPr="001C4132" w:rsidP="00FC3327" w14:paraId="076D1896" w14:textId="77777777">
            <w:pPr>
              <w:tabs>
                <w:tab w:val="center" w:pos="4680"/>
              </w:tabs>
              <w:suppressAutoHyphens/>
              <w:ind w:left="432"/>
              <w:rPr>
                <w:snapToGrid/>
                <w:spacing w:val="-2"/>
                <w:szCs w:val="22"/>
              </w:rPr>
            </w:pPr>
            <w:r w:rsidRPr="001C4132">
              <w:rPr>
                <w:szCs w:val="22"/>
              </w:rPr>
              <w:t>FRN:  0003791472</w:t>
            </w:r>
          </w:p>
        </w:tc>
      </w:tr>
    </w:tbl>
    <w:p w:rsidR="00C65B32" w:rsidRPr="00D84548" w:rsidP="00C65B32" w14:paraId="779CA60A" w14:textId="77777777">
      <w:pPr>
        <w:jc w:val="center"/>
        <w:outlineLvl w:val="0"/>
        <w:rPr>
          <w:b/>
          <w:szCs w:val="22"/>
        </w:rPr>
      </w:pPr>
      <w:r w:rsidRPr="00D84548">
        <w:rPr>
          <w:b/>
          <w:szCs w:val="22"/>
        </w:rPr>
        <w:t>ORDER</w:t>
      </w:r>
    </w:p>
    <w:p w:rsidR="00C65B32" w:rsidRPr="00D84548" w:rsidP="00C65B32" w14:paraId="4F9AB70E" w14:textId="77777777">
      <w:pPr>
        <w:tabs>
          <w:tab w:val="left" w:pos="-720"/>
        </w:tabs>
        <w:suppressAutoHyphens/>
        <w:spacing w:line="227" w:lineRule="auto"/>
        <w:rPr>
          <w:spacing w:val="-2"/>
        </w:rPr>
      </w:pPr>
    </w:p>
    <w:p w:rsidR="00C65B32" w:rsidRPr="00D84548" w:rsidP="00C65B32" w14:paraId="7D6D83CD" w14:textId="1B9A62C2">
      <w:pPr>
        <w:tabs>
          <w:tab w:val="left" w:pos="720"/>
          <w:tab w:val="right" w:pos="9360"/>
        </w:tabs>
        <w:suppressAutoHyphens/>
        <w:spacing w:line="227" w:lineRule="auto"/>
        <w:rPr>
          <w:spacing w:val="-2"/>
        </w:rPr>
      </w:pPr>
      <w:r w:rsidRPr="00D84548">
        <w:rPr>
          <w:b/>
          <w:spacing w:val="-2"/>
        </w:rPr>
        <w:t xml:space="preserve">Adopted:  </w:t>
      </w:r>
      <w:r w:rsidRPr="00A820DF">
        <w:rPr>
          <w:b/>
          <w:spacing w:val="-2"/>
        </w:rPr>
        <w:t xml:space="preserve">December </w:t>
      </w:r>
      <w:r w:rsidR="006F0C62">
        <w:rPr>
          <w:b/>
          <w:spacing w:val="-2"/>
        </w:rPr>
        <w:t>19</w:t>
      </w:r>
      <w:r w:rsidRPr="00A820DF">
        <w:rPr>
          <w:b/>
          <w:spacing w:val="-2"/>
        </w:rPr>
        <w:t>, 2019</w:t>
      </w:r>
      <w:r w:rsidRPr="00D84548">
        <w:rPr>
          <w:b/>
          <w:spacing w:val="-2"/>
        </w:rPr>
        <w:tab/>
        <w:t xml:space="preserve">Released:  </w:t>
      </w:r>
      <w:r w:rsidRPr="00A820DF">
        <w:rPr>
          <w:b/>
          <w:spacing w:val="-2"/>
        </w:rPr>
        <w:t xml:space="preserve">December </w:t>
      </w:r>
      <w:r w:rsidR="008C21BD">
        <w:rPr>
          <w:b/>
          <w:spacing w:val="-2"/>
        </w:rPr>
        <w:t>20</w:t>
      </w:r>
      <w:bookmarkStart w:id="0" w:name="_GoBack"/>
      <w:bookmarkEnd w:id="0"/>
      <w:r w:rsidRPr="00A820DF">
        <w:rPr>
          <w:b/>
          <w:spacing w:val="-2"/>
        </w:rPr>
        <w:t>, 2019</w:t>
      </w:r>
    </w:p>
    <w:p w:rsidR="00C65B32" w:rsidRPr="00D84548" w:rsidP="00C65B32" w14:paraId="6D664901" w14:textId="77777777"/>
    <w:p w:rsidR="00C65B32" w:rsidRPr="00D84548" w:rsidP="00C65B32" w14:paraId="080B9D2F" w14:textId="77777777">
      <w:pPr>
        <w:rPr>
          <w:spacing w:val="-2"/>
        </w:rPr>
      </w:pPr>
      <w:r w:rsidRPr="00D84548">
        <w:rPr>
          <w:spacing w:val="-2"/>
          <w:szCs w:val="22"/>
        </w:rPr>
        <w:t>By the Chief, Enforcement Bureau:</w:t>
      </w:r>
    </w:p>
    <w:p w:rsidR="00C65B32" w:rsidRPr="00D84548" w:rsidP="00C65B32" w14:paraId="4099C441" w14:textId="77777777"/>
    <w:p w:rsidR="00C65B32" w:rsidRPr="00D84548" w:rsidP="00C65B32" w14:paraId="660AC395" w14:textId="77777777">
      <w:pPr>
        <w:pStyle w:val="ParaNum"/>
        <w:numPr>
          <w:ilvl w:val="0"/>
          <w:numId w:val="34"/>
        </w:numPr>
        <w:tabs>
          <w:tab w:val="clear" w:pos="1080"/>
        </w:tabs>
        <w:rPr>
          <w:color w:val="000000"/>
          <w:szCs w:val="22"/>
        </w:rPr>
      </w:pPr>
      <w:r>
        <w:rPr>
          <w:szCs w:val="22"/>
        </w:rPr>
        <w:t xml:space="preserve">Ensuring that satellite-to-ground services operate within their assigned frequencies is essential in preventing harmful interference to communications on earth and in space.  It is therefore important for the Commission to ensure that the licensees who operate in these arenas do so in a manner compliant with their authorizations.  </w:t>
      </w:r>
      <w:r w:rsidRPr="00D84548">
        <w:rPr>
          <w:szCs w:val="22"/>
        </w:rPr>
        <w:t xml:space="preserve">The Enforcement Bureau (Bureau) of the Federal Communications Commission has </w:t>
      </w:r>
      <w:r w:rsidRPr="00D84548">
        <w:rPr>
          <w:szCs w:val="22"/>
        </w:rPr>
        <w:t>entered into</w:t>
      </w:r>
      <w:r w:rsidRPr="00D84548">
        <w:rPr>
          <w:szCs w:val="22"/>
        </w:rPr>
        <w:t xml:space="preserve"> a Consent Decree </w:t>
      </w:r>
      <w:r>
        <w:rPr>
          <w:szCs w:val="22"/>
        </w:rPr>
        <w:t xml:space="preserve">with </w:t>
      </w:r>
      <w:r>
        <w:t>L3</w:t>
      </w:r>
      <w:r w:rsidRPr="00EC553C">
        <w:t xml:space="preserve">Harris </w:t>
      </w:r>
      <w:r>
        <w:t>Technologies, Inc.</w:t>
      </w:r>
      <w:r w:rsidRPr="00EC553C">
        <w:t xml:space="preserve"> (</w:t>
      </w:r>
      <w:r>
        <w:t>formerly known as Harris Corporation, and referred to herein as “</w:t>
      </w:r>
      <w:r w:rsidRPr="00EC553C">
        <w:t>Harris</w:t>
      </w:r>
      <w:r>
        <w:t>”</w:t>
      </w:r>
      <w:r w:rsidRPr="00EC553C">
        <w:t>)</w:t>
      </w:r>
      <w:r w:rsidRPr="00D84548">
        <w:rPr>
          <w:szCs w:val="22"/>
        </w:rPr>
        <w:t xml:space="preserve"> to resolve </w:t>
      </w:r>
      <w:r>
        <w:rPr>
          <w:szCs w:val="22"/>
        </w:rPr>
        <w:t>the Bureau’s</w:t>
      </w:r>
      <w:r w:rsidRPr="00D84548">
        <w:rPr>
          <w:szCs w:val="22"/>
        </w:rPr>
        <w:t xml:space="preserve"> investigation into whether </w:t>
      </w:r>
      <w:r>
        <w:rPr>
          <w:szCs w:val="22"/>
        </w:rPr>
        <w:t xml:space="preserve">Harris </w:t>
      </w:r>
      <w:r>
        <w:t xml:space="preserve">communicated </w:t>
      </w:r>
      <w:r w:rsidRPr="00EC553C">
        <w:t xml:space="preserve">with </w:t>
      </w:r>
      <w:r>
        <w:t xml:space="preserve">its </w:t>
      </w:r>
      <w:r w:rsidRPr="00EC553C">
        <w:t xml:space="preserve">HSAT-1 </w:t>
      </w:r>
      <w:r>
        <w:t xml:space="preserve">satellite </w:t>
      </w:r>
      <w:r w:rsidRPr="00EC553C">
        <w:t xml:space="preserve">on </w:t>
      </w:r>
      <w:r>
        <w:t>an</w:t>
      </w:r>
      <w:r w:rsidRPr="00EC553C">
        <w:t xml:space="preserve"> unauthorized uplink frequency band</w:t>
      </w:r>
      <w:r w:rsidRPr="00D84548">
        <w:rPr>
          <w:szCs w:val="22"/>
        </w:rPr>
        <w:t xml:space="preserve">.  To settle this matter, </w:t>
      </w:r>
      <w:r>
        <w:rPr>
          <w:szCs w:val="22"/>
        </w:rPr>
        <w:t>Harris</w:t>
      </w:r>
      <w:r w:rsidRPr="00D84548">
        <w:rPr>
          <w:szCs w:val="22"/>
        </w:rPr>
        <w:t xml:space="preserve"> admits that it </w:t>
      </w:r>
      <w:r>
        <w:rPr>
          <w:szCs w:val="22"/>
        </w:rPr>
        <w:t>engaged in unauthorized communication with its HSAT-1 satellite</w:t>
      </w:r>
      <w:r w:rsidRPr="00D84548">
        <w:rPr>
          <w:szCs w:val="22"/>
        </w:rPr>
        <w:t>, will implement a compliance plan, and will pay a $</w:t>
      </w:r>
      <w:r>
        <w:rPr>
          <w:szCs w:val="22"/>
        </w:rPr>
        <w:t>100,000</w:t>
      </w:r>
      <w:r w:rsidRPr="00D84548">
        <w:rPr>
          <w:szCs w:val="22"/>
        </w:rPr>
        <w:t xml:space="preserve"> civil penalty. </w:t>
      </w:r>
      <w:r>
        <w:rPr>
          <w:szCs w:val="22"/>
        </w:rPr>
        <w:t xml:space="preserve"> This action will send a strong signal that the Commission will not tolerate unauthorized operation of satellites, as such unauthorized operation risks satellite collisions and radio frequency interference, threatening critical commercial and government satellite communications.</w:t>
      </w:r>
      <w:r w:rsidRPr="00D84548">
        <w:rPr>
          <w:szCs w:val="22"/>
        </w:rPr>
        <w:t xml:space="preserve">  </w:t>
      </w:r>
    </w:p>
    <w:p w:rsidR="00C65B32" w:rsidRPr="00D84548" w:rsidP="00C65B32" w14:paraId="45FE2064" w14:textId="77777777">
      <w:pPr>
        <w:pStyle w:val="ParaNum"/>
        <w:numPr>
          <w:ilvl w:val="0"/>
          <w:numId w:val="34"/>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Harris</w:t>
      </w:r>
      <w:r w:rsidRPr="00D84548">
        <w:rPr>
          <w:szCs w:val="22"/>
        </w:rPr>
        <w:t xml:space="preserve">’s compliance with </w:t>
      </w:r>
      <w:r>
        <w:rPr>
          <w:szCs w:val="22"/>
        </w:rPr>
        <w:t>the satellite and radio frequency equipment laws</w:t>
      </w:r>
      <w:r w:rsidRPr="00D84548">
        <w:rPr>
          <w:szCs w:val="22"/>
        </w:rPr>
        <w:t xml:space="preserve">, </w:t>
      </w:r>
      <w:r>
        <w:rPr>
          <w:szCs w:val="22"/>
        </w:rPr>
        <w:t>s</w:t>
      </w:r>
      <w:r w:rsidRPr="00D84548">
        <w:rPr>
          <w:szCs w:val="22"/>
        </w:rPr>
        <w:t xml:space="preserve">ections </w:t>
      </w:r>
      <w:r>
        <w:rPr>
          <w:szCs w:val="22"/>
        </w:rPr>
        <w:t xml:space="preserve">301 </w:t>
      </w:r>
      <w:r w:rsidRPr="00D84548">
        <w:rPr>
          <w:szCs w:val="22"/>
        </w:rPr>
        <w:t>of the Communications Act of 1934, as amended (Act)</w:t>
      </w:r>
      <w:r>
        <w:rPr>
          <w:rStyle w:val="FootnoteReference"/>
          <w:szCs w:val="22"/>
        </w:rPr>
        <w:footnoteReference w:id="3"/>
      </w:r>
      <w:r w:rsidRPr="00D84548">
        <w:rPr>
          <w:szCs w:val="22"/>
        </w:rPr>
        <w:t xml:space="preserve">, and </w:t>
      </w:r>
      <w:r>
        <w:rPr>
          <w:szCs w:val="22"/>
        </w:rPr>
        <w:t>s</w:t>
      </w:r>
      <w:r w:rsidRPr="00D84548">
        <w:rPr>
          <w:szCs w:val="22"/>
        </w:rPr>
        <w:t>ection</w:t>
      </w:r>
      <w:r>
        <w:rPr>
          <w:szCs w:val="22"/>
        </w:rPr>
        <w:t xml:space="preserve">s 5.53 and 25.102 </w:t>
      </w:r>
      <w:r w:rsidRPr="00D84548">
        <w:rPr>
          <w:szCs w:val="22"/>
        </w:rPr>
        <w:t>of the Commission’s rules.</w:t>
      </w:r>
      <w:r>
        <w:rPr>
          <w:rStyle w:val="FootnoteReference"/>
          <w:szCs w:val="22"/>
        </w:rPr>
        <w:footnoteReference w:id="4"/>
      </w:r>
      <w:r>
        <w:rPr>
          <w:szCs w:val="22"/>
        </w:rPr>
        <w:t xml:space="preserve">  </w:t>
      </w:r>
    </w:p>
    <w:p w:rsidR="00C65B32" w:rsidRPr="00D84548" w:rsidP="00C65B32" w14:paraId="412D806F" w14:textId="77777777">
      <w:pPr>
        <w:pStyle w:val="ParaNum"/>
        <w:numPr>
          <w:ilvl w:val="0"/>
          <w:numId w:val="34"/>
        </w:numPr>
        <w:tabs>
          <w:tab w:val="clear" w:pos="1080"/>
          <w:tab w:val="left" w:pos="1440"/>
        </w:tabs>
        <w:rPr>
          <w:szCs w:val="22"/>
        </w:rPr>
      </w:pPr>
      <w:r>
        <w:rPr>
          <w:szCs w:val="22"/>
        </w:rPr>
        <w:t>In the absence of material new evidence relating to this matter, we do not set for hearing the question of Harris’s basic qualifications to hold or obtain any Commission license or authorization.</w:t>
      </w:r>
      <w:r>
        <w:rPr>
          <w:rStyle w:val="FootnoteReference"/>
          <w:szCs w:val="22"/>
        </w:rPr>
        <w:footnoteReference w:id="5"/>
      </w:r>
      <w:r>
        <w:rPr>
          <w:szCs w:val="22"/>
        </w:rPr>
        <w:t xml:space="preserve">  </w:t>
      </w:r>
    </w:p>
    <w:p w:rsidR="00C65B32" w:rsidRPr="00D84548" w:rsidP="00C65B32" w14:paraId="09A4EF94" w14:textId="77777777">
      <w:pPr>
        <w:pStyle w:val="ParaNum"/>
        <w:widowControl/>
        <w:numPr>
          <w:ilvl w:val="0"/>
          <w:numId w:val="3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ection 4(</w:t>
      </w:r>
      <w:r w:rsidRPr="00D84548">
        <w:rPr>
          <w:szCs w:val="22"/>
        </w:rPr>
        <w:t>i</w:t>
      </w:r>
      <w:r>
        <w:rPr>
          <w:szCs w:val="22"/>
        </w:rPr>
        <w:t xml:space="preserve">) </w:t>
      </w:r>
      <w:r w:rsidRPr="00D84548">
        <w:rPr>
          <w:szCs w:val="22"/>
        </w:rPr>
        <w:t>of the Act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r>
        <w:rPr>
          <w:szCs w:val="22"/>
        </w:rPr>
        <w:t xml:space="preserve">  </w:t>
      </w:r>
    </w:p>
    <w:p w:rsidR="00C65B32" w:rsidRPr="00670985" w:rsidP="00C65B32" w14:paraId="1787BEA9" w14:textId="77777777">
      <w:pPr>
        <w:pStyle w:val="ParaNum"/>
        <w:numPr>
          <w:ilvl w:val="0"/>
          <w:numId w:val="3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65B32" w:rsidRPr="00D84548" w:rsidP="00C65B32" w14:paraId="4DAA0E38" w14:textId="77777777">
      <w:pPr>
        <w:pStyle w:val="ParaNum"/>
        <w:keepNext/>
        <w:widowControl/>
        <w:numPr>
          <w:ilvl w:val="0"/>
          <w:numId w:val="34"/>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color w:val="000000" w:themeColor="text1"/>
          <w:szCs w:val="22"/>
        </w:rPr>
        <w:t>Joshua S. Turner, Esq., Wiley Rein LLP, 1776 K St., NW, Washington, DC  20006, counsel for L3Harris Technologies, Inc.</w:t>
      </w:r>
    </w:p>
    <w:p w:rsidR="00C65B32" w:rsidP="00C65B32" w14:paraId="0FF0565C" w14:textId="77777777">
      <w:pPr>
        <w:pStyle w:val="ParaNum"/>
        <w:keepNext/>
        <w:widowControl/>
        <w:numPr>
          <w:ilvl w:val="0"/>
          <w:numId w:val="0"/>
        </w:numPr>
        <w:tabs>
          <w:tab w:val="left" w:pos="1440"/>
        </w:tabs>
        <w:spacing w:after="240"/>
        <w:ind w:left="720"/>
        <w:rPr>
          <w:b/>
        </w:rPr>
      </w:pPr>
    </w:p>
    <w:p w:rsidR="00C65B32" w:rsidRPr="00EF505E" w:rsidP="00C65B32" w14:paraId="122DBD00" w14:textId="77777777">
      <w:pPr>
        <w:keepNext/>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C65B32" w:rsidRPr="00EF505E" w:rsidP="00C65B32" w14:paraId="7FB8579A" w14:textId="77777777">
      <w:pPr>
        <w:keepNext/>
        <w:widowControl/>
        <w:rPr>
          <w:szCs w:val="22"/>
          <w:lang w:val="fr-FR"/>
        </w:rPr>
      </w:pPr>
      <w:r>
        <w:rPr>
          <w:szCs w:val="22"/>
          <w:lang w:val="fr-FR"/>
        </w:rPr>
        <w:t xml:space="preserve"> </w:t>
      </w:r>
    </w:p>
    <w:p w:rsidR="00C65B32" w:rsidRPr="00EF505E" w:rsidP="00C65B32" w14:paraId="5E05AE66" w14:textId="77777777">
      <w:pPr>
        <w:keepNext/>
        <w:widowControl/>
        <w:rPr>
          <w:szCs w:val="22"/>
          <w:lang w:val="fr-FR"/>
        </w:rPr>
      </w:pPr>
    </w:p>
    <w:p w:rsidR="00C65B32" w:rsidRPr="00EF505E" w:rsidP="00C65B32" w14:paraId="1B0057D9" w14:textId="77777777">
      <w:pPr>
        <w:keepNext/>
        <w:widowControl/>
        <w:rPr>
          <w:szCs w:val="22"/>
          <w:lang w:val="fr-FR"/>
        </w:rPr>
      </w:pPr>
    </w:p>
    <w:p w:rsidR="00C65B32" w:rsidRPr="00EF505E" w:rsidP="00C65B32" w14:paraId="7736DCAC" w14:textId="77777777">
      <w:pPr>
        <w:keepNext/>
        <w:widowControl/>
        <w:outlineLvl w:val="0"/>
        <w:rPr>
          <w:szCs w:val="22"/>
          <w:lang w:val="fr-FR"/>
        </w:rPr>
      </w:pPr>
    </w:p>
    <w:p w:rsidR="00C65B32" w:rsidP="00C65B32" w14:paraId="0EBC9F35" w14:textId="77777777">
      <w:pPr>
        <w:keepNext/>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Rosemary C. Harold</w:t>
      </w:r>
    </w:p>
    <w:p w:rsidR="00C65B32" w:rsidP="00C65B32" w14:paraId="75347D4E" w14:textId="77777777">
      <w:pPr>
        <w:keepNext/>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p>
    <w:p w:rsidR="00C65B32" w:rsidP="00C65B32" w14:paraId="79B81D5B" w14:textId="77777777">
      <w:pPr>
        <w:keepNext/>
        <w:widowControl/>
        <w:ind w:left="3600" w:firstLine="720"/>
        <w:outlineLvl w:val="0"/>
        <w:rPr>
          <w:szCs w:val="22"/>
        </w:rPr>
      </w:pPr>
      <w:r>
        <w:rPr>
          <w:szCs w:val="22"/>
        </w:rPr>
        <w:t>Enforcement Bureau</w:t>
      </w:r>
    </w:p>
    <w:p w:rsidR="00C65B32" w:rsidRPr="008C4282" w:rsidP="00C65B32" w14:paraId="274B2E5C" w14:textId="77777777">
      <w:pPr>
        <w:rPr>
          <w:szCs w:val="22"/>
        </w:rPr>
      </w:pPr>
    </w:p>
    <w:p w:rsidR="00C65B32" w:rsidP="00D91BEE" w14:paraId="5673D13D" w14:textId="77777777">
      <w:pPr>
        <w:jc w:val="center"/>
        <w:rPr>
          <w:b/>
        </w:rPr>
        <w:sectPr w:rsidSect="009F2391">
          <w:headerReference w:type="default" r:id="rId5"/>
          <w:headerReference w:type="first" r:id="rId6"/>
          <w:footerReference w:type="first" r:id="rId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D91BEE" w:rsidRPr="00D91BEE" w:rsidP="00D91BEE" w14:paraId="38E01F7A" w14:textId="24D33A64">
      <w:pPr>
        <w:jc w:val="center"/>
        <w:rPr>
          <w:b/>
        </w:rPr>
      </w:pPr>
      <w:r w:rsidRPr="00D91BEE">
        <w:rPr>
          <w:b/>
        </w:rPr>
        <w:t>Before the</w:t>
      </w:r>
    </w:p>
    <w:p w:rsidR="00D91BEE" w:rsidRPr="00D91BEE" w:rsidP="00D91BEE" w14:paraId="09245E7F" w14:textId="77777777">
      <w:pPr>
        <w:pStyle w:val="StyleBoldCentered"/>
        <w:rPr>
          <w:rFonts w:ascii="Times New Roman" w:hAnsi="Times New Roman"/>
        </w:rPr>
      </w:pPr>
      <w:r w:rsidRPr="00D91BEE">
        <w:rPr>
          <w:rFonts w:ascii="Times New Roman" w:hAnsi="Times New Roman"/>
        </w:rPr>
        <w:t>F</w:t>
      </w:r>
      <w:r w:rsidRPr="00D91BEE">
        <w:rPr>
          <w:rFonts w:ascii="Times New Roman" w:hAnsi="Times New Roman"/>
          <w:caps w:val="0"/>
        </w:rPr>
        <w:t>ederal Communications Commission</w:t>
      </w:r>
    </w:p>
    <w:p w:rsidR="00D91BEE" w:rsidRPr="00D91BEE" w:rsidP="00D91BEE" w14:paraId="5349D313" w14:textId="77777777">
      <w:pPr>
        <w:pStyle w:val="StyleBoldCentered"/>
        <w:rPr>
          <w:rFonts w:ascii="Times New Roman" w:hAnsi="Times New Roman"/>
        </w:rPr>
      </w:pPr>
      <w:r w:rsidRPr="00D91BEE">
        <w:rPr>
          <w:rFonts w:ascii="Times New Roman" w:hAnsi="Times New Roman"/>
          <w:caps w:val="0"/>
        </w:rPr>
        <w:t>Washington, DC 20554</w:t>
      </w:r>
    </w:p>
    <w:p w:rsidR="00D91BEE" w:rsidRPr="00D91BEE" w:rsidP="00D91BEE" w14:paraId="52336ECC" w14:textId="77777777"/>
    <w:tbl>
      <w:tblPr>
        <w:tblW w:w="9576" w:type="dxa"/>
        <w:tblLayout w:type="fixed"/>
        <w:tblLook w:val="0000"/>
      </w:tblPr>
      <w:tblGrid>
        <w:gridCol w:w="4698"/>
        <w:gridCol w:w="630"/>
        <w:gridCol w:w="4248"/>
      </w:tblGrid>
      <w:tr w14:paraId="625E9919" w14:textId="77777777" w:rsidTr="008777B5">
        <w:tblPrEx>
          <w:tblW w:w="9576" w:type="dxa"/>
          <w:tblLayout w:type="fixed"/>
          <w:tblLook w:val="0000"/>
        </w:tblPrEx>
        <w:tc>
          <w:tcPr>
            <w:tcW w:w="4698" w:type="dxa"/>
          </w:tcPr>
          <w:p w:rsidR="00D91BEE" w:rsidRPr="00D91BEE" w:rsidP="008777B5" w14:paraId="1A2E5B5B" w14:textId="77777777">
            <w:pPr>
              <w:tabs>
                <w:tab w:val="center" w:pos="4680"/>
              </w:tabs>
              <w:suppressAutoHyphens/>
              <w:rPr>
                <w:spacing w:val="-2"/>
              </w:rPr>
            </w:pPr>
            <w:r w:rsidRPr="00D91BEE">
              <w:rPr>
                <w:spacing w:val="-2"/>
              </w:rPr>
              <w:t>In the Matter of</w:t>
            </w:r>
          </w:p>
          <w:p w:rsidR="00D91BEE" w:rsidRPr="00D91BEE" w:rsidP="008777B5" w14:paraId="7F738454" w14:textId="77777777">
            <w:pPr>
              <w:tabs>
                <w:tab w:val="center" w:pos="4680"/>
              </w:tabs>
              <w:suppressAutoHyphens/>
              <w:rPr>
                <w:spacing w:val="-2"/>
              </w:rPr>
            </w:pPr>
          </w:p>
          <w:p w:rsidR="00D91BEE" w:rsidRPr="00D91BEE" w:rsidP="008777B5" w14:paraId="0DA8754B" w14:textId="77777777">
            <w:pPr>
              <w:autoSpaceDE w:val="0"/>
              <w:autoSpaceDN w:val="0"/>
              <w:adjustRightInd w:val="0"/>
            </w:pPr>
            <w:r w:rsidRPr="00D91BEE">
              <w:t>L3Harris Technologies, Inc.</w:t>
            </w:r>
          </w:p>
        </w:tc>
        <w:tc>
          <w:tcPr>
            <w:tcW w:w="630" w:type="dxa"/>
          </w:tcPr>
          <w:p w:rsidR="00D91BEE" w:rsidRPr="00D91BEE" w:rsidP="008777B5" w14:paraId="12A86B95" w14:textId="77777777">
            <w:pPr>
              <w:tabs>
                <w:tab w:val="center" w:pos="4680"/>
              </w:tabs>
              <w:suppressAutoHyphens/>
              <w:rPr>
                <w:b/>
                <w:spacing w:val="-2"/>
              </w:rPr>
            </w:pPr>
            <w:r w:rsidRPr="00D91BEE">
              <w:rPr>
                <w:b/>
                <w:spacing w:val="-2"/>
              </w:rPr>
              <w:t>)</w:t>
            </w:r>
          </w:p>
          <w:p w:rsidR="00D91BEE" w:rsidRPr="00D91BEE" w:rsidP="008777B5" w14:paraId="6233E27B" w14:textId="77777777">
            <w:pPr>
              <w:tabs>
                <w:tab w:val="center" w:pos="4680"/>
              </w:tabs>
              <w:suppressAutoHyphens/>
              <w:rPr>
                <w:b/>
                <w:spacing w:val="-2"/>
              </w:rPr>
            </w:pPr>
            <w:r w:rsidRPr="00D91BEE">
              <w:rPr>
                <w:b/>
                <w:spacing w:val="-2"/>
              </w:rPr>
              <w:t>)</w:t>
            </w:r>
          </w:p>
          <w:p w:rsidR="00D91BEE" w:rsidRPr="00D91BEE" w:rsidP="008777B5" w14:paraId="7B848117" w14:textId="77777777">
            <w:pPr>
              <w:tabs>
                <w:tab w:val="center" w:pos="4680"/>
              </w:tabs>
              <w:suppressAutoHyphens/>
              <w:rPr>
                <w:b/>
                <w:spacing w:val="-2"/>
              </w:rPr>
            </w:pPr>
            <w:r w:rsidRPr="00D91BEE">
              <w:rPr>
                <w:b/>
                <w:spacing w:val="-2"/>
              </w:rPr>
              <w:t>)</w:t>
            </w:r>
          </w:p>
          <w:p w:rsidR="00D91BEE" w:rsidRPr="00D91BEE" w:rsidP="008777B5" w14:paraId="25594B97" w14:textId="77777777">
            <w:pPr>
              <w:tabs>
                <w:tab w:val="center" w:pos="4680"/>
              </w:tabs>
              <w:suppressAutoHyphens/>
              <w:rPr>
                <w:b/>
                <w:spacing w:val="-2"/>
              </w:rPr>
            </w:pPr>
            <w:r w:rsidRPr="00D91BEE">
              <w:rPr>
                <w:b/>
                <w:spacing w:val="-2"/>
              </w:rPr>
              <w:t>)</w:t>
            </w:r>
          </w:p>
          <w:p w:rsidR="00D91BEE" w:rsidRPr="00D91BEE" w:rsidP="008777B5" w14:paraId="6DB5999F" w14:textId="77777777">
            <w:pPr>
              <w:tabs>
                <w:tab w:val="center" w:pos="4680"/>
              </w:tabs>
              <w:suppressAutoHyphens/>
              <w:rPr>
                <w:b/>
                <w:spacing w:val="-2"/>
              </w:rPr>
            </w:pPr>
            <w:r w:rsidRPr="00D91BEE">
              <w:rPr>
                <w:b/>
                <w:spacing w:val="-2"/>
              </w:rPr>
              <w:t>)</w:t>
            </w:r>
          </w:p>
          <w:p w:rsidR="00D91BEE" w:rsidRPr="00D91BEE" w:rsidP="008777B5" w14:paraId="6AD36AAF" w14:textId="77777777">
            <w:pPr>
              <w:tabs>
                <w:tab w:val="center" w:pos="4680"/>
              </w:tabs>
              <w:suppressAutoHyphens/>
              <w:rPr>
                <w:b/>
                <w:spacing w:val="-2"/>
              </w:rPr>
            </w:pPr>
          </w:p>
        </w:tc>
        <w:tc>
          <w:tcPr>
            <w:tcW w:w="4248" w:type="dxa"/>
          </w:tcPr>
          <w:p w:rsidR="00D91BEE" w:rsidRPr="00D91BEE" w:rsidP="008777B5" w14:paraId="4BB0BA94" w14:textId="77777777">
            <w:pPr>
              <w:tabs>
                <w:tab w:val="center" w:pos="4680"/>
              </w:tabs>
              <w:suppressAutoHyphens/>
              <w:ind w:left="432"/>
              <w:rPr>
                <w:spacing w:val="-2"/>
              </w:rPr>
            </w:pPr>
          </w:p>
          <w:p w:rsidR="00D91BEE" w:rsidRPr="00D91BEE" w:rsidP="008777B5" w14:paraId="55F2951C" w14:textId="77777777">
            <w:pPr>
              <w:tabs>
                <w:tab w:val="center" w:pos="4680"/>
              </w:tabs>
              <w:suppressAutoHyphens/>
              <w:ind w:left="432"/>
              <w:rPr>
                <w:spacing w:val="-2"/>
              </w:rPr>
            </w:pPr>
          </w:p>
          <w:p w:rsidR="00D91BEE" w:rsidRPr="00D91BEE" w:rsidP="008777B5" w14:paraId="564F28BD" w14:textId="77777777">
            <w:pPr>
              <w:tabs>
                <w:tab w:val="center" w:pos="4680"/>
              </w:tabs>
              <w:suppressAutoHyphens/>
              <w:ind w:left="432"/>
              <w:rPr>
                <w:spacing w:val="-2"/>
              </w:rPr>
            </w:pPr>
            <w:r w:rsidRPr="00D91BEE">
              <w:rPr>
                <w:spacing w:val="-2"/>
              </w:rPr>
              <w:t>File No.:  EB-SED-19-00028645</w:t>
            </w:r>
          </w:p>
          <w:p w:rsidR="00D91BEE" w:rsidRPr="00D91BEE" w:rsidP="008777B5" w14:paraId="35DAC522" w14:textId="77777777">
            <w:pPr>
              <w:ind w:left="432"/>
              <w:rPr>
                <w:spacing w:val="-2"/>
              </w:rPr>
            </w:pPr>
            <w:r w:rsidRPr="00D91BEE">
              <w:rPr>
                <w:spacing w:val="-2"/>
              </w:rPr>
              <w:t>Acct. No.:  202032100004</w:t>
            </w:r>
          </w:p>
          <w:p w:rsidR="00D91BEE" w:rsidRPr="00D91BEE" w:rsidP="008777B5" w14:paraId="24C98777" w14:textId="77777777">
            <w:pPr>
              <w:tabs>
                <w:tab w:val="center" w:pos="4680"/>
              </w:tabs>
              <w:suppressAutoHyphens/>
              <w:ind w:left="432"/>
              <w:rPr>
                <w:spacing w:val="-2"/>
              </w:rPr>
            </w:pPr>
            <w:r w:rsidRPr="00D91BEE">
              <w:t>FRN:  0003791472</w:t>
            </w:r>
          </w:p>
        </w:tc>
      </w:tr>
    </w:tbl>
    <w:p w:rsidR="00D91BEE" w:rsidRPr="00D91BEE" w:rsidP="00D91BEE" w14:paraId="62244F1D" w14:textId="05DF8228">
      <w:pPr>
        <w:jc w:val="center"/>
        <w:outlineLvl w:val="0"/>
        <w:rPr>
          <w:b/>
        </w:rPr>
      </w:pPr>
      <w:r>
        <w:rPr>
          <w:b/>
        </w:rPr>
        <w:t>CONSENT DECREE</w:t>
      </w:r>
    </w:p>
    <w:p w:rsidR="00D91BEE" w:rsidRPr="00D91BEE" w:rsidP="00D91BEE" w14:paraId="25FBEF1E" w14:textId="77777777">
      <w:pPr>
        <w:tabs>
          <w:tab w:val="left" w:pos="-720"/>
        </w:tabs>
        <w:suppressAutoHyphens/>
        <w:spacing w:line="227" w:lineRule="auto"/>
        <w:rPr>
          <w:spacing w:val="-2"/>
        </w:rPr>
      </w:pPr>
    </w:p>
    <w:p w:rsidR="00E02214" w:rsidRPr="00EC553C" w:rsidP="00ED419F" w14:paraId="37A5F0E1" w14:textId="2623E264">
      <w:pPr>
        <w:pStyle w:val="ParaNum"/>
      </w:pPr>
      <w:r w:rsidRPr="00D91BEE">
        <w:t xml:space="preserve">The Federal Communications Commission takes seriously its role in preventing </w:t>
      </w:r>
      <w:r w:rsidRPr="00D91BEE" w:rsidR="00C6703E">
        <w:t xml:space="preserve">harmful </w:t>
      </w:r>
      <w:r w:rsidRPr="00D91BEE">
        <w:t xml:space="preserve">interference to satellite </w:t>
      </w:r>
      <w:r w:rsidRPr="00D91BEE" w:rsidR="00C6703E">
        <w:t>communications</w:t>
      </w:r>
      <w:r w:rsidRPr="00D91BEE">
        <w:t xml:space="preserve">, as they are critical component of our nation’s communications infrastructure.  </w:t>
      </w:r>
      <w:r w:rsidRPr="00D91BEE" w:rsidR="00BD08D2">
        <w:t xml:space="preserve">The </w:t>
      </w:r>
      <w:r w:rsidRPr="00D91BEE">
        <w:t xml:space="preserve">Commission’s </w:t>
      </w:r>
      <w:r w:rsidRPr="00D91BEE" w:rsidR="00BD08D2">
        <w:t>Enforcement Bureau and</w:t>
      </w:r>
      <w:r w:rsidRPr="00D91BEE" w:rsidR="00302835">
        <w:t xml:space="preserve"> </w:t>
      </w:r>
      <w:r w:rsidRPr="00D91BEE" w:rsidR="00A168DC">
        <w:t>L3</w:t>
      </w:r>
      <w:r w:rsidRPr="00D91BEE" w:rsidR="008D4DE1">
        <w:t xml:space="preserve">Harris </w:t>
      </w:r>
      <w:r w:rsidRPr="00D91BEE" w:rsidR="00A168DC">
        <w:t xml:space="preserve">Technologies, Inc. </w:t>
      </w:r>
      <w:r w:rsidRPr="00D91BEE" w:rsidR="003433AA">
        <w:t>(</w:t>
      </w:r>
      <w:r w:rsidRPr="00D91BEE" w:rsidR="00A168DC">
        <w:t>formerly known as Harris Corporation, and referred to herein as “</w:t>
      </w:r>
      <w:r w:rsidRPr="00D91BEE" w:rsidR="003433AA">
        <w:t>Harris</w:t>
      </w:r>
      <w:r w:rsidRPr="00D91BEE" w:rsidR="00A168DC">
        <w:t>”</w:t>
      </w:r>
      <w:r w:rsidRPr="00D91BEE" w:rsidR="003433AA">
        <w:t xml:space="preserve">) </w:t>
      </w:r>
      <w:r w:rsidRPr="00D91BEE" w:rsidR="00BD08D2">
        <w:t xml:space="preserve">by their authorized representatives, hereby enter into this Consent Decree for the purpose of terminating the </w:t>
      </w:r>
      <w:r w:rsidRPr="00D91BEE" w:rsidR="00FD0F9C">
        <w:t xml:space="preserve">Enforcement </w:t>
      </w:r>
      <w:r w:rsidRPr="00D91BEE" w:rsidR="00B709FD">
        <w:t xml:space="preserve">Bureau’s </w:t>
      </w:r>
      <w:r w:rsidRPr="00D91BEE" w:rsidR="00D65117">
        <w:t>investigation into</w:t>
      </w:r>
      <w:r w:rsidRPr="00D91BEE" w:rsidR="00BD08D2">
        <w:t xml:space="preserve"> </w:t>
      </w:r>
      <w:r w:rsidRPr="00D91BEE" w:rsidR="00073450">
        <w:t>whether</w:t>
      </w:r>
      <w:r w:rsidRPr="00D91BEE" w:rsidR="00EF5FE2">
        <w:t xml:space="preserve"> </w:t>
      </w:r>
      <w:r w:rsidRPr="00D91BEE" w:rsidR="00313AAC">
        <w:t xml:space="preserve">Harris </w:t>
      </w:r>
      <w:r w:rsidRPr="00D91BEE" w:rsidR="00073450">
        <w:t>violated</w:t>
      </w:r>
      <w:r w:rsidRPr="00D91BEE" w:rsidR="00EF5FE2">
        <w:t xml:space="preserve"> </w:t>
      </w:r>
      <w:r w:rsidRPr="00D91BEE" w:rsidR="00F74885">
        <w:rPr>
          <w:color w:val="000000"/>
        </w:rPr>
        <w:t>s</w:t>
      </w:r>
      <w:r w:rsidRPr="00D91BEE" w:rsidR="00D019E4">
        <w:t>ection 301 of the Communications Act of 1934, as amended,</w:t>
      </w:r>
      <w:r>
        <w:rPr>
          <w:rStyle w:val="FootnoteReference"/>
          <w:sz w:val="22"/>
        </w:rPr>
        <w:footnoteReference w:id="8"/>
      </w:r>
      <w:r w:rsidRPr="00D91BEE" w:rsidR="00D019E4">
        <w:t xml:space="preserve"> and </w:t>
      </w:r>
      <w:r w:rsidRPr="00D91BEE" w:rsidR="00F74885">
        <w:t>s</w:t>
      </w:r>
      <w:r w:rsidRPr="00D91BEE" w:rsidR="00D019E4">
        <w:t>ections 5.53</w:t>
      </w:r>
      <w:r w:rsidRPr="00EC553C" w:rsidR="00B45FC4">
        <w:t xml:space="preserve"> and </w:t>
      </w:r>
      <w:r w:rsidRPr="00EC553C" w:rsidR="00D019E4">
        <w:t>25.102</w:t>
      </w:r>
      <w:r w:rsidRPr="00EC553C" w:rsidR="00B45FC4">
        <w:t xml:space="preserve"> </w:t>
      </w:r>
      <w:r w:rsidRPr="00EC553C" w:rsidR="00D019E4">
        <w:t>of the Commission’s rules</w:t>
      </w:r>
      <w:r>
        <w:rPr>
          <w:rStyle w:val="FootnoteReference"/>
          <w:sz w:val="22"/>
        </w:rPr>
        <w:footnoteReference w:id="9"/>
      </w:r>
      <w:r w:rsidRPr="00EC553C" w:rsidR="00D019E4">
        <w:t xml:space="preserve"> </w:t>
      </w:r>
      <w:r w:rsidRPr="00EC553C" w:rsidR="003433AA">
        <w:t xml:space="preserve">in connection with </w:t>
      </w:r>
      <w:r w:rsidRPr="00EC553C" w:rsidR="00D019E4">
        <w:t>unauthorized satellite operations.</w:t>
      </w:r>
      <w:r w:rsidRPr="00EC553C" w:rsidR="000F49DA">
        <w:t xml:space="preserve">  </w:t>
      </w:r>
      <w:r w:rsidR="00686DB5">
        <w:t>T</w:t>
      </w:r>
      <w:r w:rsidRPr="00EC553C" w:rsidR="003433AA">
        <w:t>o resolve this matter</w:t>
      </w:r>
      <w:r w:rsidR="00686DB5">
        <w:t>,</w:t>
      </w:r>
      <w:r w:rsidRPr="00EC553C" w:rsidR="003433AA">
        <w:t xml:space="preserve"> Harris </w:t>
      </w:r>
      <w:r w:rsidR="001D607A">
        <w:t xml:space="preserve">admits that it violated the </w:t>
      </w:r>
      <w:r w:rsidR="008771B1">
        <w:t>Commission’s r</w:t>
      </w:r>
      <w:r w:rsidR="001D607A">
        <w:t xml:space="preserve">ules, </w:t>
      </w:r>
      <w:r w:rsidRPr="00EC553C" w:rsidR="003433AA">
        <w:t>agrees to implement a compliance plan</w:t>
      </w:r>
      <w:r w:rsidR="00686DB5">
        <w:t>,</w:t>
      </w:r>
      <w:r w:rsidRPr="00EC553C" w:rsidR="003433AA">
        <w:t xml:space="preserve"> and </w:t>
      </w:r>
      <w:r w:rsidR="001D607A">
        <w:t xml:space="preserve">will </w:t>
      </w:r>
      <w:r w:rsidRPr="00EC553C" w:rsidR="003433AA">
        <w:t>pay a $</w:t>
      </w:r>
      <w:r w:rsidR="001D4C11">
        <w:t>100,000</w:t>
      </w:r>
      <w:r w:rsidRPr="00EC553C" w:rsidR="001D4C11">
        <w:t xml:space="preserve"> </w:t>
      </w:r>
      <w:r w:rsidRPr="00EC553C" w:rsidR="003433AA">
        <w:t>civil penalty.</w:t>
      </w:r>
      <w:r>
        <w:t xml:space="preserve">  </w:t>
      </w:r>
      <w:r w:rsidRPr="00522F52">
        <w:t xml:space="preserve">This action will help preserve the integrity of </w:t>
      </w:r>
      <w:r>
        <w:t>our</w:t>
      </w:r>
      <w:r w:rsidRPr="00522F52">
        <w:t xml:space="preserve"> nation’s satellite systems.</w:t>
      </w:r>
    </w:p>
    <w:p w:rsidR="000D2AEF" w:rsidRPr="00EC553C" w:rsidP="000D2AEF" w14:paraId="7416C22D" w14:textId="50AC54D1">
      <w:pPr>
        <w:pStyle w:val="Heading1"/>
        <w:rPr>
          <w:rFonts w:ascii="Times New Roman" w:hAnsi="Times New Roman"/>
        </w:rPr>
      </w:pPr>
      <w:r w:rsidRPr="00EC553C">
        <w:rPr>
          <w:rFonts w:ascii="Times New Roman" w:hAnsi="Times New Roman"/>
        </w:rPr>
        <w:t>DEFINITIONS</w:t>
      </w:r>
    </w:p>
    <w:p w:rsidR="000D2AEF" w:rsidRPr="00EC553C" w:rsidP="000D2AEF" w14:paraId="28241B68" w14:textId="7AF29A59">
      <w:pPr>
        <w:pStyle w:val="ParaNum"/>
      </w:pPr>
      <w:r w:rsidRPr="00EC553C">
        <w:t>For the purposes of this Consent Decree, the following definitions shall apply:</w:t>
      </w:r>
    </w:p>
    <w:p w:rsidR="000D2AEF" w:rsidRPr="00EC553C" w:rsidP="000D2AEF" w14:paraId="0C3C1D5B" w14:textId="77777777">
      <w:pPr>
        <w:numPr>
          <w:ilvl w:val="0"/>
          <w:numId w:val="5"/>
        </w:numPr>
        <w:tabs>
          <w:tab w:val="clear" w:pos="1224"/>
        </w:tabs>
        <w:spacing w:after="120"/>
        <w:ind w:left="1890"/>
      </w:pPr>
      <w:r w:rsidRPr="00EC553C">
        <w:t>“Act”</w:t>
      </w:r>
      <w:r w:rsidRPr="00EC553C">
        <w:rPr>
          <w:rStyle w:val="ParanumChar"/>
        </w:rPr>
        <w:t xml:space="preserve"> </w:t>
      </w:r>
      <w:r w:rsidRPr="00EC553C">
        <w:t>means the Communications Act of 1934, as amended.</w:t>
      </w:r>
      <w:r>
        <w:rPr>
          <w:rStyle w:val="FootnoteReference"/>
          <w:sz w:val="22"/>
        </w:rPr>
        <w:footnoteReference w:id="10"/>
      </w:r>
    </w:p>
    <w:p w:rsidR="000D2AEF" w:rsidRPr="00EC553C" w:rsidP="000D2AEF" w14:paraId="793EE4DA" w14:textId="77777777">
      <w:pPr>
        <w:numPr>
          <w:ilvl w:val="0"/>
          <w:numId w:val="5"/>
        </w:numPr>
        <w:tabs>
          <w:tab w:val="clear" w:pos="1224"/>
        </w:tabs>
        <w:spacing w:after="120"/>
        <w:ind w:left="1890"/>
      </w:pPr>
      <w:r w:rsidRPr="00EC553C">
        <w:t>“Adopting Order” means an order of the Bureau adopting the terms of this Consent Decree without change, addition, deletion, or modification.</w:t>
      </w:r>
    </w:p>
    <w:p w:rsidR="000D2AEF" w:rsidRPr="00EC553C" w:rsidP="000D2AEF" w14:paraId="7CDE7341" w14:textId="77777777">
      <w:pPr>
        <w:numPr>
          <w:ilvl w:val="0"/>
          <w:numId w:val="5"/>
        </w:numPr>
        <w:tabs>
          <w:tab w:val="clear" w:pos="1224"/>
        </w:tabs>
        <w:spacing w:after="120"/>
        <w:ind w:left="1890"/>
      </w:pPr>
      <w:r w:rsidRPr="00EC553C">
        <w:t>“Bureau” means the Enforcement Bureau of the Federal Communications Commission.</w:t>
      </w:r>
    </w:p>
    <w:p w:rsidR="000D2AEF" w:rsidRPr="00EC553C" w:rsidP="000D2AEF" w14:paraId="7CF892C0" w14:textId="77777777">
      <w:pPr>
        <w:numPr>
          <w:ilvl w:val="0"/>
          <w:numId w:val="5"/>
        </w:numPr>
        <w:tabs>
          <w:tab w:val="clear" w:pos="1224"/>
        </w:tabs>
        <w:spacing w:after="120"/>
        <w:ind w:left="1890"/>
      </w:pPr>
      <w:r w:rsidRPr="00EC553C">
        <w:t>“Commission” and “FCC” mean the Federal Communications Commission and all of its bureaus and offices.</w:t>
      </w:r>
    </w:p>
    <w:p w:rsidR="000D2AEF" w:rsidRPr="00EC553C" w:rsidP="000D2AEF" w14:paraId="6722BF9E" w14:textId="114E48E1">
      <w:pPr>
        <w:numPr>
          <w:ilvl w:val="0"/>
          <w:numId w:val="5"/>
        </w:numPr>
        <w:tabs>
          <w:tab w:val="clear" w:pos="1224"/>
        </w:tabs>
        <w:spacing w:after="120"/>
        <w:ind w:left="1890"/>
      </w:pPr>
      <w:r w:rsidRPr="00EC553C">
        <w:t xml:space="preserve">“Communications Laws” means collectively, the Act, the Rules, and the published and promulgated orders and decisions of the Commission to which </w:t>
      </w:r>
      <w:r w:rsidRPr="00EC553C" w:rsidR="00313AAC">
        <w:t>Harris</w:t>
      </w:r>
      <w:r w:rsidRPr="00EC553C" w:rsidR="00E443C3">
        <w:t xml:space="preserve"> </w:t>
      </w:r>
      <w:r w:rsidRPr="00EC553C">
        <w:t xml:space="preserve">is subject by virtue of its </w:t>
      </w:r>
      <w:r w:rsidRPr="00000535">
        <w:t>business activities</w:t>
      </w:r>
      <w:r w:rsidRPr="00EC553C">
        <w:t xml:space="preserve">, including but not limited to the </w:t>
      </w:r>
      <w:r w:rsidRPr="00EC553C" w:rsidR="00D748E8">
        <w:t>Satellite Rules</w:t>
      </w:r>
      <w:r w:rsidRPr="00EC553C">
        <w:t>.</w:t>
      </w:r>
    </w:p>
    <w:p w:rsidR="000D2AEF" w:rsidRPr="00EC553C" w:rsidP="000D2AEF" w14:paraId="3B1DF195" w14:textId="3D1D8F2C">
      <w:pPr>
        <w:numPr>
          <w:ilvl w:val="0"/>
          <w:numId w:val="5"/>
        </w:numPr>
        <w:tabs>
          <w:tab w:val="clear" w:pos="1224"/>
        </w:tabs>
        <w:spacing w:after="120"/>
        <w:ind w:left="1890"/>
      </w:pPr>
      <w:r w:rsidRPr="00EC553C">
        <w:t>“Compliance Plan” means the compliance obligations, program, and procedures described in this Consent Decree at paragraph</w:t>
      </w:r>
      <w:r w:rsidRPr="00EC553C" w:rsidR="00F43267">
        <w:t xml:space="preserve"> </w:t>
      </w:r>
      <w:r w:rsidRPr="00EC553C" w:rsidR="00F43267">
        <w:fldChar w:fldCharType="begin"/>
      </w:r>
      <w:r w:rsidRPr="00EC553C" w:rsidR="00F43267">
        <w:instrText xml:space="preserve"> REF _Ref357521857 \r \h </w:instrText>
      </w:r>
      <w:r w:rsidRPr="00EC553C" w:rsidR="00997BA1">
        <w:instrText xml:space="preserve"> \* MERGEFORMAT </w:instrText>
      </w:r>
      <w:r w:rsidRPr="00EC553C" w:rsidR="00F43267">
        <w:fldChar w:fldCharType="separate"/>
      </w:r>
      <w:r w:rsidR="003B2E8F">
        <w:t>14</w:t>
      </w:r>
      <w:r w:rsidRPr="00EC553C" w:rsidR="00F43267">
        <w:fldChar w:fldCharType="end"/>
      </w:r>
      <w:r w:rsidRPr="00EC553C">
        <w:t>.</w:t>
      </w:r>
    </w:p>
    <w:p w:rsidR="000D2AEF" w:rsidP="00D71DD2" w14:paraId="06C9AB29" w14:textId="42EAC89F">
      <w:pPr>
        <w:numPr>
          <w:ilvl w:val="0"/>
          <w:numId w:val="5"/>
        </w:numPr>
        <w:tabs>
          <w:tab w:val="clear" w:pos="1224"/>
        </w:tabs>
        <w:spacing w:after="120"/>
        <w:ind w:left="1890"/>
      </w:pPr>
      <w:bookmarkStart w:id="2" w:name="_Hlk16062949"/>
      <w:r w:rsidRPr="00EC553C">
        <w:t xml:space="preserve">“Covered Employees” means all employees and agents of </w:t>
      </w:r>
      <w:r w:rsidRPr="00EC553C" w:rsidR="00D71DD2">
        <w:t xml:space="preserve">Harris </w:t>
      </w:r>
      <w:r w:rsidRPr="00EC553C">
        <w:t xml:space="preserve">who perform, supervise, oversee, or manage the performance of, duties that relate to </w:t>
      </w:r>
      <w:r w:rsidRPr="00EC553C" w:rsidR="00D71DD2">
        <w:t>Harris’</w:t>
      </w:r>
      <w:r w:rsidRPr="00EC553C">
        <w:t xml:space="preserve"> responsibilities under</w:t>
      </w:r>
      <w:r w:rsidR="006F341A">
        <w:t xml:space="preserve"> </w:t>
      </w:r>
      <w:r w:rsidRPr="00EC553C">
        <w:t xml:space="preserve">the </w:t>
      </w:r>
      <w:r w:rsidRPr="00EC553C" w:rsidR="00D748E8">
        <w:t>Satellite Rules</w:t>
      </w:r>
      <w:r w:rsidRPr="00EC553C">
        <w:t>.</w:t>
      </w:r>
      <w:r w:rsidR="00B42A16">
        <w:t xml:space="preserve">  </w:t>
      </w:r>
    </w:p>
    <w:bookmarkEnd w:id="2"/>
    <w:p w:rsidR="000D2AEF" w:rsidRPr="00EC553C" w:rsidP="000D2AEF" w14:paraId="01B8090F" w14:textId="5324BB35">
      <w:pPr>
        <w:numPr>
          <w:ilvl w:val="0"/>
          <w:numId w:val="5"/>
        </w:numPr>
        <w:tabs>
          <w:tab w:val="clear" w:pos="1224"/>
        </w:tabs>
        <w:spacing w:after="120"/>
        <w:ind w:left="1890"/>
      </w:pPr>
      <w:r w:rsidRPr="00EC553C">
        <w:t xml:space="preserve">“Effective Date” means the date by which both the Bureau and </w:t>
      </w:r>
      <w:r w:rsidRPr="00EC553C" w:rsidR="00D71DD2">
        <w:t xml:space="preserve">Harris </w:t>
      </w:r>
      <w:r w:rsidRPr="00EC553C">
        <w:t>have signed the Consent Decree.</w:t>
      </w:r>
    </w:p>
    <w:p w:rsidR="00D71DD2" w:rsidRPr="00EC553C" w:rsidP="000D2AEF" w14:paraId="446FAF67" w14:textId="0C5DD02D">
      <w:pPr>
        <w:numPr>
          <w:ilvl w:val="0"/>
          <w:numId w:val="5"/>
        </w:numPr>
        <w:tabs>
          <w:tab w:val="clear" w:pos="1224"/>
        </w:tabs>
        <w:spacing w:after="120"/>
        <w:ind w:left="1890"/>
      </w:pPr>
      <w:r w:rsidRPr="00EC553C">
        <w:t xml:space="preserve">“Harris” means </w:t>
      </w:r>
      <w:r w:rsidR="00522F52">
        <w:t>L3</w:t>
      </w:r>
      <w:r w:rsidRPr="00EC553C" w:rsidR="00522F52">
        <w:t xml:space="preserve">Harris </w:t>
      </w:r>
      <w:r w:rsidR="00522F52">
        <w:t xml:space="preserve">Technologies, Inc., </w:t>
      </w:r>
      <w:r w:rsidRPr="00EC553C">
        <w:t>and its affiliates, subsidiaries, predecessors-in-interest, and successors-in-interest.</w:t>
      </w:r>
      <w:r>
        <w:rPr>
          <w:rStyle w:val="FootnoteReference"/>
        </w:rPr>
        <w:footnoteReference w:id="11"/>
      </w:r>
    </w:p>
    <w:p w:rsidR="000D2AEF" w:rsidRPr="00EC553C" w:rsidP="000D2AEF" w14:paraId="14B187AA" w14:textId="36D5CF53">
      <w:pPr>
        <w:numPr>
          <w:ilvl w:val="0"/>
          <w:numId w:val="5"/>
        </w:numPr>
        <w:tabs>
          <w:tab w:val="clear" w:pos="1224"/>
        </w:tabs>
        <w:spacing w:after="120"/>
        <w:ind w:left="1890"/>
      </w:pPr>
      <w:r w:rsidRPr="00EC553C">
        <w:t xml:space="preserve">“Investigation” means the investigation commenced by the Bureau in </w:t>
      </w:r>
      <w:r w:rsidRPr="00EC553C" w:rsidR="00D748E8">
        <w:rPr>
          <w:spacing w:val="-2"/>
        </w:rPr>
        <w:t>EB-SED-1</w:t>
      </w:r>
      <w:r w:rsidRPr="00EC553C" w:rsidR="00D71DD2">
        <w:rPr>
          <w:spacing w:val="-2"/>
        </w:rPr>
        <w:t>9</w:t>
      </w:r>
      <w:r w:rsidRPr="00EC553C" w:rsidR="00D748E8">
        <w:rPr>
          <w:spacing w:val="-2"/>
        </w:rPr>
        <w:t>-</w:t>
      </w:r>
      <w:r w:rsidRPr="00EC553C" w:rsidR="00D71DD2">
        <w:rPr>
          <w:spacing w:val="-2"/>
        </w:rPr>
        <w:t xml:space="preserve">00028645 </w:t>
      </w:r>
      <w:r w:rsidRPr="00EC553C">
        <w:t xml:space="preserve">regarding whether </w:t>
      </w:r>
      <w:r w:rsidRPr="00EC553C" w:rsidR="00D71DD2">
        <w:t>Harris</w:t>
      </w:r>
      <w:r w:rsidRPr="00EC553C">
        <w:t xml:space="preserve"> violated the </w:t>
      </w:r>
      <w:r w:rsidRPr="00EC553C" w:rsidR="00D748E8">
        <w:t>Satellite Rules</w:t>
      </w:r>
      <w:r w:rsidRPr="00EC553C">
        <w:t>.</w:t>
      </w:r>
    </w:p>
    <w:p w:rsidR="000D2AEF" w:rsidRPr="00EC553C" w:rsidP="00DD5E25" w14:paraId="79AE4F4D" w14:textId="385E7921">
      <w:pPr>
        <w:numPr>
          <w:ilvl w:val="0"/>
          <w:numId w:val="5"/>
        </w:numPr>
        <w:tabs>
          <w:tab w:val="clear" w:pos="1224"/>
        </w:tabs>
        <w:spacing w:after="120"/>
        <w:ind w:left="1886"/>
      </w:pPr>
      <w:r w:rsidRPr="00EC553C">
        <w:t xml:space="preserve">“Operating Procedures” means the standard internal operating procedures and compliance policies established by </w:t>
      </w:r>
      <w:r w:rsidRPr="00EC553C" w:rsidR="00761D98">
        <w:t>Harris</w:t>
      </w:r>
      <w:r w:rsidRPr="00EC553C">
        <w:t xml:space="preserve"> to implement the Compliance Plan.</w:t>
      </w:r>
    </w:p>
    <w:p w:rsidR="000D2AEF" w:rsidRPr="00EC553C" w:rsidP="000D2AEF" w14:paraId="2F2523AA" w14:textId="548EE764">
      <w:pPr>
        <w:numPr>
          <w:ilvl w:val="0"/>
          <w:numId w:val="5"/>
        </w:numPr>
        <w:tabs>
          <w:tab w:val="clear" w:pos="1224"/>
        </w:tabs>
        <w:spacing w:after="120"/>
        <w:ind w:left="1890"/>
      </w:pPr>
      <w:r w:rsidRPr="00EC553C">
        <w:t xml:space="preserve">“Parties” means </w:t>
      </w:r>
      <w:r w:rsidRPr="00EC553C" w:rsidR="00D71DD2">
        <w:t>Harris</w:t>
      </w:r>
      <w:r w:rsidRPr="00EC553C">
        <w:t xml:space="preserve"> and the Bureau, each of which is a “Party.”</w:t>
      </w:r>
    </w:p>
    <w:p w:rsidR="000D2AEF" w:rsidRPr="00EC553C" w:rsidP="000D2AEF" w14:paraId="3ED5F52B" w14:textId="77777777">
      <w:pPr>
        <w:numPr>
          <w:ilvl w:val="0"/>
          <w:numId w:val="5"/>
        </w:numPr>
        <w:tabs>
          <w:tab w:val="clear" w:pos="1224"/>
        </w:tabs>
        <w:spacing w:after="120"/>
        <w:ind w:left="1890"/>
      </w:pPr>
      <w:r w:rsidRPr="00EC553C">
        <w:t>“Rules” means the Commission’s regulations found in Title 47 of the Code of Federal Regulations.</w:t>
      </w:r>
    </w:p>
    <w:p w:rsidR="00FF08AA" w:rsidRPr="00EC553C" w:rsidP="00FF08AA" w14:paraId="67486FE4" w14:textId="1FCD2368">
      <w:pPr>
        <w:numPr>
          <w:ilvl w:val="0"/>
          <w:numId w:val="5"/>
        </w:numPr>
        <w:tabs>
          <w:tab w:val="clear" w:pos="1224"/>
        </w:tabs>
        <w:spacing w:after="120"/>
        <w:ind w:left="1890"/>
      </w:pPr>
      <w:r w:rsidRPr="00EC553C">
        <w:t xml:space="preserve">“Satellite Rules” </w:t>
      </w:r>
      <w:r w:rsidRPr="000F6512">
        <w:t>means the Act</w:t>
      </w:r>
      <w:r w:rsidRPr="000F6512" w:rsidR="00D73114">
        <w:t>,</w:t>
      </w:r>
      <w:r w:rsidRPr="000F6512" w:rsidR="00F87684">
        <w:t xml:space="preserve"> </w:t>
      </w:r>
      <w:r w:rsidRPr="000F6512" w:rsidR="000F6512">
        <w:t xml:space="preserve">the Rules </w:t>
      </w:r>
      <w:r w:rsidR="000F6512">
        <w:t>(including</w:t>
      </w:r>
      <w:r w:rsidRPr="000F6512">
        <w:t xml:space="preserve"> </w:t>
      </w:r>
      <w:r w:rsidR="005D204A">
        <w:t xml:space="preserve">but not limited to </w:t>
      </w:r>
      <w:r w:rsidR="00D63386">
        <w:t>s</w:t>
      </w:r>
      <w:r w:rsidRPr="00EC553C">
        <w:t>ections 5.53</w:t>
      </w:r>
      <w:r w:rsidRPr="00EC553C" w:rsidR="00D71DD2">
        <w:t xml:space="preserve"> and</w:t>
      </w:r>
      <w:r w:rsidRPr="00EC553C">
        <w:t xml:space="preserve"> 25.102</w:t>
      </w:r>
      <w:r>
        <w:rPr>
          <w:rStyle w:val="FootnoteReference"/>
        </w:rPr>
        <w:footnoteReference w:id="12"/>
      </w:r>
      <w:r w:rsidR="00000535">
        <w:t>)</w:t>
      </w:r>
      <w:r w:rsidR="000F6512">
        <w:t>,</w:t>
      </w:r>
      <w:r w:rsidRPr="00EC553C">
        <w:t xml:space="preserve"> and Commission orders related to satellite and radio frequency device operations</w:t>
      </w:r>
      <w:r w:rsidR="000F6512">
        <w:t xml:space="preserve"> </w:t>
      </w:r>
      <w:r w:rsidRPr="000F6512" w:rsidR="000F6512">
        <w:t>to which Harris is subject by virtue of its commercial</w:t>
      </w:r>
      <w:r w:rsidR="000F26DF">
        <w:t xml:space="preserve"> or experimental</w:t>
      </w:r>
      <w:r w:rsidRPr="000F6512" w:rsidR="000F6512">
        <w:t xml:space="preserve"> </w:t>
      </w:r>
      <w:r w:rsidR="00CC6841">
        <w:t xml:space="preserve">small </w:t>
      </w:r>
      <w:r w:rsidRPr="000F6512" w:rsidR="000F6512">
        <w:t>satellite operations</w:t>
      </w:r>
      <w:r w:rsidR="00F74885">
        <w:t xml:space="preserve"> </w:t>
      </w:r>
      <w:r w:rsidRPr="00F74885" w:rsidR="00F74885">
        <w:t xml:space="preserve">(to the extent </w:t>
      </w:r>
      <w:r w:rsidR="00F74885">
        <w:t>such operations</w:t>
      </w:r>
      <w:r w:rsidRPr="00F74885" w:rsidR="00F74885">
        <w:t xml:space="preserve"> require Harris to apply for or maintain a </w:t>
      </w:r>
      <w:r w:rsidR="00F74885">
        <w:t>p</w:t>
      </w:r>
      <w:r w:rsidRPr="00F74885" w:rsidR="00F74885">
        <w:t>art 5 or</w:t>
      </w:r>
      <w:r w:rsidR="00F74885">
        <w:t xml:space="preserve"> part </w:t>
      </w:r>
      <w:r w:rsidRPr="00F74885" w:rsidR="00F74885">
        <w:t>25 license as the licensee)</w:t>
      </w:r>
      <w:r w:rsidRPr="00EC553C">
        <w:t xml:space="preserve">.  </w:t>
      </w:r>
    </w:p>
    <w:p w:rsidR="000D2AEF" w:rsidRPr="00EC553C" w:rsidP="000D2AEF" w14:paraId="64328745" w14:textId="03042639">
      <w:pPr>
        <w:pStyle w:val="Heading1"/>
        <w:rPr>
          <w:rFonts w:ascii="Times New Roman" w:hAnsi="Times New Roman"/>
        </w:rPr>
      </w:pPr>
      <w:r w:rsidRPr="00EC553C">
        <w:rPr>
          <w:rFonts w:ascii="Times New Roman" w:hAnsi="Times New Roman"/>
        </w:rPr>
        <w:t>BACKGROUND</w:t>
      </w:r>
    </w:p>
    <w:p w:rsidR="00997BA1" w:rsidRPr="00EC553C" w:rsidP="00997BA1" w14:paraId="629DBD27" w14:textId="060B112B">
      <w:pPr>
        <w:pStyle w:val="ParaNum"/>
      </w:pPr>
      <w:r w:rsidRPr="00EC553C">
        <w:t xml:space="preserve">Section 301 of the Act and </w:t>
      </w:r>
      <w:r w:rsidR="00F606F1">
        <w:t>s</w:t>
      </w:r>
      <w:r w:rsidRPr="00EC553C">
        <w:t xml:space="preserve">ection 25.102(a) of the </w:t>
      </w:r>
      <w:r w:rsidR="006320EA">
        <w:t>R</w:t>
      </w:r>
      <w:r w:rsidRPr="00EC553C">
        <w:t>ules</w:t>
      </w:r>
      <w:r w:rsidR="006320EA">
        <w:t>,</w:t>
      </w:r>
      <w:r w:rsidRPr="00EC553C">
        <w:t xml:space="preserve"> prohibit the use or operation of any apparatus for the transmission of energy or communications or signals by an earth station except under and in accordance with a Commission</w:t>
      </w:r>
      <w:r w:rsidR="00F606F1">
        <w:t>-</w:t>
      </w:r>
      <w:r w:rsidRPr="00EC553C">
        <w:t>granted authorization.</w:t>
      </w:r>
      <w:r>
        <w:rPr>
          <w:rStyle w:val="FootnoteReference"/>
          <w:sz w:val="22"/>
        </w:rPr>
        <w:footnoteReference w:id="13"/>
      </w:r>
      <w:r w:rsidRPr="00EC553C">
        <w:t xml:space="preserve">  Section 5.53 of the </w:t>
      </w:r>
      <w:r w:rsidR="00F606F1">
        <w:t>R</w:t>
      </w:r>
      <w:r w:rsidRPr="00EC553C">
        <w:t xml:space="preserve">ules requires </w:t>
      </w:r>
      <w:r w:rsidR="007933DA">
        <w:t xml:space="preserve">operations in accordance with a license </w:t>
      </w:r>
      <w:r w:rsidRPr="00EC553C">
        <w:t>in the Experimental Radio Service,</w:t>
      </w:r>
      <w:r>
        <w:rPr>
          <w:rStyle w:val="FootnoteReference"/>
        </w:rPr>
        <w:footnoteReference w:id="14"/>
      </w:r>
      <w:r w:rsidRPr="00EC553C">
        <w:t xml:space="preserve"> which is intended to allow companies to experiment, develop new products, and conduct market trials.</w:t>
      </w:r>
      <w:r>
        <w:rPr>
          <w:rStyle w:val="FootnoteReference"/>
          <w:sz w:val="22"/>
        </w:rPr>
        <w:footnoteReference w:id="15"/>
      </w:r>
      <w:r w:rsidRPr="00EC553C" w:rsidR="000C4063">
        <w:t xml:space="preserve">  </w:t>
      </w:r>
      <w:r w:rsidRPr="00EC553C">
        <w:t xml:space="preserve">These important rules prevent interference in satellite operations and allow the Commission to coordinate and evaluate </w:t>
      </w:r>
      <w:r w:rsidR="006320EA">
        <w:t>those</w:t>
      </w:r>
      <w:r w:rsidRPr="00EC553C">
        <w:t xml:space="preserve"> operations.  </w:t>
      </w:r>
      <w:bookmarkStart w:id="3" w:name="_Ref526839962"/>
    </w:p>
    <w:p w:rsidR="00BF5FCA" w:rsidP="00997BA1" w14:paraId="4DCC69E6" w14:textId="2DDAC8D8">
      <w:pPr>
        <w:pStyle w:val="ParaNum"/>
      </w:pPr>
      <w:bookmarkStart w:id="4" w:name="_Ref21093476"/>
      <w:bookmarkStart w:id="5" w:name="_Hlk17981571"/>
      <w:r w:rsidRPr="00EC553C">
        <w:t>In 2016, Harris</w:t>
      </w:r>
      <w:r w:rsidRPr="00EC553C" w:rsidR="006977B1">
        <w:t xml:space="preserve"> </w:t>
      </w:r>
      <w:r w:rsidRPr="00EC553C">
        <w:t xml:space="preserve">sought an experimental license to deploy and operate a briefcase-sized 6U </w:t>
      </w:r>
      <w:r w:rsidRPr="00EC553C">
        <w:t>cubesat</w:t>
      </w:r>
      <w:r w:rsidRPr="00EC553C">
        <w:t xml:space="preserve"> </w:t>
      </w:r>
      <w:r w:rsidR="009A2E85">
        <w:t xml:space="preserve">called </w:t>
      </w:r>
      <w:r w:rsidRPr="00EC553C">
        <w:t>HSAT-1.</w:t>
      </w:r>
      <w:r w:rsidR="000F6512">
        <w:t xml:space="preserve">  </w:t>
      </w:r>
      <w:r w:rsidRPr="000F6512" w:rsidR="000F6512">
        <w:t>Although Harris has substantial experience with developing satellites for government applications</w:t>
      </w:r>
      <w:r w:rsidR="00BC4AF2">
        <w:t xml:space="preserve">, </w:t>
      </w:r>
      <w:r w:rsidR="007F4EB1">
        <w:t xml:space="preserve">has participated in numerous </w:t>
      </w:r>
      <w:r w:rsidR="001D607A">
        <w:t xml:space="preserve">Commission </w:t>
      </w:r>
      <w:r w:rsidR="007F4EB1">
        <w:t>proceedings</w:t>
      </w:r>
      <w:r w:rsidR="00BC4AF2">
        <w:t>,</w:t>
      </w:r>
      <w:r w:rsidR="007F4EB1">
        <w:t xml:space="preserve"> </w:t>
      </w:r>
      <w:r w:rsidR="001D607A">
        <w:t xml:space="preserve">and has numerous </w:t>
      </w:r>
      <w:r w:rsidR="007F4EB1">
        <w:t>Commission</w:t>
      </w:r>
      <w:r w:rsidR="001D607A">
        <w:t xml:space="preserve"> licenses</w:t>
      </w:r>
      <w:r w:rsidRPr="000F6512" w:rsidR="000F6512">
        <w:t>, HSAT-1 represented the company’s first effort to develop a commercial</w:t>
      </w:r>
      <w:r w:rsidR="000F26DF">
        <w:t xml:space="preserve"> or experimental</w:t>
      </w:r>
      <w:r w:rsidR="00CC6841">
        <w:t xml:space="preserve"> small</w:t>
      </w:r>
      <w:r w:rsidRPr="000F6512" w:rsidR="000F6512">
        <w:t xml:space="preserve"> satellite for which it would seek its own license from the Commission.</w:t>
      </w:r>
      <w:r w:rsidRPr="00EC553C">
        <w:t>  On February 2, 2018, May 31, 2018, and December 1, 2018, the Commission approved</w:t>
      </w:r>
      <w:r w:rsidR="009A2E85">
        <w:t>,</w:t>
      </w:r>
      <w:r w:rsidRPr="00EC553C">
        <w:t xml:space="preserve"> through a series of </w:t>
      </w:r>
      <w:r w:rsidR="0065026D">
        <w:t>S</w:t>
      </w:r>
      <w:r w:rsidRPr="00EC553C">
        <w:t xml:space="preserve">pecial </w:t>
      </w:r>
      <w:r w:rsidR="0065026D">
        <w:t>T</w:t>
      </w:r>
      <w:r w:rsidRPr="00EC553C">
        <w:t xml:space="preserve">emporary </w:t>
      </w:r>
      <w:r w:rsidR="0065026D">
        <w:t>A</w:t>
      </w:r>
      <w:r w:rsidRPr="00EC553C">
        <w:t>uthorities (STAs)</w:t>
      </w:r>
      <w:r w:rsidR="009A2E85">
        <w:t>,</w:t>
      </w:r>
      <w:r w:rsidRPr="00EC553C">
        <w:t xml:space="preserve"> an earth station uplink frequency for HSAT-1 of 2096.5 MHz with a 1.25 MHz bandwidth (2095.875 – 2097.125 MHz).</w:t>
      </w:r>
      <w:r>
        <w:rPr>
          <w:rStyle w:val="FootnoteReference"/>
          <w:sz w:val="22"/>
        </w:rPr>
        <w:footnoteReference w:id="16"/>
      </w:r>
      <w:r w:rsidRPr="00EC553C">
        <w:t xml:space="preserve">  However, Harris engineers </w:t>
      </w:r>
      <w:r w:rsidR="001D607A">
        <w:t xml:space="preserve">intentionally </w:t>
      </w:r>
      <w:r w:rsidRPr="00EC553C">
        <w:t>programmed HSAT-1 and the single ground station to operate on 2096.0 MHz with a 1.25 MHz bandwidth (2095.375 – 2096.625 MHz) for the uplink transmissions.  Harris was not authorized to operate below 2095.875</w:t>
      </w:r>
      <w:r w:rsidR="00F606F1">
        <w:t xml:space="preserve"> or above 2097.125 MHz</w:t>
      </w:r>
      <w:r w:rsidRPr="00EC553C">
        <w:t xml:space="preserve">, so transmissions between 2095.375 and 2095.875 were unauthorized.  Harris’ ground station began communicating with HSAT-1 on the unauthorized uplink frequency band on November 29, 2018, shortly after deployment.  </w:t>
      </w:r>
      <w:r w:rsidR="003D76CE">
        <w:t>The downlink operations from HSAT-1 to the ground station were within the authorized frequency limits.</w:t>
      </w:r>
      <w:bookmarkEnd w:id="4"/>
      <w:r w:rsidR="003D76CE">
        <w:t xml:space="preserve">  </w:t>
      </w:r>
    </w:p>
    <w:p w:rsidR="003957CA" w:rsidRPr="00BF5FCA" w:rsidP="00BF5FCA" w14:paraId="127E98DA" w14:textId="6C90023D">
      <w:pPr>
        <w:pStyle w:val="ParaNum"/>
      </w:pPr>
      <w:bookmarkStart w:id="6" w:name="_Ref21093490"/>
      <w:bookmarkEnd w:id="5"/>
      <w:r w:rsidRPr="00EC553C">
        <w:t>On December 5, 2018, Harris voluntarily disclosed to the Commission this unauthorized operation.</w:t>
      </w:r>
      <w:r w:rsidR="007933DA">
        <w:t xml:space="preserve"> </w:t>
      </w:r>
      <w:r w:rsidRPr="00EC553C">
        <w:t xml:space="preserve"> However, Harris continued transmitting on this unauthorized frequency.  </w:t>
      </w:r>
      <w:r w:rsidRPr="00BF5FCA">
        <w:t xml:space="preserve">On December 10, </w:t>
      </w:r>
      <w:r w:rsidRPr="00BF5FCA">
        <w:t xml:space="preserve">2018, </w:t>
      </w:r>
      <w:r w:rsidRPr="00BF5FCA">
        <w:t xml:space="preserve">Harris filed for </w:t>
      </w:r>
      <w:r w:rsidRPr="00BF5FCA">
        <w:t>a</w:t>
      </w:r>
      <w:r w:rsidR="0065026D">
        <w:t xml:space="preserve">n STA </w:t>
      </w:r>
      <w:r w:rsidRPr="00BF5FCA">
        <w:t xml:space="preserve">to reflect </w:t>
      </w:r>
      <w:r w:rsidRPr="00BF5FCA">
        <w:t xml:space="preserve">the ground station’s </w:t>
      </w:r>
      <w:r w:rsidRPr="00BF5FCA">
        <w:t>actual operating frequency</w:t>
      </w:r>
      <w:r w:rsidRPr="00BF5FCA">
        <w:t>.</w:t>
      </w:r>
      <w:r>
        <w:rPr>
          <w:rStyle w:val="FootnoteReference"/>
        </w:rPr>
        <w:footnoteReference w:id="17"/>
      </w:r>
      <w:r w:rsidRPr="00BF5FCA">
        <w:t xml:space="preserve">  It </w:t>
      </w:r>
      <w:r w:rsidRPr="00BF5FCA">
        <w:t xml:space="preserve">ceased operation on the unauthorized frequency </w:t>
      </w:r>
      <w:r w:rsidRPr="00BF5FCA">
        <w:t>the next day</w:t>
      </w:r>
      <w:r w:rsidRPr="00BF5FCA">
        <w:t>.</w:t>
      </w:r>
      <w:r w:rsidR="007933DA">
        <w:t xml:space="preserve"> </w:t>
      </w:r>
      <w:r w:rsidRPr="00BF5FCA">
        <w:t xml:space="preserve"> </w:t>
      </w:r>
      <w:r w:rsidRPr="00BF5FCA">
        <w:t>However, ov</w:t>
      </w:r>
      <w:r w:rsidRPr="00BF5FCA">
        <w:t>er the course of its 13 days of transmitting to HSAT-1 on this unauthorized frequency, Harris did so 324 times.</w:t>
      </w:r>
      <w:bookmarkEnd w:id="6"/>
      <w:r w:rsidRPr="00BF5FCA">
        <w:t xml:space="preserve">  </w:t>
      </w:r>
    </w:p>
    <w:p w:rsidR="00CD41FC" w:rsidRPr="003957CA" w:rsidP="003957CA" w14:paraId="0AE1AD93" w14:textId="31B0C844">
      <w:pPr>
        <w:pStyle w:val="ParaNum"/>
      </w:pPr>
      <w:r>
        <w:t>The foregoing</w:t>
      </w:r>
      <w:r w:rsidRPr="003957CA" w:rsidR="00997BA1">
        <w:t xml:space="preserve"> violations do not appear to have caused harmful interference to any other licensee</w:t>
      </w:r>
      <w:r w:rsidRPr="003957CA" w:rsidR="00D152BE">
        <w:t xml:space="preserve"> a</w:t>
      </w:r>
      <w:r w:rsidRPr="003957CA" w:rsidR="00997BA1">
        <w:t xml:space="preserve">nd there </w:t>
      </w:r>
      <w:r w:rsidRPr="003957CA" w:rsidR="00847A29">
        <w:t>is</w:t>
      </w:r>
      <w:r w:rsidRPr="003957CA" w:rsidR="00997BA1">
        <w:t xml:space="preserve"> no indication that HSAT-1 operated contrary to its authorization in communications to the ground station (the downlink frequency).</w:t>
      </w:r>
      <w:bookmarkEnd w:id="3"/>
      <w:r w:rsidR="003957CA">
        <w:t xml:space="preserve">  </w:t>
      </w:r>
    </w:p>
    <w:p w:rsidR="008A309D" w:rsidRPr="00EC553C" w:rsidP="00146DC7" w14:paraId="72E1B433" w14:textId="2C8FE1DB">
      <w:pPr>
        <w:pStyle w:val="ParaNum"/>
      </w:pPr>
      <w:r w:rsidRPr="00EC553C">
        <w:t xml:space="preserve">To settle this matter, the Bureau and </w:t>
      </w:r>
      <w:r w:rsidRPr="00EC553C" w:rsidR="00836D89">
        <w:t>Harris</w:t>
      </w:r>
      <w:r w:rsidRPr="00EC553C">
        <w:t xml:space="preserve"> enter into this Consent Decree and agree to the terms and conditions set forth below.  As part of these terms and conditions, </w:t>
      </w:r>
      <w:r w:rsidRPr="00EC553C" w:rsidR="00836D89">
        <w:t>Harris</w:t>
      </w:r>
      <w:r w:rsidRPr="00EC553C">
        <w:t xml:space="preserve"> agrees to pay a </w:t>
      </w:r>
      <w:r w:rsidR="000F6512">
        <w:t xml:space="preserve">civil </w:t>
      </w:r>
      <w:r w:rsidRPr="00EC553C">
        <w:t>penalty of $</w:t>
      </w:r>
      <w:r w:rsidR="001D4C11">
        <w:t>100,000</w:t>
      </w:r>
      <w:r w:rsidRPr="00EC553C" w:rsidR="001D4C11">
        <w:t xml:space="preserve"> </w:t>
      </w:r>
      <w:r w:rsidRPr="00EC553C">
        <w:t>and to implement a compliance plan</w:t>
      </w:r>
      <w:r w:rsidRPr="00EC553C" w:rsidR="00D748E8">
        <w:t>.</w:t>
      </w:r>
    </w:p>
    <w:p w:rsidR="000D2AEF" w:rsidRPr="00EC553C" w:rsidP="000D2AEF" w14:paraId="027A4F24" w14:textId="602A05F0">
      <w:pPr>
        <w:pStyle w:val="Heading1"/>
        <w:rPr>
          <w:rFonts w:ascii="Times New Roman" w:hAnsi="Times New Roman"/>
        </w:rPr>
      </w:pPr>
      <w:bookmarkStart w:id="7" w:name="FN[FN18]"/>
      <w:bookmarkEnd w:id="7"/>
      <w:r w:rsidRPr="00EC553C">
        <w:rPr>
          <w:rFonts w:ascii="Times New Roman" w:hAnsi="Times New Roman"/>
        </w:rPr>
        <w:t>TERMS OF AGREEMENT</w:t>
      </w:r>
    </w:p>
    <w:p w:rsidR="000D2AEF" w:rsidRPr="00EC553C" w:rsidP="000D2AEF" w14:paraId="293ABA9F" w14:textId="77777777">
      <w:pPr>
        <w:pStyle w:val="ParaNum"/>
      </w:pPr>
      <w:r w:rsidRPr="00EC553C">
        <w:rPr>
          <w:b/>
          <w:u w:val="single"/>
        </w:rPr>
        <w:t>Adopting Order</w:t>
      </w:r>
      <w:r w:rsidRPr="00EC553C">
        <w:t>.  The provisions of this Consent Decree shall be incorporated by the Bureau in an Adopting Order.</w:t>
      </w:r>
    </w:p>
    <w:p w:rsidR="000D2AEF" w:rsidRPr="00EC553C" w:rsidP="000D2AEF" w14:paraId="4D16357D" w14:textId="4201A17E">
      <w:pPr>
        <w:pStyle w:val="ParaNum"/>
      </w:pPr>
      <w:r w:rsidRPr="00EC553C">
        <w:rPr>
          <w:b/>
          <w:u w:val="single"/>
        </w:rPr>
        <w:t>Jurisdiction</w:t>
      </w:r>
      <w:r w:rsidRPr="00EC553C">
        <w:t xml:space="preserve">.  </w:t>
      </w:r>
      <w:r w:rsidRPr="00EC553C" w:rsidR="00F915DC">
        <w:t>Harris</w:t>
      </w:r>
      <w:r w:rsidRPr="00EC553C" w:rsidR="000E4203">
        <w:t xml:space="preserve"> </w:t>
      </w:r>
      <w:r w:rsidRPr="00EC553C">
        <w:t>agrees that the Bureau has jurisdiction over it and the matters contained in this Consent Decree and has the authority to enter into and adopt this Consent Decree.</w:t>
      </w:r>
      <w:r w:rsidRPr="00EC553C" w:rsidR="00D82EB0">
        <w:t xml:space="preserve">    </w:t>
      </w:r>
    </w:p>
    <w:p w:rsidR="000D2AEF" w:rsidRPr="00EC553C" w:rsidP="000D2AEF" w14:paraId="680ED114" w14:textId="77777777">
      <w:pPr>
        <w:pStyle w:val="ParaNum"/>
      </w:pPr>
      <w:r w:rsidRPr="00EC553C">
        <w:rPr>
          <w:b/>
          <w:u w:val="single"/>
        </w:rPr>
        <w:t>Effective Date; Violations</w:t>
      </w:r>
      <w:r w:rsidRPr="00EC553C">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0D2AEF" w:rsidRPr="00EC553C" w:rsidP="000D2AEF" w14:paraId="1B77CFD9" w14:textId="7069B2F3">
      <w:pPr>
        <w:pStyle w:val="ParaNum"/>
      </w:pPr>
      <w:bookmarkStart w:id="8" w:name="_Ref526839925"/>
      <w:r w:rsidRPr="00EC553C">
        <w:rPr>
          <w:b/>
          <w:u w:val="single"/>
        </w:rPr>
        <w:t>Termination of Investigation</w:t>
      </w:r>
      <w:r w:rsidRPr="00EC553C">
        <w:t xml:space="preserve">.  In express reliance on the covenants and representations in this Consent Decree and to avoid further expenditure of public resources, the Bureau agrees to terminate the Investigation.  In consideration for the termination of the Investigation, </w:t>
      </w:r>
      <w:r w:rsidRPr="00EC553C" w:rsidR="00F915DC">
        <w:t xml:space="preserve">Harris </w:t>
      </w:r>
      <w:r w:rsidRPr="00EC553C">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rsidRPr="00EC553C" w:rsidR="00F915DC">
        <w:t>Harris</w:t>
      </w:r>
      <w:r w:rsidRPr="00EC553C">
        <w:t xml:space="preserve"> concerning the matters that were the subject of the Investigation, or to set for hearing the question of </w:t>
      </w:r>
      <w:r w:rsidRPr="00EC553C" w:rsidR="00F915DC">
        <w:t>Harris’s</w:t>
      </w:r>
      <w:r w:rsidRPr="00EC553C">
        <w:t xml:space="preserve"> basic qualifications to be a Commission licensee or hold Commission licenses or authorizations.</w:t>
      </w:r>
      <w:r>
        <w:rPr>
          <w:rStyle w:val="FootnoteReference"/>
          <w:sz w:val="22"/>
        </w:rPr>
        <w:footnoteReference w:id="18"/>
      </w:r>
      <w:bookmarkEnd w:id="8"/>
    </w:p>
    <w:p w:rsidR="000D2AEF" w:rsidRPr="00EC553C" w:rsidP="000D2AEF" w14:paraId="5E6D7AAB" w14:textId="239F19C9">
      <w:pPr>
        <w:pStyle w:val="ParaNum"/>
      </w:pPr>
      <w:r w:rsidRPr="00EC553C">
        <w:rPr>
          <w:b/>
          <w:u w:val="single"/>
        </w:rPr>
        <w:t>Admission of Liability</w:t>
      </w:r>
      <w:r w:rsidRPr="00EC553C">
        <w:t xml:space="preserve">.  </w:t>
      </w:r>
      <w:r w:rsidRPr="00EC553C" w:rsidR="00F915DC">
        <w:t>Harris</w:t>
      </w:r>
      <w:r w:rsidRPr="00EC553C" w:rsidR="000E4203">
        <w:t xml:space="preserve"> </w:t>
      </w:r>
      <w:r w:rsidRPr="00EC553C">
        <w:t xml:space="preserve">admits for the purpose of this Consent Decree and for Commission civil enforcement purposes, and in express reliance on the provisions of paragraph </w:t>
      </w:r>
      <w:r w:rsidRPr="00EC553C" w:rsidR="00F915DC">
        <w:t>1</w:t>
      </w:r>
      <w:r w:rsidRPr="00EC553C" w:rsidR="00847A29">
        <w:t>1</w:t>
      </w:r>
      <w:r w:rsidRPr="00EC553C">
        <w:t xml:space="preserve"> herein,</w:t>
      </w:r>
      <w:r w:rsidRPr="00EC553C" w:rsidR="00D748E8">
        <w:t xml:space="preserve"> that its actions </w:t>
      </w:r>
      <w:r w:rsidR="000F6512">
        <w:t xml:space="preserve">described </w:t>
      </w:r>
      <w:r w:rsidRPr="00EC553C" w:rsidR="00D748E8">
        <w:t xml:space="preserve">in paragraphs </w:t>
      </w:r>
      <w:r w:rsidR="00F44044">
        <w:fldChar w:fldCharType="begin"/>
      </w:r>
      <w:r w:rsidR="00F44044">
        <w:instrText xml:space="preserve"> REF _Ref21093476 \r \h </w:instrText>
      </w:r>
      <w:r w:rsidR="00F44044">
        <w:fldChar w:fldCharType="separate"/>
      </w:r>
      <w:r w:rsidR="003B2E8F">
        <w:t>4</w:t>
      </w:r>
      <w:r w:rsidR="00F44044">
        <w:fldChar w:fldCharType="end"/>
      </w:r>
      <w:r w:rsidR="00D73114">
        <w:t>-</w:t>
      </w:r>
      <w:r w:rsidR="00F44044">
        <w:fldChar w:fldCharType="begin"/>
      </w:r>
      <w:r w:rsidR="00F44044">
        <w:instrText xml:space="preserve"> REF _Ref21093490 \r \h </w:instrText>
      </w:r>
      <w:r w:rsidR="00F44044">
        <w:fldChar w:fldCharType="separate"/>
      </w:r>
      <w:r w:rsidR="003B2E8F">
        <w:t>5</w:t>
      </w:r>
      <w:r w:rsidR="00F44044">
        <w:fldChar w:fldCharType="end"/>
      </w:r>
      <w:r w:rsidR="00D73114">
        <w:t xml:space="preserve"> </w:t>
      </w:r>
      <w:r w:rsidRPr="00EC553C" w:rsidR="00D748E8">
        <w:t>violated the</w:t>
      </w:r>
      <w:r w:rsidRPr="00EC553C" w:rsidR="00D748E8">
        <w:rPr>
          <w:i/>
        </w:rPr>
        <w:t xml:space="preserve"> </w:t>
      </w:r>
      <w:r w:rsidRPr="00EC553C" w:rsidR="00D748E8">
        <w:t xml:space="preserve">Satellite Rules.  </w:t>
      </w:r>
    </w:p>
    <w:p w:rsidR="00E02214" w:rsidRPr="00EC553C" w:rsidP="00ED419F" w14:paraId="2907CCDC" w14:textId="24120F2A">
      <w:pPr>
        <w:pStyle w:val="ParaNum"/>
      </w:pPr>
      <w:bookmarkStart w:id="9" w:name="_Ref379202869"/>
      <w:r w:rsidRPr="00EC553C">
        <w:rPr>
          <w:b/>
          <w:u w:val="single"/>
        </w:rPr>
        <w:t>Compliance Officer</w:t>
      </w:r>
      <w:r w:rsidRPr="00EC553C">
        <w:t xml:space="preserve">.  Within thirty (30) calendar days after the Effective Date, </w:t>
      </w:r>
      <w:r w:rsidRPr="00EC553C" w:rsidR="00F915DC">
        <w:t>Harris</w:t>
      </w:r>
      <w:r w:rsidRPr="00EC553C" w:rsidR="00146DC7">
        <w:t xml:space="preserve"> </w:t>
      </w:r>
      <w:r w:rsidRPr="00EC553C" w:rsidR="00B72844">
        <w:t>shall designate a</w:t>
      </w:r>
      <w:r w:rsidRPr="00EC553C" w:rsidR="0056446C">
        <w:t xml:space="preserve"> </w:t>
      </w:r>
      <w:r w:rsidRPr="00EC553C" w:rsidR="009C3253">
        <w:t xml:space="preserve">regulatory compliance director </w:t>
      </w:r>
      <w:r w:rsidRPr="00EC553C">
        <w:t xml:space="preserve">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Pr="00EC553C" w:rsidR="00F915DC">
        <w:t>Harris</w:t>
      </w:r>
      <w:r w:rsidRPr="00EC553C" w:rsidR="00D019E4">
        <w:t xml:space="preserve"> </w:t>
      </w:r>
      <w:r w:rsidRPr="00EC553C">
        <w:t>complies with the terms and conditions of the Compliance Plan and this Consent Decree.</w:t>
      </w:r>
      <w:r w:rsidRPr="00EC553C" w:rsidR="00B0044E">
        <w:t xml:space="preserve"> </w:t>
      </w:r>
      <w:r w:rsidRPr="00EC553C">
        <w:t xml:space="preserve"> In addition to the general knowledge of the Communications Laws necessary to discharge his</w:t>
      </w:r>
      <w:r w:rsidRPr="00EC553C" w:rsidR="00B0044E">
        <w:t xml:space="preserve"> or </w:t>
      </w:r>
      <w:r w:rsidRPr="00EC553C">
        <w:t>her duties under this Consent Decree, the Compliance Officer shall have specifi</w:t>
      </w:r>
      <w:r w:rsidRPr="00EC553C" w:rsidR="00302C38">
        <w:t xml:space="preserve">c knowledge of the </w:t>
      </w:r>
      <w:r w:rsidRPr="00EC553C" w:rsidR="00D019E4">
        <w:t xml:space="preserve">Satellite </w:t>
      </w:r>
      <w:r w:rsidRPr="00EC553C">
        <w:t>Rules prior to assuming his/her duties.</w:t>
      </w:r>
      <w:bookmarkEnd w:id="9"/>
    </w:p>
    <w:p w:rsidR="00E02214" w:rsidRPr="00EC553C" w:rsidP="00DD5E25" w14:paraId="2B4AEC7D" w14:textId="3D824E50">
      <w:pPr>
        <w:pStyle w:val="ParaNum"/>
      </w:pPr>
      <w:bookmarkStart w:id="10" w:name="_Ref357521857"/>
      <w:r w:rsidRPr="00EC553C">
        <w:rPr>
          <w:b/>
          <w:u w:val="single"/>
        </w:rPr>
        <w:t>Compliance Plan</w:t>
      </w:r>
      <w:r w:rsidRPr="00EC553C">
        <w:t xml:space="preserve">.  For purposes of settling the matters set forth herein, </w:t>
      </w:r>
      <w:r w:rsidRPr="00EC553C" w:rsidR="00F915DC">
        <w:t xml:space="preserve">Harris </w:t>
      </w:r>
      <w:r w:rsidRPr="00EC553C">
        <w:t xml:space="preserve">agrees that it shall, within </w:t>
      </w:r>
      <w:r w:rsidR="009A2862">
        <w:t>ninety (90)</w:t>
      </w:r>
      <w:r w:rsidRPr="00EC553C">
        <w:t xml:space="preserve"> calendar days after the Effective Date, develop and implement a Compliance Plan designed to ensure future compliance </w:t>
      </w:r>
      <w:r w:rsidRPr="009A2862" w:rsidR="009A2862">
        <w:t xml:space="preserve">by its commercial </w:t>
      </w:r>
      <w:r w:rsidR="000F26DF">
        <w:t xml:space="preserve">and experimental </w:t>
      </w:r>
      <w:r w:rsidR="00CC6841">
        <w:t xml:space="preserve">small </w:t>
      </w:r>
      <w:r w:rsidRPr="009A2862" w:rsidR="009A2862">
        <w:t xml:space="preserve">satellite operations </w:t>
      </w:r>
      <w:r w:rsidRPr="00F74885" w:rsidR="00F74885">
        <w:t xml:space="preserve">(to the extent </w:t>
      </w:r>
      <w:r w:rsidR="00F74885">
        <w:t>such operations</w:t>
      </w:r>
      <w:r w:rsidRPr="00F74885" w:rsidR="00F74885">
        <w:t xml:space="preserve"> require Harris to apply for or maintain a </w:t>
      </w:r>
      <w:r w:rsidR="00F74885">
        <w:t>p</w:t>
      </w:r>
      <w:r w:rsidRPr="00F74885" w:rsidR="00F74885">
        <w:t xml:space="preserve">art 5 or </w:t>
      </w:r>
      <w:r w:rsidR="00F74885">
        <w:t xml:space="preserve">part </w:t>
      </w:r>
      <w:r w:rsidRPr="00F74885" w:rsidR="00F74885">
        <w:t>25 license as the licensee)</w:t>
      </w:r>
      <w:r w:rsidR="00F74885">
        <w:t xml:space="preserve"> </w:t>
      </w:r>
      <w:r w:rsidRPr="00EC553C">
        <w:t>with the Communications Laws and with the terms and conditions of this Consent Decree.  W</w:t>
      </w:r>
      <w:r w:rsidRPr="00EC553C" w:rsidR="00302C38">
        <w:t xml:space="preserve">ith respect to the </w:t>
      </w:r>
      <w:r w:rsidRPr="00EC553C" w:rsidR="00D019E4">
        <w:t xml:space="preserve">Satellite </w:t>
      </w:r>
      <w:r w:rsidRPr="00EC553C">
        <w:t xml:space="preserve">Rules, </w:t>
      </w:r>
      <w:r w:rsidRPr="00EC553C" w:rsidR="00F915DC">
        <w:t>Harris</w:t>
      </w:r>
      <w:r w:rsidRPr="00EC553C" w:rsidR="00E443C3">
        <w:t xml:space="preserve"> </w:t>
      </w:r>
      <w:r w:rsidRPr="00EC553C" w:rsidR="00302C38">
        <w:t>will</w:t>
      </w:r>
      <w:r w:rsidRPr="00EC553C">
        <w:t xml:space="preserve"> implement</w:t>
      </w:r>
      <w:r w:rsidRPr="00EC553C" w:rsidR="00073450">
        <w:t>, at a minimum,</w:t>
      </w:r>
      <w:r w:rsidRPr="00EC553C">
        <w:t xml:space="preserve"> the following procedures:</w:t>
      </w:r>
      <w:bookmarkEnd w:id="10"/>
    </w:p>
    <w:p w:rsidR="00EB2D9D" w:rsidRPr="00EC553C" w:rsidP="002109A0" w14:paraId="745F45B5" w14:textId="1396F8BD">
      <w:pPr>
        <w:widowControl/>
        <w:numPr>
          <w:ilvl w:val="0"/>
          <w:numId w:val="6"/>
        </w:numPr>
        <w:tabs>
          <w:tab w:val="clear" w:pos="1656"/>
        </w:tabs>
        <w:spacing w:after="120"/>
        <w:ind w:left="1886"/>
      </w:pPr>
      <w:r w:rsidRPr="00EC553C">
        <w:rPr>
          <w:b/>
          <w:u w:val="single"/>
        </w:rPr>
        <w:t>Operating Procedures</w:t>
      </w:r>
      <w:r w:rsidRPr="00EC553C" w:rsidR="00BD779B">
        <w:t xml:space="preserve">.  Within </w:t>
      </w:r>
      <w:r w:rsidR="009A2862">
        <w:t>ninety (90)</w:t>
      </w:r>
      <w:r w:rsidR="00000535">
        <w:t xml:space="preserve"> </w:t>
      </w:r>
      <w:r w:rsidRPr="00EC553C">
        <w:t xml:space="preserve">calendar days after the Effective Date, </w:t>
      </w:r>
      <w:r w:rsidRPr="00EC553C" w:rsidR="00313AAC">
        <w:t>Harris</w:t>
      </w:r>
      <w:r w:rsidRPr="00EC553C" w:rsidR="00E443C3">
        <w:t xml:space="preserve"> </w:t>
      </w:r>
      <w:r w:rsidRPr="00EC553C">
        <w:t xml:space="preserve">shall establish Operating Procedures that all Covered Employees must follow to help ensure </w:t>
      </w:r>
      <w:r w:rsidRPr="00EC553C" w:rsidR="00F915DC">
        <w:t>Harris’s</w:t>
      </w:r>
      <w:r w:rsidRPr="00EC553C">
        <w:t xml:space="preserve"> c</w:t>
      </w:r>
      <w:r w:rsidRPr="00EC553C" w:rsidR="00302C38">
        <w:t xml:space="preserve">ompliance with the </w:t>
      </w:r>
      <w:r w:rsidRPr="00EC553C" w:rsidR="00D019E4">
        <w:t xml:space="preserve">Satellite </w:t>
      </w:r>
      <w:r w:rsidRPr="00EC553C">
        <w:t xml:space="preserve">Rules.  </w:t>
      </w:r>
      <w:r w:rsidRPr="00EC553C" w:rsidR="00F915DC">
        <w:t>Harris’s</w:t>
      </w:r>
      <w:r w:rsidRPr="00EC553C">
        <w:t xml:space="preserve"> Operating Procedures shall include internal procedures and policies specifically designed to ensure that</w:t>
      </w:r>
      <w:r w:rsidRPr="00EC553C" w:rsidR="00BE103C">
        <w:t xml:space="preserve"> </w:t>
      </w:r>
      <w:r w:rsidRPr="00EC553C" w:rsidR="00C20AE5">
        <w:t>prior to the operation of a radio frequency device intended to be used to communicate to or from a satellite in orbit, all such radio frequency devices are properly authorized and compliant with the Satellite Rules</w:t>
      </w:r>
      <w:r w:rsidRPr="00EC553C">
        <w:t xml:space="preserve">.  </w:t>
      </w:r>
      <w:r w:rsidRPr="00EC553C" w:rsidR="00F915DC">
        <w:t>Harris</w:t>
      </w:r>
      <w:r w:rsidRPr="00EC553C" w:rsidR="00916D4E">
        <w:t xml:space="preserve"> shall also develop a Compliance Checklist that describes the steps that a Covered Employee must follow to ensure compliance with the Satellite Rules.</w:t>
      </w:r>
    </w:p>
    <w:p w:rsidR="0055035F" w:rsidRPr="00EC553C" w:rsidP="00C325DF" w14:paraId="060229D8" w14:textId="0A55AB3D">
      <w:pPr>
        <w:numPr>
          <w:ilvl w:val="0"/>
          <w:numId w:val="6"/>
        </w:numPr>
        <w:tabs>
          <w:tab w:val="clear" w:pos="1656"/>
        </w:tabs>
        <w:spacing w:after="120"/>
        <w:ind w:left="1886"/>
      </w:pPr>
      <w:r w:rsidRPr="00EC553C">
        <w:rPr>
          <w:b/>
          <w:u w:val="single"/>
        </w:rPr>
        <w:t>Compliance Manual</w:t>
      </w:r>
      <w:r w:rsidRPr="00EC553C">
        <w:t xml:space="preserve">.  Within </w:t>
      </w:r>
      <w:r w:rsidR="009A2862">
        <w:t>ninety (90)</w:t>
      </w:r>
      <w:r w:rsidR="00000535">
        <w:t xml:space="preserve"> </w:t>
      </w:r>
      <w:r w:rsidRPr="00EC553C">
        <w:t>calendar days after the Effective Date, the Compliance Officer shall develop and distribute a Compliance Manual to all Covered Employees.  The Compliance Manual</w:t>
      </w:r>
      <w:r w:rsidRPr="00EC553C" w:rsidR="00302C38">
        <w:t xml:space="preserve"> shall explain the </w:t>
      </w:r>
      <w:r w:rsidRPr="00EC553C" w:rsidR="00D019E4">
        <w:t xml:space="preserve">Satellite </w:t>
      </w:r>
      <w:r w:rsidRPr="00EC553C">
        <w:t xml:space="preserve">Rules and set forth the Operating Procedures that Covered Employees shall follow to help ensure </w:t>
      </w:r>
      <w:r w:rsidRPr="00EC553C" w:rsidR="00F915DC">
        <w:t>Harris’s</w:t>
      </w:r>
      <w:r w:rsidRPr="00EC553C" w:rsidR="00FF08AA">
        <w:t xml:space="preserve"> </w:t>
      </w:r>
      <w:r w:rsidRPr="00EC553C">
        <w:t>co</w:t>
      </w:r>
      <w:r w:rsidRPr="00EC553C" w:rsidR="00302C38">
        <w:t xml:space="preserve">mpliance with the </w:t>
      </w:r>
      <w:r w:rsidRPr="00EC553C" w:rsidR="00D019E4">
        <w:t xml:space="preserve">Satellite </w:t>
      </w:r>
      <w:r w:rsidRPr="00EC553C">
        <w:t xml:space="preserve">Rules.  </w:t>
      </w:r>
      <w:r w:rsidRPr="00EC553C" w:rsidR="00F915DC">
        <w:t>Harris</w:t>
      </w:r>
      <w:r w:rsidRPr="00EC553C" w:rsidR="000E4203">
        <w:t xml:space="preserve"> </w:t>
      </w:r>
      <w:r w:rsidRPr="00EC553C">
        <w:t>shall periodically review and revise the Compliance Manual as necessary to ensure that the information set forth therein remains current and accurate</w:t>
      </w:r>
      <w:r w:rsidRPr="00EC553C" w:rsidR="00F915DC">
        <w:t>. Harris</w:t>
      </w:r>
      <w:r w:rsidRPr="00EC553C" w:rsidR="00E443C3">
        <w:t xml:space="preserve"> </w:t>
      </w:r>
      <w:r w:rsidRPr="00EC553C">
        <w:t xml:space="preserve">shall distribute any revisions to the Compliance Manual promptly to </w:t>
      </w:r>
      <w:r w:rsidRPr="00EC553C" w:rsidR="006E4E12">
        <w:t xml:space="preserve">all </w:t>
      </w:r>
      <w:r w:rsidRPr="00EC553C">
        <w:t>Covered Employees.</w:t>
      </w:r>
    </w:p>
    <w:p w:rsidR="0055035F" w:rsidRPr="00EC553C" w:rsidP="00C325DF" w14:paraId="1C0BE4F7" w14:textId="305A95C5">
      <w:pPr>
        <w:numPr>
          <w:ilvl w:val="0"/>
          <w:numId w:val="6"/>
        </w:numPr>
        <w:tabs>
          <w:tab w:val="clear" w:pos="1656"/>
        </w:tabs>
        <w:spacing w:after="120"/>
        <w:ind w:left="1886"/>
      </w:pPr>
      <w:bookmarkStart w:id="11" w:name="_Hlk527554262"/>
      <w:r w:rsidRPr="00EC553C">
        <w:rPr>
          <w:b/>
          <w:u w:val="single"/>
        </w:rPr>
        <w:t>Compliance Training Program</w:t>
      </w:r>
      <w:r w:rsidRPr="00EC553C">
        <w:t xml:space="preserve">.  </w:t>
      </w:r>
      <w:r w:rsidRPr="00EC553C" w:rsidR="00F915DC">
        <w:t>Harris</w:t>
      </w:r>
      <w:r w:rsidRPr="00EC553C" w:rsidR="00E443C3">
        <w:t xml:space="preserve"> </w:t>
      </w:r>
      <w:r w:rsidRPr="00EC553C">
        <w:t xml:space="preserve">shall establish and implement a Compliance Training Program </w:t>
      </w:r>
      <w:r w:rsidRPr="00EC553C" w:rsidR="00C325DF">
        <w:t>to ensure</w:t>
      </w:r>
      <w:r w:rsidRPr="00EC553C">
        <w:t xml:space="preserve"> </w:t>
      </w:r>
      <w:r w:rsidR="009A2862">
        <w:t>Covered Employees comply</w:t>
      </w:r>
      <w:r w:rsidRPr="00EC553C" w:rsidR="009A2862">
        <w:t xml:space="preserve"> </w:t>
      </w:r>
      <w:r w:rsidRPr="00EC553C" w:rsidR="00302C38">
        <w:t xml:space="preserve">with the </w:t>
      </w:r>
      <w:r w:rsidRPr="00EC553C" w:rsidR="00D019E4">
        <w:t xml:space="preserve">Satellite </w:t>
      </w:r>
      <w:r w:rsidRPr="00EC553C">
        <w:t xml:space="preserve">Rules and the Operating Procedures.  As part of the Compliance Training Program, Covered Employees shall be advised of </w:t>
      </w:r>
      <w:r w:rsidRPr="00EC553C" w:rsidR="00F915DC">
        <w:t>Harris’s</w:t>
      </w:r>
      <w:r w:rsidRPr="00EC553C">
        <w:t xml:space="preserve"> obligation to report any noncomplia</w:t>
      </w:r>
      <w:r w:rsidRPr="00EC553C" w:rsidR="00302C38">
        <w:t xml:space="preserve">nce with the </w:t>
      </w:r>
      <w:r w:rsidRPr="00EC553C" w:rsidR="00D019E4">
        <w:t xml:space="preserve">Satellite </w:t>
      </w:r>
      <w:r w:rsidRPr="00EC553C" w:rsidR="00B72844">
        <w:t>Rules under the next paragraph</w:t>
      </w:r>
      <w:r w:rsidRPr="00EC553C">
        <w:t xml:space="preserve"> of this Consent Decree and shall be instructed on how to disclose noncompliance to the Compliance Officer.  All Covered Employees shall be trained pursuant to the Compliance Training Program within </w:t>
      </w:r>
      <w:r w:rsidR="00000535">
        <w:t xml:space="preserve">ninety (90) </w:t>
      </w:r>
      <w:r w:rsidRPr="00EC553C">
        <w:t>calendar days after the Effe</w:t>
      </w:r>
      <w:r w:rsidRPr="00EC553C" w:rsidR="00302C38">
        <w:t>ctive Date, except</w:t>
      </w:r>
      <w:r w:rsidRPr="00EC553C" w:rsidR="00BD5BEC">
        <w:t xml:space="preserve"> that a</w:t>
      </w:r>
      <w:r w:rsidRPr="00EC553C">
        <w:t xml:space="preserve">ny person who becomes a Covered </w:t>
      </w:r>
      <w:r w:rsidRPr="00EC553C" w:rsidR="00036B37">
        <w:t>Employee at any time after the i</w:t>
      </w:r>
      <w:r w:rsidRPr="00EC553C">
        <w:t xml:space="preserve">nitial </w:t>
      </w:r>
      <w:r w:rsidRPr="00EC553C" w:rsidR="006F7147">
        <w:t xml:space="preserve">Compliance </w:t>
      </w:r>
      <w:r w:rsidRPr="00EC553C">
        <w:t xml:space="preserve">Training Program shall be trained within thirty (30) calendar days after the date such person becomes a Covered Employee.  </w:t>
      </w:r>
      <w:r w:rsidRPr="00EC553C" w:rsidR="00F915DC">
        <w:t>Harris</w:t>
      </w:r>
      <w:r w:rsidRPr="00EC553C" w:rsidR="00EA12C6">
        <w:t xml:space="preserve"> </w:t>
      </w:r>
      <w:r w:rsidRPr="00EC553C" w:rsidR="00036B37">
        <w:t>shall repeat</w:t>
      </w:r>
      <w:r w:rsidRPr="00EC553C">
        <w:t xml:space="preserve"> compliance training on an annual basis, and shall periodically review and revise the Compliance Training Program as necessary to ensure that it remains current and complete and to enhance its effectiveness.</w:t>
      </w:r>
    </w:p>
    <w:p w:rsidR="00E02214" w:rsidRPr="00EC553C" w:rsidP="009148E7" w14:paraId="0F5B92A1" w14:textId="62F1B578">
      <w:pPr>
        <w:pStyle w:val="ParaNum"/>
      </w:pPr>
      <w:bookmarkStart w:id="12" w:name="_Ref527555024"/>
      <w:bookmarkStart w:id="13" w:name="_Ref321323028"/>
      <w:bookmarkEnd w:id="11"/>
      <w:r w:rsidRPr="00EC553C">
        <w:rPr>
          <w:b/>
          <w:u w:val="single"/>
        </w:rPr>
        <w:t>Reporting Noncompliance</w:t>
      </w:r>
      <w:r w:rsidRPr="00EC553C">
        <w:t xml:space="preserve">.  </w:t>
      </w:r>
      <w:bookmarkStart w:id="14" w:name="_Hlk19003892"/>
      <w:r w:rsidRPr="00EC553C" w:rsidR="00F915DC">
        <w:t>Harris</w:t>
      </w:r>
      <w:r w:rsidRPr="00EC553C" w:rsidR="00E443C3">
        <w:t xml:space="preserve"> </w:t>
      </w:r>
      <w:r w:rsidRPr="00EC553C">
        <w:t xml:space="preserve">shall report any noncompliance with the </w:t>
      </w:r>
      <w:r w:rsidRPr="00EC553C" w:rsidR="00D019E4">
        <w:t xml:space="preserve">Satellite </w:t>
      </w:r>
      <w:r w:rsidRPr="00EC553C">
        <w:t xml:space="preserve">Rules and with the terms and conditions of this Consent Decree within fifteen (15) calendar days after </w:t>
      </w:r>
      <w:r w:rsidR="009A2862">
        <w:t xml:space="preserve">reasonable </w:t>
      </w:r>
      <w:r w:rsidRPr="00EC553C">
        <w:t xml:space="preserve">discovery of such noncompliance.  </w:t>
      </w:r>
      <w:bookmarkEnd w:id="14"/>
      <w:r w:rsidRPr="00EC553C">
        <w:t>Such reports shall include a detailed explanation of</w:t>
      </w:r>
      <w:r w:rsidRPr="00EC553C" w:rsidR="008A7975">
        <w:t xml:space="preserve">: </w:t>
      </w:r>
      <w:r w:rsidRPr="00EC553C">
        <w:t>(</w:t>
      </w:r>
      <w:r w:rsidRPr="00EC553C">
        <w:t>i</w:t>
      </w:r>
      <w:r w:rsidRPr="00EC553C">
        <w:t xml:space="preserve">) each instance of noncompliance; (ii) the steps that </w:t>
      </w:r>
      <w:r w:rsidRPr="00EC553C" w:rsidR="00F915DC">
        <w:t>Harris</w:t>
      </w:r>
      <w:r w:rsidRPr="00EC553C" w:rsidR="003533DC">
        <w:t xml:space="preserve"> </w:t>
      </w:r>
      <w:r w:rsidRPr="00EC553C">
        <w:t xml:space="preserve">has taken or will take to remedy such noncompliance; (iii) the schedule on which such remedial actions will be taken; and (iv) the steps that </w:t>
      </w:r>
      <w:r w:rsidRPr="00EC553C" w:rsidR="00F915DC">
        <w:t>Harris</w:t>
      </w:r>
      <w:r w:rsidRPr="00EC553C" w:rsidR="00E443C3">
        <w:t xml:space="preserve"> </w:t>
      </w:r>
      <w:r w:rsidRPr="00EC553C">
        <w:t xml:space="preserve">has taken or will take to prevent the recurrence of any such noncompliance.  All reports of noncompliance shall be submitted </w:t>
      </w:r>
      <w:r w:rsidRPr="00EC553C" w:rsidR="00AA43E1">
        <w:t xml:space="preserve">electronically </w:t>
      </w:r>
      <w:r w:rsidRPr="00EC553C">
        <w:t>to</w:t>
      </w:r>
      <w:r w:rsidRPr="00EC553C" w:rsidR="00BE103C">
        <w:t xml:space="preserve"> </w:t>
      </w:r>
      <w:r w:rsidRPr="00EC553C" w:rsidR="00FE7846">
        <w:t>Chief, Spectrum Enforcement Division, Enforcement Bureau, Federal Communications Commission</w:t>
      </w:r>
      <w:r w:rsidRPr="00EC553C" w:rsidR="00AA43E1">
        <w:t xml:space="preserve"> at</w:t>
      </w:r>
      <w:r w:rsidRPr="00EC553C" w:rsidR="00FE7846">
        <w:t xml:space="preserve"> </w:t>
      </w:r>
      <w:hyperlink r:id="rId8" w:history="1">
        <w:r w:rsidRPr="00D66A0F" w:rsidR="001D4C11">
          <w:rPr>
            <w:rStyle w:val="Hyperlink"/>
          </w:rPr>
          <w:t>EB-SED-Response@fcc.gov</w:t>
        </w:r>
      </w:hyperlink>
      <w:r w:rsidRPr="00CA4AB8" w:rsidR="00563F0B">
        <w:rPr>
          <w:rStyle w:val="Hyperlink"/>
          <w:u w:val="none"/>
        </w:rPr>
        <w:t>,</w:t>
      </w:r>
      <w:r w:rsidR="00563F0B">
        <w:t xml:space="preserve"> and to Eric Ehrenreich, </w:t>
      </w:r>
      <w:r w:rsidRPr="00EC553C" w:rsidR="00563F0B">
        <w:t>Spectrum Enforcement Division, Enforcement Bureau, Federal Communications Commission at</w:t>
      </w:r>
      <w:r w:rsidR="00563F0B">
        <w:t xml:space="preserve"> </w:t>
      </w:r>
      <w:hyperlink r:id="rId9" w:history="1">
        <w:r w:rsidRPr="007640E2" w:rsidR="00A555A6">
          <w:rPr>
            <w:rStyle w:val="Hyperlink"/>
          </w:rPr>
          <w:t>Eric.Ehrenreich@fcc.gov</w:t>
        </w:r>
      </w:hyperlink>
      <w:bookmarkEnd w:id="12"/>
      <w:bookmarkEnd w:id="13"/>
      <w:r w:rsidR="00A555A6">
        <w:t>.</w:t>
      </w:r>
    </w:p>
    <w:p w:rsidR="00E02214" w:rsidRPr="00EC553C" w:rsidP="00177B3F" w14:paraId="346DFFB7" w14:textId="0124B7D1">
      <w:pPr>
        <w:pStyle w:val="ParaNum"/>
        <w:rPr>
          <w:caps/>
        </w:rPr>
      </w:pPr>
      <w:bookmarkStart w:id="15" w:name="_Ref379202892"/>
      <w:bookmarkStart w:id="16" w:name="_Ref527555933"/>
      <w:r w:rsidRPr="00EC553C">
        <w:rPr>
          <w:b/>
          <w:u w:val="single"/>
        </w:rPr>
        <w:t>Compliance Reports</w:t>
      </w:r>
      <w:r w:rsidRPr="00EC553C">
        <w:t xml:space="preserve">.  </w:t>
      </w:r>
      <w:r w:rsidRPr="00EC553C" w:rsidR="00F915DC">
        <w:t>Harris</w:t>
      </w:r>
      <w:r w:rsidRPr="00EC553C" w:rsidR="002222F0">
        <w:t xml:space="preserve"> </w:t>
      </w:r>
      <w:r w:rsidRPr="00EC553C">
        <w:t xml:space="preserve">shall file </w:t>
      </w:r>
      <w:r w:rsidRPr="00EC553C" w:rsidR="00014484">
        <w:t>c</w:t>
      </w:r>
      <w:r w:rsidRPr="00EC553C">
        <w:t xml:space="preserve">ompliance </w:t>
      </w:r>
      <w:r w:rsidRPr="00EC553C" w:rsidR="00014484">
        <w:t>r</w:t>
      </w:r>
      <w:r w:rsidRPr="00EC553C">
        <w:t>eport</w:t>
      </w:r>
      <w:r w:rsidR="009A3F3F">
        <w:t>s</w:t>
      </w:r>
      <w:r w:rsidRPr="00EC553C">
        <w:t xml:space="preserve"> with the Commission </w:t>
      </w:r>
      <w:r w:rsidRPr="00EC553C" w:rsidR="00177B3F">
        <w:t>ninety (90) calendar days after the Effective Date,</w:t>
      </w:r>
      <w:r w:rsidRPr="00EC553C" w:rsidR="006262FD">
        <w:t xml:space="preserve"> six (6) months</w:t>
      </w:r>
      <w:r w:rsidRPr="00EC553C" w:rsidR="00177B3F">
        <w:t xml:space="preserve"> </w:t>
      </w:r>
      <w:r w:rsidRPr="00EC553C" w:rsidR="006262FD">
        <w:t xml:space="preserve">after the Effective Date, </w:t>
      </w:r>
      <w:r w:rsidRPr="00EC553C" w:rsidR="00177B3F">
        <w:t xml:space="preserve">twelve (12) months after the Effective Date, </w:t>
      </w:r>
      <w:r w:rsidRPr="00EC553C" w:rsidR="006262FD">
        <w:t xml:space="preserve">eighteen (18) months after the Effective Date, </w:t>
      </w:r>
      <w:r w:rsidRPr="00EC553C" w:rsidR="00177B3F">
        <w:t xml:space="preserve">twenty-four (24) months after the Effective Date, </w:t>
      </w:r>
      <w:r w:rsidRPr="00EC553C" w:rsidR="006262FD">
        <w:t xml:space="preserve">thirty (30) months after the Effective Date, </w:t>
      </w:r>
      <w:r w:rsidRPr="00EC553C" w:rsidR="00EC553C">
        <w:t xml:space="preserve">and </w:t>
      </w:r>
      <w:r w:rsidRPr="00EC553C" w:rsidR="00177B3F">
        <w:t>thirty-six (36) months after the Effective Date</w:t>
      </w:r>
      <w:r w:rsidRPr="00EC553C" w:rsidR="00EC27C5">
        <w:t>.</w:t>
      </w:r>
      <w:bookmarkEnd w:id="15"/>
      <w:bookmarkEnd w:id="16"/>
      <w:r w:rsidRPr="00EC553C" w:rsidR="003533DC">
        <w:t xml:space="preserve">  </w:t>
      </w:r>
    </w:p>
    <w:p w:rsidR="00E02214" w:rsidRPr="00EC553C" w:rsidP="00F60217" w14:paraId="7AF7D323" w14:textId="6D72942E">
      <w:pPr>
        <w:numPr>
          <w:ilvl w:val="0"/>
          <w:numId w:val="7"/>
        </w:numPr>
        <w:tabs>
          <w:tab w:val="clear" w:pos="1782"/>
        </w:tabs>
        <w:spacing w:after="120"/>
        <w:ind w:left="1886"/>
      </w:pPr>
      <w:r w:rsidRPr="00EC553C">
        <w:t xml:space="preserve">Each Compliance Report shall include a detailed description of </w:t>
      </w:r>
      <w:r w:rsidRPr="00EC553C" w:rsidR="00F915DC">
        <w:t>Harris’s</w:t>
      </w:r>
      <w:r w:rsidRPr="00EC553C">
        <w:t xml:space="preserve"> efforts during the relevant period to comply with the terms and conditions of this Consent Decree and the </w:t>
      </w:r>
      <w:r w:rsidRPr="00EC553C" w:rsidR="00D019E4">
        <w:t xml:space="preserve">Satellite </w:t>
      </w:r>
      <w:r w:rsidRPr="00EC553C">
        <w:t xml:space="preserve">Rules.  In addition, each Compliance Report shall include a certification by the Compliance Officer, as an agent of and on behalf of </w:t>
      </w:r>
      <w:r w:rsidRPr="00EC553C" w:rsidR="00F915DC">
        <w:t>Harris</w:t>
      </w:r>
      <w:r w:rsidRPr="00EC553C">
        <w:t xml:space="preserve">, </w:t>
      </w:r>
      <w:r w:rsidRPr="00EC553C">
        <w:t xml:space="preserve">stating that the Compliance Officer has personal knowledge that </w:t>
      </w:r>
      <w:r w:rsidRPr="00EC553C" w:rsidR="00F915DC">
        <w:t>Harris</w:t>
      </w:r>
      <w:r w:rsidRPr="00EC553C" w:rsidR="003533DC">
        <w:t>:</w:t>
      </w:r>
      <w:r w:rsidRPr="00EC553C" w:rsidR="00EA12C6">
        <w:t xml:space="preserve"> </w:t>
      </w:r>
      <w:r w:rsidRPr="00EC553C">
        <w:t>(</w:t>
      </w:r>
      <w:r w:rsidRPr="00EC553C">
        <w:t>i</w:t>
      </w:r>
      <w:r w:rsidRPr="00EC553C">
        <w:t>)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sidRPr="00EC553C" w:rsidR="00757D0C">
        <w:t xml:space="preserve"> </w:t>
      </w:r>
      <w:r w:rsidRPr="00EC553C" w:rsidR="004C0262">
        <w:fldChar w:fldCharType="begin"/>
      </w:r>
      <w:r w:rsidRPr="00EC553C" w:rsidR="004C0262">
        <w:instrText xml:space="preserve"> REF _Ref527555024 \r \h </w:instrText>
      </w:r>
      <w:r w:rsidRPr="00EC553C" w:rsidR="00A63672">
        <w:instrText xml:space="preserve"> \* MERGEFORMAT </w:instrText>
      </w:r>
      <w:r w:rsidRPr="00EC553C" w:rsidR="004C0262">
        <w:fldChar w:fldCharType="separate"/>
      </w:r>
      <w:r w:rsidR="003B2E8F">
        <w:t>15</w:t>
      </w:r>
      <w:r w:rsidRPr="00EC553C" w:rsidR="004C0262">
        <w:fldChar w:fldCharType="end"/>
      </w:r>
      <w:r w:rsidRPr="00EC553C">
        <w:t xml:space="preserve"> of this Consent Decree.</w:t>
      </w:r>
    </w:p>
    <w:p w:rsidR="00E02214" w:rsidRPr="00EC553C" w:rsidP="00F60217" w14:paraId="106BE6BF" w14:textId="78AC7ED3">
      <w:pPr>
        <w:numPr>
          <w:ilvl w:val="0"/>
          <w:numId w:val="7"/>
        </w:numPr>
        <w:tabs>
          <w:tab w:val="clear" w:pos="1782"/>
        </w:tabs>
        <w:spacing w:after="120"/>
        <w:ind w:left="1886"/>
      </w:pPr>
      <w:r w:rsidRPr="00EC553C">
        <w:t xml:space="preserve">The Compliance Officer’s certification shall be accompanied by a statement explaining the basis for such certification and shall comply with </w:t>
      </w:r>
      <w:r w:rsidR="009A3F3F">
        <w:t>s</w:t>
      </w:r>
      <w:r w:rsidRPr="00EC553C">
        <w:t>ection 1.16 of the Rules and be subscribed to as true under penalty of perjury in substantially the form set forth therein.</w:t>
      </w:r>
      <w:r>
        <w:rPr>
          <w:rStyle w:val="FootnoteReference"/>
          <w:sz w:val="22"/>
        </w:rPr>
        <w:footnoteReference w:id="19"/>
      </w:r>
    </w:p>
    <w:p w:rsidR="00E02214" w:rsidRPr="00EC553C" w:rsidP="00F60217" w14:paraId="167FD8C6" w14:textId="149CE8E9">
      <w:pPr>
        <w:numPr>
          <w:ilvl w:val="0"/>
          <w:numId w:val="7"/>
        </w:numPr>
        <w:tabs>
          <w:tab w:val="clear" w:pos="1782"/>
        </w:tabs>
        <w:spacing w:after="120"/>
        <w:ind w:left="1886"/>
      </w:pPr>
      <w:r w:rsidRPr="00EC553C">
        <w:t xml:space="preserve">If the Compliance Officer cannot provide the requisite certification, the Compliance Officer, as an agent of and on behalf of </w:t>
      </w:r>
      <w:r w:rsidRPr="00EC553C" w:rsidR="00F915DC">
        <w:t>Harris</w:t>
      </w:r>
      <w:r w:rsidRPr="00EC553C">
        <w:t>, shall provide the Commission with a detailed explanation of the reason(s) why and describe fully</w:t>
      </w:r>
      <w:r w:rsidRPr="00EC553C" w:rsidR="003533DC">
        <w:t>:</w:t>
      </w:r>
      <w:r w:rsidRPr="00EC553C">
        <w:t xml:space="preserve"> (</w:t>
      </w:r>
      <w:r w:rsidRPr="00EC553C">
        <w:t>i</w:t>
      </w:r>
      <w:r w:rsidRPr="00EC553C">
        <w:t xml:space="preserve">) each instance of noncompliance; (ii) the steps that </w:t>
      </w:r>
      <w:r w:rsidRPr="00EC553C" w:rsidR="00F915DC">
        <w:t>Harris</w:t>
      </w:r>
      <w:r w:rsidRPr="00EC553C">
        <w:t xml:space="preserve"> has taken or will take to remedy such noncompliance, including the schedule on which proposed remedial actions will be taken; and (iii) the steps that </w:t>
      </w:r>
      <w:r w:rsidRPr="00EC553C" w:rsidR="00F915DC">
        <w:t>Harris</w:t>
      </w:r>
      <w:r w:rsidRPr="00EC553C">
        <w:t xml:space="preserve"> has taken or will take to prevent the recurrence of any such noncompliance, including the schedule on which such preventive action will be taken.</w:t>
      </w:r>
    </w:p>
    <w:p w:rsidR="003533DC" w:rsidRPr="00EC553C" w:rsidP="003533DC" w14:paraId="41ABDDED" w14:textId="3E9CF74A">
      <w:pPr>
        <w:numPr>
          <w:ilvl w:val="0"/>
          <w:numId w:val="7"/>
        </w:numPr>
        <w:tabs>
          <w:tab w:val="clear" w:pos="1782"/>
        </w:tabs>
        <w:spacing w:after="120"/>
        <w:ind w:left="1886" w:hanging="450"/>
      </w:pPr>
      <w:r w:rsidRPr="00EC553C">
        <w:t>All Compliance Reports shall be submitted</w:t>
      </w:r>
      <w:r w:rsidRPr="00EC553C" w:rsidR="00AA43E1">
        <w:t xml:space="preserve"> electronically</w:t>
      </w:r>
      <w:r w:rsidRPr="00EC553C">
        <w:t xml:space="preserve"> </w:t>
      </w:r>
      <w:r w:rsidRPr="00EC553C" w:rsidR="007D43C0">
        <w:t xml:space="preserve">to Chief, Spectrum Enforcement Division, Enforcement Bureau, Federal Communications Commission, </w:t>
      </w:r>
      <w:r w:rsidRPr="00EC553C" w:rsidR="00AA43E1">
        <w:t xml:space="preserve">at </w:t>
      </w:r>
      <w:hyperlink r:id="rId8" w:history="1">
        <w:r w:rsidRPr="00D66A0F" w:rsidR="001D4C11">
          <w:rPr>
            <w:rStyle w:val="Hyperlink"/>
          </w:rPr>
          <w:t>EB-SED-Response@fcc.gov</w:t>
        </w:r>
      </w:hyperlink>
      <w:r w:rsidR="00563F0B">
        <w:t xml:space="preserve">, and to Eric Ehrenreich, </w:t>
      </w:r>
      <w:r w:rsidRPr="00EC553C" w:rsidR="00563F0B">
        <w:t>Spectrum Enforcement Division, Enforcement Bureau, Federal Communications Commission at</w:t>
      </w:r>
      <w:r w:rsidR="00563F0B">
        <w:t xml:space="preserve"> </w:t>
      </w:r>
      <w:hyperlink r:id="rId9" w:history="1">
        <w:r w:rsidRPr="007640E2" w:rsidR="00A555A6">
          <w:rPr>
            <w:rStyle w:val="Hyperlink"/>
          </w:rPr>
          <w:t>Eric.Ehrenreich@fcc.gov</w:t>
        </w:r>
      </w:hyperlink>
      <w:r w:rsidR="00563F0B">
        <w:t>.</w:t>
      </w:r>
      <w:r w:rsidR="00A555A6">
        <w:t xml:space="preserve"> </w:t>
      </w:r>
      <w:r w:rsidR="001D4C11">
        <w:t xml:space="preserve"> </w:t>
      </w:r>
      <w:r w:rsidRPr="00EC553C" w:rsidR="007D43C0">
        <w:t xml:space="preserve"> </w:t>
      </w:r>
    </w:p>
    <w:p w:rsidR="000D2AEF" w:rsidRPr="00EC553C" w:rsidP="000D2AEF" w14:paraId="796D9733" w14:textId="114C90E1">
      <w:pPr>
        <w:pStyle w:val="ParaNum"/>
      </w:pPr>
      <w:r w:rsidRPr="00EC553C">
        <w:rPr>
          <w:b/>
          <w:u w:val="single"/>
        </w:rPr>
        <w:t>Termination Date</w:t>
      </w:r>
      <w:r w:rsidRPr="00EC553C">
        <w:t xml:space="preserve">. </w:t>
      </w:r>
      <w:r w:rsidRPr="00EC553C">
        <w:rPr>
          <w:b/>
        </w:rPr>
        <w:t xml:space="preserve"> </w:t>
      </w:r>
      <w:r w:rsidRPr="00EC553C">
        <w:t xml:space="preserve">Unless stated otherwise, the requirements set forth in paragraphs </w:t>
      </w:r>
      <w:r w:rsidR="0032626E">
        <w:t>13</w:t>
      </w:r>
      <w:r w:rsidRPr="00EC553C" w:rsidR="0032626E">
        <w:t xml:space="preserve"> </w:t>
      </w:r>
      <w:r w:rsidRPr="00EC553C">
        <w:t xml:space="preserve">through </w:t>
      </w:r>
      <w:r w:rsidR="0032626E">
        <w:t>16</w:t>
      </w:r>
      <w:r w:rsidRPr="00EC553C" w:rsidR="0032626E">
        <w:t xml:space="preserve"> </w:t>
      </w:r>
      <w:r w:rsidRPr="00EC553C">
        <w:t xml:space="preserve">of this Consent Decree shall expire </w:t>
      </w:r>
      <w:r w:rsidR="0032626E">
        <w:t>thirty-six (36)</w:t>
      </w:r>
      <w:r w:rsidRPr="00EC553C">
        <w:t xml:space="preserve"> months after the Effective Date.  </w:t>
      </w:r>
    </w:p>
    <w:p w:rsidR="00EC553C" w:rsidRPr="00EC553C" w:rsidP="00EC553C" w14:paraId="6ACF6B46" w14:textId="360C9546">
      <w:pPr>
        <w:pStyle w:val="ParaNum"/>
      </w:pPr>
      <w:bookmarkStart w:id="17" w:name="_Ref357521957"/>
      <w:r w:rsidRPr="00EC553C">
        <w:rPr>
          <w:b/>
          <w:u w:val="single"/>
        </w:rPr>
        <w:t>Civil Penalty</w:t>
      </w:r>
      <w:r w:rsidRPr="00EC553C">
        <w:t>.</w:t>
      </w:r>
      <w:r w:rsidRPr="00EC553C">
        <w:t xml:space="preserve"> Harris will pay a civil penalty to the United States Treasury in the amount of </w:t>
      </w:r>
      <w:r w:rsidR="00C047C7">
        <w:t>$</w:t>
      </w:r>
      <w:r w:rsidR="001D4C11">
        <w:t>100,000</w:t>
      </w:r>
      <w:r w:rsidRPr="00EC553C" w:rsidR="001D4C11">
        <w:t xml:space="preserve"> </w:t>
      </w:r>
      <w:r w:rsidRPr="00EC553C">
        <w:t xml:space="preserve">within thirty (30) calendar days of the Effective Date.  Harris shall send electronic notification of payment to </w:t>
      </w:r>
      <w:hyperlink r:id="rId8" w:history="1">
        <w:r w:rsidRPr="007640E2" w:rsidR="00563F0B">
          <w:rPr>
            <w:rStyle w:val="Hyperlink"/>
          </w:rPr>
          <w:t>EB-SED-Response@fcc.gov</w:t>
        </w:r>
      </w:hyperlink>
      <w:r w:rsidR="00563F0B">
        <w:t xml:space="preserve">, and to Eric Ehrenreich, </w:t>
      </w:r>
      <w:r w:rsidRPr="00EC553C" w:rsidR="00563F0B">
        <w:t>Spectrum Enforcement Division, Enforcement Bureau, Federal Communications Commission at</w:t>
      </w:r>
      <w:r w:rsidR="00563F0B">
        <w:t xml:space="preserve"> </w:t>
      </w:r>
      <w:hyperlink r:id="rId9" w:history="1">
        <w:r w:rsidRPr="007640E2" w:rsidR="00A555A6">
          <w:rPr>
            <w:rStyle w:val="Hyperlink"/>
          </w:rPr>
          <w:t>Eric.Ehrenreich@fcc.gov</w:t>
        </w:r>
      </w:hyperlink>
      <w:r w:rsidR="00A555A6">
        <w:t xml:space="preserve">, </w:t>
      </w:r>
      <w:r w:rsidRPr="00EC553C">
        <w:t>on the date said payment is made.  Payment of the Civil Penalty must be made by credit card, ACH (Automated Clearing House) debit from a bank account using the Commission’s Fee Filer (the Commission’s online payment system),</w:t>
      </w:r>
      <w:r>
        <w:rPr>
          <w:rStyle w:val="FootnoteReference"/>
          <w:sz w:val="22"/>
        </w:rPr>
        <w:footnoteReference w:id="20"/>
      </w:r>
      <w:r w:rsidRPr="00EC553C">
        <w:t xml:space="preserve"> or by wire transfer.  The Commission no longer accepts Civil Penalty payments by check or money order.  Below are instructions that payors should follow based on the form of payment selected:</w:t>
      </w:r>
      <w:r>
        <w:rPr>
          <w:vertAlign w:val="superscript"/>
        </w:rPr>
        <w:footnoteReference w:id="21"/>
      </w:r>
      <w:r w:rsidRPr="00EC553C">
        <w:t xml:space="preserve"> </w:t>
      </w:r>
    </w:p>
    <w:p w:rsidR="00EC553C" w:rsidRPr="00EC553C" w:rsidP="00EC553C" w14:paraId="32535032" w14:textId="77777777">
      <w:pPr>
        <w:numPr>
          <w:ilvl w:val="0"/>
          <w:numId w:val="32"/>
        </w:numPr>
        <w:spacing w:after="120"/>
      </w:pPr>
      <w:r w:rsidRPr="00EC553C">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rPr>
        <w:footnoteReference w:id="22"/>
      </w:r>
      <w:r w:rsidRPr="00EC553C">
        <w:t xml:space="preserve">  For </w:t>
      </w:r>
      <w:r w:rsidRPr="00EC553C">
        <w:t xml:space="preserve">additional detail and wire transfer instructions, go to </w:t>
      </w:r>
      <w:hyperlink r:id="rId10" w:history="1">
        <w:r w:rsidRPr="00EC553C">
          <w:rPr>
            <w:rStyle w:val="Hyperlink"/>
          </w:rPr>
          <w:t>https://www.fcc.gov/licensing-databases/fees/wire-transfer</w:t>
        </w:r>
      </w:hyperlink>
      <w:r w:rsidRPr="00EC553C">
        <w:t xml:space="preserve">.  </w:t>
      </w:r>
    </w:p>
    <w:p w:rsidR="00EC553C" w:rsidRPr="00EC553C" w:rsidP="00EC553C" w14:paraId="41385A11" w14:textId="0C8A63CF">
      <w:pPr>
        <w:numPr>
          <w:ilvl w:val="0"/>
          <w:numId w:val="32"/>
        </w:numPr>
        <w:spacing w:after="120"/>
      </w:pPr>
      <w:r w:rsidRPr="00EC553C">
        <w:t xml:space="preserve">Payment by credit card must be made by using the Commission’s Fee Filer website at </w:t>
      </w:r>
      <w:hyperlink r:id="rId11" w:history="1">
        <w:r w:rsidRPr="00EC553C">
          <w:rPr>
            <w:rStyle w:val="Hyperlink"/>
          </w:rPr>
          <w:t>https://apps.fcc.gov/FeeFiler/login.cfm</w:t>
        </w:r>
      </w:hyperlink>
      <w:r w:rsidRPr="00EC553C">
        <w:t xml:space="preserve">.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w:t>
      </w:r>
      <w:r w:rsidR="009A3F3F">
        <w:t xml:space="preserve">IMPORTANT NOTE: </w:t>
      </w:r>
      <w:r w:rsidRPr="00EC553C">
        <w:t>there is a $24,999.99 limit on credit card transactions.</w:t>
      </w:r>
    </w:p>
    <w:p w:rsidR="000D2AEF" w:rsidRPr="00EC553C" w:rsidP="00EC553C" w14:paraId="3FFB48BC" w14:textId="3423C4A8">
      <w:pPr>
        <w:numPr>
          <w:ilvl w:val="0"/>
          <w:numId w:val="32"/>
        </w:numPr>
        <w:spacing w:after="120"/>
      </w:pPr>
      <w:r w:rsidRPr="00EC553C">
        <w:t xml:space="preserve">Payment by ACH must be made by using the Commission’s Fee Filer website at </w:t>
      </w:r>
      <w:hyperlink r:id="rId11" w:history="1">
        <w:r w:rsidRPr="00EC553C">
          <w:rPr>
            <w:rStyle w:val="Hyperlink"/>
          </w:rPr>
          <w:t>https://apps.fcc.gov/FeeFiler/login.cfm</w:t>
        </w:r>
      </w:hyperlink>
      <w:r w:rsidRPr="00EC553C">
        <w:t xml:space="preserve">.  To pay by ACH, log in using the FRN captioned above.   If payment must be split across FRNs, complete this process for each FRN.  Next, select “Pay bills” on the Fee Filer Menu and then select the bill number associated </w:t>
      </w:r>
      <w:r w:rsidR="009A3F3F">
        <w:t>with</w:t>
      </w:r>
      <w:r w:rsidRPr="00EC553C">
        <w:t xml:space="preserve"> the NAL Account – the bill number is the NAL Account number with the first two digits excluded </w:t>
      </w:r>
      <w:r w:rsidRPr="009A3F3F" w:rsidR="009A3F3F">
        <w:t xml:space="preserve">(e.g., NAL 1912345678 = FCC bill Number 12345678) </w:t>
      </w:r>
      <w:r w:rsidRPr="00EC553C">
        <w:t>–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EC553C">
        <w:rPr>
          <w:rFonts w:eastAsia="MS Mincho"/>
        </w:rPr>
        <w:t>.</w:t>
      </w:r>
    </w:p>
    <w:bookmarkEnd w:id="17"/>
    <w:p w:rsidR="000D2AEF" w:rsidRPr="00EC553C" w:rsidP="000D2AEF" w14:paraId="26221C74" w14:textId="485A3FAD">
      <w:pPr>
        <w:pStyle w:val="ParaNum"/>
      </w:pPr>
      <w:r w:rsidRPr="00EC553C">
        <w:rPr>
          <w:b/>
          <w:u w:val="single"/>
        </w:rPr>
        <w:t>Waivers</w:t>
      </w:r>
      <w:r w:rsidRPr="00EC553C">
        <w:t xml:space="preserve">.  As of the Effective Date, </w:t>
      </w:r>
      <w:r w:rsidRPr="00EC553C" w:rsidR="00F915DC">
        <w:t>Harris</w:t>
      </w:r>
      <w:r w:rsidRPr="00EC553C" w:rsidR="00E443C3">
        <w:t xml:space="preserve"> </w:t>
      </w:r>
      <w:r w:rsidRPr="00EC553C">
        <w:t xml:space="preserve">waives any and all rights it may have to seek administrative or judicial reconsideration, review, appeal or stay, or to otherwise challenge or contest the validity of this Consent Decree and the Adopting Order.  </w:t>
      </w:r>
      <w:r w:rsidRPr="00EC553C" w:rsidR="00F915DC">
        <w:t>Harris</w:t>
      </w:r>
      <w:r w:rsidRPr="00EC553C" w:rsidR="00E443C3">
        <w:t xml:space="preserve"> </w:t>
      </w:r>
      <w:r w:rsidRPr="00EC553C">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EC553C" w:rsidR="00F915DC">
        <w:t>Harris</w:t>
      </w:r>
      <w:r w:rsidRPr="00EC553C" w:rsidR="00E443C3">
        <w:t xml:space="preserve"> </w:t>
      </w:r>
      <w:r w:rsidRPr="00EC553C">
        <w:t xml:space="preserve">nor the Commission shall contest the validity of the Consent Decree or the Adopting Order, and </w:t>
      </w:r>
      <w:r w:rsidRPr="00EC553C" w:rsidR="00F915DC">
        <w:t>Harris</w:t>
      </w:r>
      <w:r w:rsidRPr="00EC553C">
        <w:t xml:space="preserve"> shall waive any statutory right to a trial </w:t>
      </w:r>
      <w:r w:rsidRPr="00EC553C">
        <w:rPr>
          <w:i/>
        </w:rPr>
        <w:t>de novo</w:t>
      </w:r>
      <w:r w:rsidRPr="00EC553C">
        <w:t xml:space="preserve">.  </w:t>
      </w:r>
      <w:r w:rsidRPr="00EC553C" w:rsidR="00930725">
        <w:t>Harris</w:t>
      </w:r>
      <w:r w:rsidRPr="00EC553C">
        <w:t xml:space="preserve"> hereby agrees to waive any claims it may otherwise have under the Equal Access to Justice Act</w:t>
      </w:r>
      <w:r>
        <w:rPr>
          <w:rStyle w:val="FootnoteReference"/>
          <w:sz w:val="22"/>
        </w:rPr>
        <w:footnoteReference w:id="23"/>
      </w:r>
      <w:r w:rsidRPr="00EC553C">
        <w:t xml:space="preserve"> relating to the matters addressed in this Consent Decree.</w:t>
      </w:r>
    </w:p>
    <w:p w:rsidR="000D2AEF" w:rsidRPr="00EC553C" w:rsidP="000D2AEF" w14:paraId="05AA64E9" w14:textId="77777777">
      <w:pPr>
        <w:pStyle w:val="ParaNum"/>
      </w:pPr>
      <w:r w:rsidRPr="00EC553C">
        <w:rPr>
          <w:b/>
          <w:u w:val="single"/>
        </w:rPr>
        <w:t>Severability</w:t>
      </w:r>
      <w:r w:rsidRPr="00EC553C">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D2AEF" w:rsidRPr="00EC553C" w:rsidP="000D2AEF" w14:paraId="74EDFF28" w14:textId="77777777">
      <w:pPr>
        <w:pStyle w:val="ParaNum"/>
      </w:pPr>
      <w:r w:rsidRPr="00EC553C">
        <w:rPr>
          <w:b/>
          <w:u w:val="single"/>
        </w:rPr>
        <w:t>Invalidity</w:t>
      </w:r>
      <w:r w:rsidRPr="00EC553C">
        <w:t>.  In the event that this Consent Decree in its entirety is rendered invalid by any court of competent jurisdiction, it shall become null and void and may not be used in any manner in any legal proceeding.</w:t>
      </w:r>
    </w:p>
    <w:p w:rsidR="000D2AEF" w:rsidRPr="00EC553C" w:rsidP="000D2AEF" w14:paraId="69628A6E" w14:textId="3B91DB9B">
      <w:pPr>
        <w:pStyle w:val="ParaNum"/>
      </w:pPr>
      <w:r w:rsidRPr="00EC553C">
        <w:rPr>
          <w:b/>
          <w:u w:val="single"/>
        </w:rPr>
        <w:t>Subsequent Rule or Order</w:t>
      </w:r>
      <w:r w:rsidRPr="00EC553C">
        <w:t xml:space="preserve">.  The Parties agree that if any provision of the Consent Decree conflicts with any subsequent Rule or Order adopted by the Commission (except an Order specifically intended to revise the terms of this Consent Decree to which </w:t>
      </w:r>
      <w:r w:rsidRPr="00EC553C" w:rsidR="002503D8">
        <w:t>Harris</w:t>
      </w:r>
      <w:r w:rsidRPr="00EC553C">
        <w:t xml:space="preserve"> does not expressly consent) that provision will be superseded by such Rule or Order.</w:t>
      </w:r>
    </w:p>
    <w:p w:rsidR="000D2AEF" w:rsidRPr="00EC553C" w:rsidP="000D2AEF" w14:paraId="04658331" w14:textId="203B8CDF">
      <w:pPr>
        <w:pStyle w:val="ParaNum"/>
      </w:pPr>
      <w:r w:rsidRPr="00EC553C">
        <w:rPr>
          <w:b/>
          <w:u w:val="single"/>
        </w:rPr>
        <w:t>Successors and Assigns</w:t>
      </w:r>
      <w:r w:rsidRPr="00EC553C">
        <w:t xml:space="preserve">.  </w:t>
      </w:r>
      <w:r w:rsidRPr="00EC553C" w:rsidR="002503D8">
        <w:t>Harris</w:t>
      </w:r>
      <w:r w:rsidRPr="00EC553C">
        <w:t xml:space="preserve"> agrees that the provisions of this Consent Decree shall be binding on its successors, assigns, and transferees.</w:t>
      </w:r>
    </w:p>
    <w:p w:rsidR="000D2AEF" w:rsidRPr="00EC553C" w:rsidP="000D2AEF" w14:paraId="4566B17D" w14:textId="77777777">
      <w:pPr>
        <w:pStyle w:val="ParaNum"/>
      </w:pPr>
      <w:r w:rsidRPr="00EC553C">
        <w:rPr>
          <w:b/>
          <w:u w:val="single"/>
        </w:rPr>
        <w:t>Final Settlement</w:t>
      </w:r>
      <w:r w:rsidRPr="00EC553C">
        <w:t>.  The Parties agree and acknowledge that this Consent Decree shall constitute a final settlement between the Parties with respect to the Investigation.   </w:t>
      </w:r>
    </w:p>
    <w:p w:rsidR="000D2AEF" w:rsidRPr="00EC553C" w:rsidP="002109A0" w14:paraId="0FB3D537" w14:textId="77777777">
      <w:pPr>
        <w:pStyle w:val="ParaNum"/>
        <w:widowControl/>
      </w:pPr>
      <w:r w:rsidRPr="00EC553C">
        <w:rPr>
          <w:b/>
          <w:u w:val="single"/>
        </w:rPr>
        <w:t>Modifications</w:t>
      </w:r>
      <w:r w:rsidRPr="00EC553C">
        <w:t>.  This Consent Decree cannot be modified without the advance written consent of both Parties.</w:t>
      </w:r>
    </w:p>
    <w:p w:rsidR="000D2AEF" w:rsidRPr="00EC553C" w:rsidP="000D2AEF" w14:paraId="0107596E" w14:textId="77777777">
      <w:pPr>
        <w:pStyle w:val="ParaNum"/>
      </w:pPr>
      <w:r w:rsidRPr="00EC553C">
        <w:rPr>
          <w:b/>
          <w:u w:val="single"/>
        </w:rPr>
        <w:t>Paragraph Headings</w:t>
      </w:r>
      <w:r w:rsidRPr="00EC553C">
        <w:t>.  The headings of the paragraphs in this Consent Decree are inserted for convenience only and are not intended to affect the meaning or interpretation of this Consent Decree.</w:t>
      </w:r>
    </w:p>
    <w:p w:rsidR="000D2AEF" w:rsidRPr="00EC553C" w:rsidP="000D2AEF" w14:paraId="11FE7827" w14:textId="77777777">
      <w:pPr>
        <w:pStyle w:val="ParaNum"/>
      </w:pPr>
      <w:r w:rsidRPr="00EC553C">
        <w:rPr>
          <w:b/>
          <w:u w:val="single"/>
        </w:rPr>
        <w:t>Authorized Representative</w:t>
      </w:r>
      <w:r w:rsidRPr="00EC553C">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D2AEF" w:rsidRPr="00EC553C" w:rsidP="009F2391" w14:paraId="6A542391" w14:textId="77777777">
      <w:pPr>
        <w:pStyle w:val="ParaNum"/>
        <w:keepNext/>
        <w:keepLines/>
      </w:pPr>
      <w:r w:rsidRPr="00EC553C">
        <w:rPr>
          <w:b/>
          <w:u w:val="single"/>
        </w:rPr>
        <w:t>Counterparts</w:t>
      </w:r>
      <w:r w:rsidRPr="00EC553C">
        <w:t>.  This Consent Decree may be signed in counterpart (including electronically or by facsimile).  Each counterpart, when executed and delivered, shall be an original, and all of the counterparts together shall constitute one and the same fully executed instrument.</w:t>
      </w:r>
    </w:p>
    <w:p w:rsidR="009442BA" w:rsidP="00CA4AB8" w14:paraId="6CBC8430" w14:textId="00DB9D85">
      <w:pPr>
        <w:keepNext/>
        <w:keepLines/>
      </w:pPr>
    </w:p>
    <w:p w:rsidR="009442BA" w:rsidP="00CA4AB8" w14:paraId="777E55AC" w14:textId="77777777">
      <w:pPr>
        <w:keepNext/>
        <w:keepLines/>
      </w:pPr>
    </w:p>
    <w:p w:rsidR="002D1477" w:rsidP="002D1477" w14:paraId="41F947EE" w14:textId="77777777">
      <w:pPr>
        <w:keepNext/>
        <w:keepLines/>
      </w:pPr>
      <w:r>
        <w:br/>
      </w:r>
      <w:r w:rsidRPr="00EC553C" w:rsidR="000D2AEF">
        <w:t>________________________________</w:t>
      </w:r>
    </w:p>
    <w:p w:rsidR="000D2AEF" w:rsidRPr="00EC553C" w:rsidP="00CA4AB8" w14:paraId="5D465D1A" w14:textId="02F9BDF6">
      <w:pPr>
        <w:keepNext/>
        <w:keepLines/>
      </w:pPr>
      <w:r w:rsidRPr="00EC553C">
        <w:t>Rosemary C. Harold</w:t>
      </w:r>
      <w:r w:rsidR="009A3F3F">
        <w:br/>
      </w:r>
      <w:r w:rsidRPr="00EC553C">
        <w:t>Chief</w:t>
      </w:r>
      <w:r w:rsidR="009A3F3F">
        <w:br/>
      </w:r>
      <w:r w:rsidRPr="00EC553C">
        <w:t>Enforcement Bureau</w:t>
      </w:r>
    </w:p>
    <w:p w:rsidR="000D2AEF" w:rsidRPr="00EC553C" w:rsidP="00CA4AB8" w14:paraId="7FBF7B0F" w14:textId="77777777">
      <w:pPr>
        <w:keepNext/>
        <w:keepLines/>
      </w:pPr>
    </w:p>
    <w:p w:rsidR="00D552E8" w:rsidP="00CA4AB8" w14:paraId="6056C494" w14:textId="77777777">
      <w:pPr>
        <w:keepNext/>
        <w:keepLines/>
      </w:pPr>
    </w:p>
    <w:p w:rsidR="000D2AEF" w:rsidRPr="00EC553C" w:rsidP="00CA4AB8" w14:paraId="1FDD74B3" w14:textId="395704E7">
      <w:pPr>
        <w:keepNext/>
        <w:keepLines/>
      </w:pPr>
      <w:r w:rsidRPr="00EC553C">
        <w:t>________________________________</w:t>
      </w:r>
      <w:r w:rsidR="00F44044">
        <w:br/>
      </w:r>
      <w:r w:rsidRPr="00EC553C">
        <w:t>Date</w:t>
      </w:r>
    </w:p>
    <w:p w:rsidR="000D2AEF" w:rsidRPr="00EC553C" w:rsidP="00CA4AB8" w14:paraId="0DD2A94F" w14:textId="77777777">
      <w:pPr>
        <w:keepNext/>
        <w:keepLines/>
      </w:pPr>
    </w:p>
    <w:p w:rsidR="000D2AEF" w:rsidRPr="00EC553C" w:rsidP="00CA4AB8" w14:paraId="0EF60AE9" w14:textId="77777777">
      <w:pPr>
        <w:keepNext/>
        <w:keepLines/>
      </w:pPr>
    </w:p>
    <w:p w:rsidR="000D2AEF" w:rsidRPr="00EC553C" w:rsidP="00CA4AB8" w14:paraId="5FA77C5F" w14:textId="1207C446">
      <w:pPr>
        <w:keepNext/>
        <w:keepLines/>
      </w:pPr>
      <w:r w:rsidRPr="00EC553C">
        <w:t>________________________________</w:t>
      </w:r>
      <w:r w:rsidR="00F44044">
        <w:br/>
      </w:r>
      <w:r w:rsidRPr="008D7CF6" w:rsidR="008D7CF6">
        <w:t xml:space="preserve">Scott </w:t>
      </w:r>
      <w:r w:rsidRPr="008D7CF6" w:rsidR="008D7CF6">
        <w:t>Mikuen</w:t>
      </w:r>
      <w:r w:rsidR="00F44044">
        <w:br/>
      </w:r>
      <w:r w:rsidRPr="008D7CF6" w:rsidR="008D7CF6">
        <w:t>Senior Vice President, General Counsel and Secretary</w:t>
      </w:r>
      <w:r w:rsidR="00F44044">
        <w:br/>
      </w:r>
      <w:r w:rsidRPr="008D7CF6" w:rsidR="008D7CF6">
        <w:t>L3Harris Technologies, Inc.</w:t>
      </w:r>
    </w:p>
    <w:p w:rsidR="000D2AEF" w:rsidRPr="00EC553C" w:rsidP="00CA4AB8" w14:paraId="375B2A4B" w14:textId="77777777">
      <w:pPr>
        <w:keepLines/>
      </w:pPr>
    </w:p>
    <w:p w:rsidR="00D552E8" w:rsidP="00D552E8" w14:paraId="34AFD034" w14:textId="5E7A5C6F">
      <w:pPr>
        <w:keepLines/>
      </w:pPr>
    </w:p>
    <w:p w:rsidR="00CA4AB8" w:rsidP="00CA4AB8" w14:paraId="557F485E" w14:textId="77777777">
      <w:pPr>
        <w:keepLines/>
      </w:pPr>
      <w:r w:rsidRPr="00EC553C">
        <w:t>________________________________</w:t>
      </w:r>
    </w:p>
    <w:p w:rsidR="00D019E4" w:rsidRPr="00EC553C" w:rsidP="00CA4AB8" w14:paraId="03926CDB" w14:textId="55346122">
      <w:pPr>
        <w:keepLines/>
      </w:pPr>
      <w:r w:rsidRPr="00EC553C">
        <w:t>Date</w:t>
      </w:r>
    </w:p>
    <w:sectPr w:rsidSect="009F2391">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720DDA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215" w14:paraId="5E2CA403" w14:textId="77777777">
      <w:r>
        <w:separator/>
      </w:r>
    </w:p>
  </w:footnote>
  <w:footnote w:type="continuationSeparator" w:id="1">
    <w:p w:rsidR="002D7215" w:rsidP="00C721AC" w14:paraId="2CACC245" w14:textId="77777777">
      <w:pPr>
        <w:spacing w:before="120"/>
        <w:rPr>
          <w:sz w:val="20"/>
        </w:rPr>
      </w:pPr>
      <w:r>
        <w:rPr>
          <w:sz w:val="20"/>
        </w:rPr>
        <w:t xml:space="preserve">(Continued from previous page)  </w:t>
      </w:r>
      <w:r>
        <w:rPr>
          <w:sz w:val="20"/>
        </w:rPr>
        <w:separator/>
      </w:r>
    </w:p>
  </w:footnote>
  <w:footnote w:type="continuationNotice" w:id="2">
    <w:p w:rsidR="002D7215" w:rsidP="00C721AC" w14:paraId="3DC5F88B" w14:textId="77777777">
      <w:pPr>
        <w:jc w:val="right"/>
        <w:rPr>
          <w:sz w:val="20"/>
        </w:rPr>
      </w:pPr>
    </w:p>
  </w:footnote>
  <w:footnote w:id="3">
    <w:p w:rsidR="00C65B32" w:rsidRPr="00D84548" w:rsidP="00C65B32" w14:paraId="0A3E5478"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301</w:t>
      </w:r>
      <w:r w:rsidRPr="00D84548">
        <w:rPr>
          <w:szCs w:val="22"/>
        </w:rPr>
        <w:t>.</w:t>
      </w:r>
      <w:r w:rsidRPr="00D84548">
        <w:rPr>
          <w:szCs w:val="22"/>
        </w:rPr>
        <w:tab/>
      </w:r>
    </w:p>
  </w:footnote>
  <w:footnote w:id="4">
    <w:p w:rsidR="00C65B32" w:rsidRPr="00D84548" w:rsidP="00C65B32" w14:paraId="143B394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w:t>
      </w:r>
      <w:r w:rsidRPr="00A817CE">
        <w:rPr>
          <w:szCs w:val="22"/>
        </w:rPr>
        <w:t>5.53, 25.102</w:t>
      </w:r>
      <w:r w:rsidRPr="00D84548">
        <w:rPr>
          <w:szCs w:val="22"/>
        </w:rPr>
        <w:t>.</w:t>
      </w:r>
    </w:p>
  </w:footnote>
  <w:footnote w:id="5">
    <w:p w:rsidR="00C65B32" w:rsidRPr="00F74D07" w:rsidP="00C65B32" w14:paraId="3F11A07A" w14:textId="77777777">
      <w:pPr>
        <w:pStyle w:val="FootnoteText"/>
      </w:pPr>
      <w:r>
        <w:rPr>
          <w:rStyle w:val="FootnoteReference"/>
        </w:rPr>
        <w:footnoteRef/>
      </w:r>
      <w:r>
        <w:t xml:space="preserve"> </w:t>
      </w:r>
      <w:r>
        <w:rPr>
          <w:i/>
        </w:rPr>
        <w:t xml:space="preserve">See </w:t>
      </w:r>
      <w:r>
        <w:t>47 CFR § 1.93(b).</w:t>
      </w:r>
    </w:p>
  </w:footnote>
  <w:footnote w:id="6">
    <w:p w:rsidR="00C65B32" w:rsidRPr="00D84548" w:rsidP="00C65B32" w14:paraId="224644EF" w14:textId="77777777">
      <w:pPr>
        <w:pStyle w:val="FootnoteText"/>
      </w:pPr>
      <w:r w:rsidRPr="00D84548">
        <w:rPr>
          <w:rStyle w:val="FootnoteReference"/>
        </w:rPr>
        <w:footnoteRef/>
      </w:r>
      <w:r w:rsidRPr="00D84548">
        <w:t xml:space="preserve"> </w:t>
      </w:r>
      <w:r w:rsidRPr="00D84548">
        <w:rPr>
          <w:szCs w:val="22"/>
        </w:rPr>
        <w:t>47 U.S.C. § 154(</w:t>
      </w:r>
      <w:r w:rsidRPr="00D84548">
        <w:rPr>
          <w:szCs w:val="22"/>
        </w:rPr>
        <w:t>i</w:t>
      </w:r>
      <w:r>
        <w:rPr>
          <w:szCs w:val="22"/>
        </w:rPr>
        <w:t>)</w:t>
      </w:r>
      <w:r w:rsidRPr="00D84548">
        <w:rPr>
          <w:szCs w:val="22"/>
        </w:rPr>
        <w:t>.</w:t>
      </w:r>
    </w:p>
  </w:footnote>
  <w:footnote w:id="7">
    <w:p w:rsidR="00C65B32" w:rsidP="00C65B32" w14:paraId="7CCF4BC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D73114" w14:paraId="2F61BACD" w14:textId="61158CD6">
      <w:pPr>
        <w:pStyle w:val="FootnoteText"/>
      </w:pPr>
      <w:r>
        <w:rPr>
          <w:rStyle w:val="FootnoteReference"/>
        </w:rPr>
        <w:footnoteRef/>
      </w:r>
      <w:r>
        <w:t xml:space="preserve"> </w:t>
      </w:r>
      <w:bookmarkStart w:id="1" w:name="_Hlk511637840"/>
      <w:r w:rsidRPr="00265D6F">
        <w:t xml:space="preserve">47 U.S.C. § </w:t>
      </w:r>
      <w:r>
        <w:t>301</w:t>
      </w:r>
      <w:bookmarkEnd w:id="1"/>
      <w:r>
        <w:t>.</w:t>
      </w:r>
    </w:p>
  </w:footnote>
  <w:footnote w:id="9">
    <w:p w:rsidR="003433AA" w:rsidRPr="00250907" w:rsidP="003433AA" w14:paraId="6668E2B3" w14:textId="07357CE9">
      <w:pPr>
        <w:pStyle w:val="FootnoteText"/>
      </w:pPr>
      <w:r w:rsidRPr="00265D6F">
        <w:rPr>
          <w:rStyle w:val="FootnoteReference"/>
        </w:rPr>
        <w:footnoteRef/>
      </w:r>
      <w:r w:rsidRPr="00265D6F">
        <w:t xml:space="preserve"> </w:t>
      </w:r>
      <w:r w:rsidRPr="00250907">
        <w:t xml:space="preserve">47 CFR §§ </w:t>
      </w:r>
      <w:r w:rsidRPr="00E14324">
        <w:t>5.53, 25.102</w:t>
      </w:r>
      <w:r w:rsidRPr="00250907">
        <w:t>.</w:t>
      </w:r>
    </w:p>
  </w:footnote>
  <w:footnote w:id="10">
    <w:p w:rsidR="000D2AEF" w:rsidP="000D2AEF" w14:paraId="445CDBB5"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0F6512" w14:paraId="5A4E8BBF" w14:textId="7503365C">
      <w:pPr>
        <w:pStyle w:val="FootnoteText"/>
      </w:pPr>
      <w:r>
        <w:rPr>
          <w:rStyle w:val="FootnoteReference"/>
        </w:rPr>
        <w:footnoteRef/>
      </w:r>
      <w:r>
        <w:t xml:space="preserve"> On June 29, 2019, Harris merged with L3 Technologies, Inc. and changed its name to L3Harris Technologies, Inc.</w:t>
      </w:r>
    </w:p>
  </w:footnote>
  <w:footnote w:id="12">
    <w:p w:rsidR="007176CE" w14:paraId="331C2FB0" w14:textId="1D48F75C">
      <w:pPr>
        <w:pStyle w:val="FootnoteText"/>
      </w:pPr>
      <w:r>
        <w:rPr>
          <w:rStyle w:val="FootnoteReference"/>
        </w:rPr>
        <w:footnoteRef/>
      </w:r>
      <w:r>
        <w:t xml:space="preserve"> 47 CFR </w:t>
      </w:r>
      <w:r w:rsidRPr="00265D6F">
        <w:t>§§</w:t>
      </w:r>
      <w:r>
        <w:t xml:space="preserve"> 5.53, 25.102</w:t>
      </w:r>
      <w:r w:rsidR="00F606F1">
        <w:t>.</w:t>
      </w:r>
    </w:p>
  </w:footnote>
  <w:footnote w:id="13">
    <w:p w:rsidR="00781246" w14:paraId="396591A9" w14:textId="77777777">
      <w:pPr>
        <w:pStyle w:val="FootnoteText"/>
      </w:pPr>
      <w:r>
        <w:rPr>
          <w:rStyle w:val="FootnoteReference"/>
        </w:rPr>
        <w:footnoteRef/>
      </w:r>
      <w:r>
        <w:t xml:space="preserve"> </w:t>
      </w:r>
      <w:r w:rsidRPr="00265D6F">
        <w:t xml:space="preserve">47 U.S.C. § </w:t>
      </w:r>
      <w:r>
        <w:t>301</w:t>
      </w:r>
      <w:r w:rsidRPr="00250907">
        <w:t>; 47 CFR §</w:t>
      </w:r>
      <w:r w:rsidRPr="00E14324">
        <w:t xml:space="preserve"> 25.102</w:t>
      </w:r>
      <w:r>
        <w:t xml:space="preserve">.  </w:t>
      </w:r>
    </w:p>
  </w:footnote>
  <w:footnote w:id="14">
    <w:p w:rsidR="007176CE" w:rsidRPr="007176CE" w14:paraId="37742522" w14:textId="356B85CD">
      <w:pPr>
        <w:pStyle w:val="FootnoteText"/>
      </w:pPr>
      <w:r>
        <w:rPr>
          <w:rStyle w:val="FootnoteReference"/>
        </w:rPr>
        <w:footnoteRef/>
      </w:r>
      <w:r>
        <w:t xml:space="preserve"> </w:t>
      </w:r>
      <w:r>
        <w:rPr>
          <w:i/>
        </w:rPr>
        <w:t>See</w:t>
      </w:r>
      <w:r>
        <w:t xml:space="preserve"> 47 CFR </w:t>
      </w:r>
      <w:r w:rsidR="00F74885">
        <w:t>p</w:t>
      </w:r>
      <w:r>
        <w:t>art 5 (Experimental Radio Service).</w:t>
      </w:r>
    </w:p>
  </w:footnote>
  <w:footnote w:id="15">
    <w:p w:rsidR="00781246" w14:paraId="5D1510FD" w14:textId="77777777">
      <w:pPr>
        <w:pStyle w:val="FootnoteText"/>
      </w:pPr>
      <w:r>
        <w:rPr>
          <w:rStyle w:val="FootnoteReference"/>
        </w:rPr>
        <w:footnoteRef/>
      </w:r>
      <w:r>
        <w:t xml:space="preserve"> </w:t>
      </w:r>
      <w:r w:rsidRPr="00250907">
        <w:t>47 CFR §</w:t>
      </w:r>
      <w:r>
        <w:t xml:space="preserve"> 5.53.  </w:t>
      </w:r>
    </w:p>
  </w:footnote>
  <w:footnote w:id="16">
    <w:p w:rsidR="00053D02" w:rsidRPr="00053D02" w14:paraId="0235BBB6" w14:textId="4DAC6C9A">
      <w:pPr>
        <w:pStyle w:val="FootnoteText"/>
        <w:rPr>
          <w:i/>
        </w:rPr>
      </w:pPr>
      <w:r>
        <w:rPr>
          <w:rStyle w:val="FootnoteReference"/>
        </w:rPr>
        <w:footnoteRef/>
      </w:r>
      <w:r>
        <w:t xml:space="preserve"> </w:t>
      </w:r>
      <w:r>
        <w:rPr>
          <w:i/>
        </w:rPr>
        <w:t xml:space="preserve">See </w:t>
      </w:r>
      <w:r w:rsidR="005933A3">
        <w:t xml:space="preserve">OET File Nos. </w:t>
      </w:r>
      <w:r w:rsidR="00755ACF">
        <w:t>0311-EX-ST-2017, 0429-EX-ST-2018, 1750-EX-ST-2018.</w:t>
      </w:r>
    </w:p>
  </w:footnote>
  <w:footnote w:id="17">
    <w:p w:rsidR="002A04F9" w:rsidRPr="002A04F9" w14:paraId="373721E6" w14:textId="4C0BA49D">
      <w:pPr>
        <w:pStyle w:val="FootnoteText"/>
      </w:pPr>
      <w:r>
        <w:rPr>
          <w:rStyle w:val="FootnoteReference"/>
        </w:rPr>
        <w:footnoteRef/>
      </w:r>
      <w:r>
        <w:t xml:space="preserve"> </w:t>
      </w:r>
      <w:r>
        <w:rPr>
          <w:i/>
        </w:rPr>
        <w:t xml:space="preserve">See </w:t>
      </w:r>
      <w:r>
        <w:t>OET File No. 2051-EX-ST-2018.  The Commission subsequently granted the STA on March 5, 2019.  Id.</w:t>
      </w:r>
    </w:p>
  </w:footnote>
  <w:footnote w:id="18">
    <w:p w:rsidR="000D2AEF" w:rsidP="000D2AEF" w14:paraId="02D40593" w14:textId="77777777">
      <w:pPr>
        <w:pStyle w:val="FootnoteText"/>
      </w:pPr>
      <w:r>
        <w:rPr>
          <w:rStyle w:val="FootnoteReference"/>
        </w:rPr>
        <w:footnoteRef/>
      </w:r>
      <w:r>
        <w:t xml:space="preserve"> </w:t>
      </w:r>
      <w:r w:rsidRPr="00C566EC">
        <w:rPr>
          <w:i/>
        </w:rPr>
        <w:t>See</w:t>
      </w:r>
      <w:r>
        <w:t xml:space="preserve"> 47 CFR 1.93(b).</w:t>
      </w:r>
    </w:p>
  </w:footnote>
  <w:footnote w:id="19">
    <w:p w:rsidR="00E02214" w:rsidP="00E02214" w14:paraId="1AE6898F" w14:textId="77777777">
      <w:pPr>
        <w:pStyle w:val="FootnoteText"/>
      </w:pPr>
      <w:r w:rsidRPr="00A07FCB">
        <w:rPr>
          <w:rStyle w:val="FootnoteReference"/>
        </w:rPr>
        <w:footnoteRef/>
      </w:r>
      <w:r w:rsidRPr="00A07FCB">
        <w:t xml:space="preserve"> 47 CFR § 1.16.</w:t>
      </w:r>
    </w:p>
  </w:footnote>
  <w:footnote w:id="20">
    <w:p w:rsidR="00EC553C" w:rsidRPr="005476AB" w:rsidP="00EC553C" w14:paraId="0CE8C5E9"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1">
    <w:p w:rsidR="00EC553C" w:rsidRPr="005476AB" w:rsidP="00EC553C" w14:paraId="58FD23E1" w14:textId="4DF085A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22">
    <w:p w:rsidR="00EC553C" w:rsidP="00EC553C" w14:paraId="02565D56" w14:textId="1F443435">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23">
    <w:p w:rsidR="000D2AEF" w:rsidP="000D2AEF" w14:paraId="1175C1EE"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RPr="00A63672" w:rsidP="00806808" w14:paraId="4B719997" w14:textId="556FE341">
    <w:pPr>
      <w:pStyle w:val="Header"/>
      <w:tabs>
        <w:tab w:val="left" w:pos="908"/>
      </w:tabs>
    </w:pPr>
    <w:r w:rsidRPr="00A63672">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63672">
      <w:tab/>
    </w:r>
    <w:r w:rsidR="00806808">
      <w:tab/>
    </w:r>
    <w:r w:rsidRPr="00A63672">
      <w:t>Federal Communications Commission</w:t>
    </w:r>
    <w:r w:rsidRPr="00A63672">
      <w:tab/>
    </w:r>
    <w:r w:rsidRPr="00A63672">
      <w:rPr>
        <w:spacing w:val="-2"/>
      </w:rPr>
      <w:t xml:space="preserve">DA </w:t>
    </w:r>
    <w:r w:rsidRPr="00942977" w:rsidR="00942977">
      <w:rPr>
        <w:spacing w:val="-2"/>
      </w:rPr>
      <w:t>19-1274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RPr="002318EA" w:rsidP="002318EA" w14:paraId="3FBEFDBF" w14:textId="0F63248C">
    <w:pPr>
      <w:pStyle w:val="Header"/>
    </w:pPr>
    <w:r w:rsidRPr="00A63672">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A63672">
      <w:tab/>
      <w:t>Federal Communications Commission</w:t>
    </w:r>
    <w:r w:rsidRPr="00A63672">
      <w:tab/>
    </w:r>
    <w:r w:rsidRPr="00A63672">
      <w:rPr>
        <w:spacing w:val="-2"/>
      </w:rPr>
      <w:t xml:space="preserve">DA </w:t>
    </w:r>
    <w:r w:rsidRPr="00942977" w:rsidR="00942977">
      <w:rPr>
        <w:spacing w:val="-2"/>
      </w:rPr>
      <w:t>19-1274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3571878"/>
    <w:multiLevelType w:val="hybridMultilevel"/>
    <w:tmpl w:val="D2606B72"/>
    <w:lvl w:ilvl="0">
      <w:start w:val="1"/>
      <w:numFmt w:val="lowerLetter"/>
      <w:lvlText w:val="(%1)"/>
      <w:lvlJc w:val="left"/>
      <w:pPr>
        <w:ind w:left="1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4603760"/>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6">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7">
    <w:nsid w:val="78D66A8D"/>
    <w:multiLevelType w:val="singleLevel"/>
    <w:tmpl w:val="46CEE23E"/>
    <w:lvl w:ilvl="0">
      <w:start w:val="1"/>
      <w:numFmt w:val="decimal"/>
      <w:lvlText w:val="%1."/>
      <w:lvlJc w:val="left"/>
      <w:pPr>
        <w:tabs>
          <w:tab w:val="num" w:pos="1080"/>
        </w:tabs>
        <w:ind w:left="1080" w:hanging="360"/>
      </w:pPr>
      <w:rPr>
        <w:rFonts w:hint="default"/>
        <w:b w:val="0"/>
      </w:rPr>
    </w:lvl>
  </w:abstractNum>
  <w:num w:numId="1">
    <w:abstractNumId w:val="13"/>
  </w:num>
  <w:num w:numId="2">
    <w:abstractNumId w:val="8"/>
  </w:num>
  <w:num w:numId="3">
    <w:abstractNumId w:val="15"/>
  </w:num>
  <w:num w:numId="4">
    <w:abstractNumId w:val="14"/>
  </w:num>
  <w:num w:numId="5">
    <w:abstractNumId w:val="2"/>
  </w:num>
  <w:num w:numId="6">
    <w:abstractNumId w:val="16"/>
  </w:num>
  <w:num w:numId="7">
    <w:abstractNumId w:val="1"/>
  </w:num>
  <w:num w:numId="8">
    <w:abstractNumId w:val="13"/>
    <w:lvlOverride w:ilvl="0">
      <w:startOverride w:val="1"/>
    </w:lvlOverride>
  </w:num>
  <w:num w:numId="9">
    <w:abstractNumId w:val="9"/>
  </w:num>
  <w:num w:numId="10">
    <w:abstractNumId w:val="6"/>
  </w:num>
  <w:num w:numId="11">
    <w:abstractNumId w:val="11"/>
  </w:num>
  <w:num w:numId="12">
    <w:abstractNumId w:val="7"/>
  </w:num>
  <w:num w:numId="13">
    <w:abstractNumId w:val="0"/>
  </w:num>
  <w:num w:numId="14">
    <w:abstractNumId w:val="4"/>
  </w:num>
  <w:num w:numId="15">
    <w:abstractNumId w:val="13"/>
    <w:lvlOverride w:ilvl="0">
      <w:startOverride w:val="4"/>
    </w:lvlOverride>
  </w:num>
  <w:num w:numId="16">
    <w:abstractNumId w:val="13"/>
    <w:lvlOverride w:ilvl="0">
      <w:startOverride w:val="22"/>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7"/>
  </w:num>
  <w:num w:numId="31">
    <w:abstractNumId w:val="12"/>
  </w:num>
  <w:num w:numId="32">
    <w:abstractNumId w:val="5"/>
  </w:num>
  <w:num w:numId="33">
    <w:abstractNumId w:val="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40"/>
    <w:rsid w:val="00000535"/>
    <w:rsid w:val="00001CB4"/>
    <w:rsid w:val="00007F32"/>
    <w:rsid w:val="00011502"/>
    <w:rsid w:val="00013E16"/>
    <w:rsid w:val="00014484"/>
    <w:rsid w:val="000216AD"/>
    <w:rsid w:val="00024902"/>
    <w:rsid w:val="000251D3"/>
    <w:rsid w:val="000262C0"/>
    <w:rsid w:val="00026A2D"/>
    <w:rsid w:val="00026D97"/>
    <w:rsid w:val="000277EC"/>
    <w:rsid w:val="00036039"/>
    <w:rsid w:val="00036B37"/>
    <w:rsid w:val="00036B39"/>
    <w:rsid w:val="00037F90"/>
    <w:rsid w:val="00040BB5"/>
    <w:rsid w:val="0004154A"/>
    <w:rsid w:val="00042344"/>
    <w:rsid w:val="0004267E"/>
    <w:rsid w:val="000514F1"/>
    <w:rsid w:val="00051558"/>
    <w:rsid w:val="00053D02"/>
    <w:rsid w:val="00061463"/>
    <w:rsid w:val="00061A57"/>
    <w:rsid w:val="00064ADC"/>
    <w:rsid w:val="000668DA"/>
    <w:rsid w:val="0007059D"/>
    <w:rsid w:val="00071FFD"/>
    <w:rsid w:val="000728FF"/>
    <w:rsid w:val="00073450"/>
    <w:rsid w:val="00073561"/>
    <w:rsid w:val="00075906"/>
    <w:rsid w:val="00076C13"/>
    <w:rsid w:val="00081B44"/>
    <w:rsid w:val="00083D8E"/>
    <w:rsid w:val="00084EA4"/>
    <w:rsid w:val="0008718F"/>
    <w:rsid w:val="000875BF"/>
    <w:rsid w:val="00090E63"/>
    <w:rsid w:val="00096D8C"/>
    <w:rsid w:val="000971AC"/>
    <w:rsid w:val="000A053B"/>
    <w:rsid w:val="000A5F07"/>
    <w:rsid w:val="000B00E8"/>
    <w:rsid w:val="000B17A6"/>
    <w:rsid w:val="000B622D"/>
    <w:rsid w:val="000B66C0"/>
    <w:rsid w:val="000C0B65"/>
    <w:rsid w:val="000C4063"/>
    <w:rsid w:val="000C6D8B"/>
    <w:rsid w:val="000D2AEF"/>
    <w:rsid w:val="000D301D"/>
    <w:rsid w:val="000D4D0E"/>
    <w:rsid w:val="000D5798"/>
    <w:rsid w:val="000E05FE"/>
    <w:rsid w:val="000E3D42"/>
    <w:rsid w:val="000E4203"/>
    <w:rsid w:val="000E655A"/>
    <w:rsid w:val="000E6874"/>
    <w:rsid w:val="000F26DF"/>
    <w:rsid w:val="000F49DA"/>
    <w:rsid w:val="000F6512"/>
    <w:rsid w:val="0011143F"/>
    <w:rsid w:val="0011427B"/>
    <w:rsid w:val="001216D0"/>
    <w:rsid w:val="00122296"/>
    <w:rsid w:val="0012234C"/>
    <w:rsid w:val="00122BD5"/>
    <w:rsid w:val="001263EF"/>
    <w:rsid w:val="00126CA2"/>
    <w:rsid w:val="001278CC"/>
    <w:rsid w:val="001314FC"/>
    <w:rsid w:val="0013249B"/>
    <w:rsid w:val="001329B5"/>
    <w:rsid w:val="00133F79"/>
    <w:rsid w:val="00141931"/>
    <w:rsid w:val="001438DA"/>
    <w:rsid w:val="00144A1D"/>
    <w:rsid w:val="00146DC7"/>
    <w:rsid w:val="0015122B"/>
    <w:rsid w:val="0015179C"/>
    <w:rsid w:val="0015224A"/>
    <w:rsid w:val="00153AAA"/>
    <w:rsid w:val="00154477"/>
    <w:rsid w:val="00155C0B"/>
    <w:rsid w:val="00161D89"/>
    <w:rsid w:val="00171E58"/>
    <w:rsid w:val="00172AFD"/>
    <w:rsid w:val="001731B0"/>
    <w:rsid w:val="00173403"/>
    <w:rsid w:val="00176594"/>
    <w:rsid w:val="00177B3F"/>
    <w:rsid w:val="00182304"/>
    <w:rsid w:val="00186182"/>
    <w:rsid w:val="00190C82"/>
    <w:rsid w:val="0019214A"/>
    <w:rsid w:val="001933D7"/>
    <w:rsid w:val="00193A97"/>
    <w:rsid w:val="00194A66"/>
    <w:rsid w:val="00195021"/>
    <w:rsid w:val="001A3EA5"/>
    <w:rsid w:val="001A5288"/>
    <w:rsid w:val="001A75B6"/>
    <w:rsid w:val="001B13A7"/>
    <w:rsid w:val="001B2424"/>
    <w:rsid w:val="001B33EC"/>
    <w:rsid w:val="001B63BB"/>
    <w:rsid w:val="001B6EB1"/>
    <w:rsid w:val="001B74D4"/>
    <w:rsid w:val="001C0654"/>
    <w:rsid w:val="001C1346"/>
    <w:rsid w:val="001C4132"/>
    <w:rsid w:val="001C4723"/>
    <w:rsid w:val="001C4926"/>
    <w:rsid w:val="001C57DF"/>
    <w:rsid w:val="001C71E0"/>
    <w:rsid w:val="001D06F9"/>
    <w:rsid w:val="001D37A4"/>
    <w:rsid w:val="001D41E6"/>
    <w:rsid w:val="001D4C11"/>
    <w:rsid w:val="001D4CD4"/>
    <w:rsid w:val="001D607A"/>
    <w:rsid w:val="001D6BCF"/>
    <w:rsid w:val="001D7A87"/>
    <w:rsid w:val="001E01CA"/>
    <w:rsid w:val="002022DC"/>
    <w:rsid w:val="00205D69"/>
    <w:rsid w:val="00207E47"/>
    <w:rsid w:val="002109A0"/>
    <w:rsid w:val="00210CAD"/>
    <w:rsid w:val="00212C2A"/>
    <w:rsid w:val="00220A10"/>
    <w:rsid w:val="002222F0"/>
    <w:rsid w:val="00222948"/>
    <w:rsid w:val="0022667E"/>
    <w:rsid w:val="0022670A"/>
    <w:rsid w:val="00227F5B"/>
    <w:rsid w:val="002318EA"/>
    <w:rsid w:val="002436B5"/>
    <w:rsid w:val="00245913"/>
    <w:rsid w:val="0024592F"/>
    <w:rsid w:val="00246786"/>
    <w:rsid w:val="00246F05"/>
    <w:rsid w:val="002503D8"/>
    <w:rsid w:val="00250907"/>
    <w:rsid w:val="00251CA9"/>
    <w:rsid w:val="00255E4D"/>
    <w:rsid w:val="00260090"/>
    <w:rsid w:val="00262C95"/>
    <w:rsid w:val="00262D59"/>
    <w:rsid w:val="00263706"/>
    <w:rsid w:val="00265D6F"/>
    <w:rsid w:val="00267269"/>
    <w:rsid w:val="0026751C"/>
    <w:rsid w:val="002726FF"/>
    <w:rsid w:val="002755D1"/>
    <w:rsid w:val="00275CF5"/>
    <w:rsid w:val="00276774"/>
    <w:rsid w:val="00276A71"/>
    <w:rsid w:val="0028301F"/>
    <w:rsid w:val="00285017"/>
    <w:rsid w:val="00286347"/>
    <w:rsid w:val="00286F61"/>
    <w:rsid w:val="00291D68"/>
    <w:rsid w:val="002A04F9"/>
    <w:rsid w:val="002A2D2E"/>
    <w:rsid w:val="002B1765"/>
    <w:rsid w:val="002B394C"/>
    <w:rsid w:val="002B5AA5"/>
    <w:rsid w:val="002C00E8"/>
    <w:rsid w:val="002C14B4"/>
    <w:rsid w:val="002C1AC5"/>
    <w:rsid w:val="002C1DDB"/>
    <w:rsid w:val="002C28A8"/>
    <w:rsid w:val="002C2CFC"/>
    <w:rsid w:val="002D112F"/>
    <w:rsid w:val="002D1477"/>
    <w:rsid w:val="002D7215"/>
    <w:rsid w:val="002E2CCA"/>
    <w:rsid w:val="002E46B8"/>
    <w:rsid w:val="002E4E09"/>
    <w:rsid w:val="002F0A22"/>
    <w:rsid w:val="002F6D17"/>
    <w:rsid w:val="002F7012"/>
    <w:rsid w:val="003001D3"/>
    <w:rsid w:val="003010FA"/>
    <w:rsid w:val="003027C5"/>
    <w:rsid w:val="00302835"/>
    <w:rsid w:val="00302AC4"/>
    <w:rsid w:val="00302C38"/>
    <w:rsid w:val="00313AAC"/>
    <w:rsid w:val="0032481A"/>
    <w:rsid w:val="0032626E"/>
    <w:rsid w:val="00327FAD"/>
    <w:rsid w:val="00330809"/>
    <w:rsid w:val="003329C5"/>
    <w:rsid w:val="003366C0"/>
    <w:rsid w:val="00340066"/>
    <w:rsid w:val="003433AA"/>
    <w:rsid w:val="00343749"/>
    <w:rsid w:val="00344C16"/>
    <w:rsid w:val="00351376"/>
    <w:rsid w:val="003533DC"/>
    <w:rsid w:val="00363525"/>
    <w:rsid w:val="003660ED"/>
    <w:rsid w:val="00373F2C"/>
    <w:rsid w:val="00375E8E"/>
    <w:rsid w:val="0038261E"/>
    <w:rsid w:val="003909A2"/>
    <w:rsid w:val="00391EBF"/>
    <w:rsid w:val="003930A2"/>
    <w:rsid w:val="00394828"/>
    <w:rsid w:val="003950ED"/>
    <w:rsid w:val="003957CA"/>
    <w:rsid w:val="003A3F5D"/>
    <w:rsid w:val="003A5C58"/>
    <w:rsid w:val="003B0550"/>
    <w:rsid w:val="003B2E8F"/>
    <w:rsid w:val="003B34CE"/>
    <w:rsid w:val="003B4047"/>
    <w:rsid w:val="003B59AC"/>
    <w:rsid w:val="003B694F"/>
    <w:rsid w:val="003C4A20"/>
    <w:rsid w:val="003C4BCC"/>
    <w:rsid w:val="003D065A"/>
    <w:rsid w:val="003D76CE"/>
    <w:rsid w:val="003D7A7D"/>
    <w:rsid w:val="003F0DD6"/>
    <w:rsid w:val="003F171C"/>
    <w:rsid w:val="003F259F"/>
    <w:rsid w:val="003F5CF7"/>
    <w:rsid w:val="003F6349"/>
    <w:rsid w:val="003F7F7D"/>
    <w:rsid w:val="00412686"/>
    <w:rsid w:val="00412FC5"/>
    <w:rsid w:val="00422276"/>
    <w:rsid w:val="004237B8"/>
    <w:rsid w:val="00424131"/>
    <w:rsid w:val="004242F1"/>
    <w:rsid w:val="00426D94"/>
    <w:rsid w:val="004305E9"/>
    <w:rsid w:val="00440A39"/>
    <w:rsid w:val="0044203A"/>
    <w:rsid w:val="00445A00"/>
    <w:rsid w:val="00451B0F"/>
    <w:rsid w:val="00451DBF"/>
    <w:rsid w:val="00453A9E"/>
    <w:rsid w:val="00460105"/>
    <w:rsid w:val="004620CB"/>
    <w:rsid w:val="004628C7"/>
    <w:rsid w:val="004676BE"/>
    <w:rsid w:val="00467B7F"/>
    <w:rsid w:val="004736B8"/>
    <w:rsid w:val="00474905"/>
    <w:rsid w:val="00485C9F"/>
    <w:rsid w:val="00486AAF"/>
    <w:rsid w:val="00487DA4"/>
    <w:rsid w:val="004932C7"/>
    <w:rsid w:val="00495950"/>
    <w:rsid w:val="004A4977"/>
    <w:rsid w:val="004A5FBA"/>
    <w:rsid w:val="004A7F18"/>
    <w:rsid w:val="004B6FC0"/>
    <w:rsid w:val="004C0262"/>
    <w:rsid w:val="004C10C0"/>
    <w:rsid w:val="004C2EE3"/>
    <w:rsid w:val="004C303F"/>
    <w:rsid w:val="004C7792"/>
    <w:rsid w:val="004E0274"/>
    <w:rsid w:val="004E4A22"/>
    <w:rsid w:val="004E4F32"/>
    <w:rsid w:val="004E5ED4"/>
    <w:rsid w:val="004F5DB5"/>
    <w:rsid w:val="00506614"/>
    <w:rsid w:val="00506820"/>
    <w:rsid w:val="005069C3"/>
    <w:rsid w:val="00511968"/>
    <w:rsid w:val="00511BCD"/>
    <w:rsid w:val="00512CD7"/>
    <w:rsid w:val="0051761D"/>
    <w:rsid w:val="0052112B"/>
    <w:rsid w:val="005219BC"/>
    <w:rsid w:val="00522F52"/>
    <w:rsid w:val="00532B88"/>
    <w:rsid w:val="00533278"/>
    <w:rsid w:val="00540503"/>
    <w:rsid w:val="00546650"/>
    <w:rsid w:val="005476AB"/>
    <w:rsid w:val="0055035F"/>
    <w:rsid w:val="005527C1"/>
    <w:rsid w:val="00552E46"/>
    <w:rsid w:val="00552FD8"/>
    <w:rsid w:val="00554498"/>
    <w:rsid w:val="00554B4C"/>
    <w:rsid w:val="00555C8A"/>
    <w:rsid w:val="0055614C"/>
    <w:rsid w:val="00556E78"/>
    <w:rsid w:val="00560DA5"/>
    <w:rsid w:val="00562DFF"/>
    <w:rsid w:val="00563F0B"/>
    <w:rsid w:val="0056446C"/>
    <w:rsid w:val="00565042"/>
    <w:rsid w:val="00566E9B"/>
    <w:rsid w:val="005675C2"/>
    <w:rsid w:val="00567E0F"/>
    <w:rsid w:val="00572F28"/>
    <w:rsid w:val="005733B5"/>
    <w:rsid w:val="005764AE"/>
    <w:rsid w:val="00582BA0"/>
    <w:rsid w:val="00586437"/>
    <w:rsid w:val="0058721A"/>
    <w:rsid w:val="00587A19"/>
    <w:rsid w:val="005902EF"/>
    <w:rsid w:val="005933A3"/>
    <w:rsid w:val="00593A70"/>
    <w:rsid w:val="00593EAD"/>
    <w:rsid w:val="005A5FC7"/>
    <w:rsid w:val="005B4F0E"/>
    <w:rsid w:val="005B7BAE"/>
    <w:rsid w:val="005C0632"/>
    <w:rsid w:val="005C0CFB"/>
    <w:rsid w:val="005C6C0A"/>
    <w:rsid w:val="005D17E1"/>
    <w:rsid w:val="005D204A"/>
    <w:rsid w:val="005D23DB"/>
    <w:rsid w:val="005D2C62"/>
    <w:rsid w:val="005D4AA9"/>
    <w:rsid w:val="005D524F"/>
    <w:rsid w:val="005D5341"/>
    <w:rsid w:val="005D5CFE"/>
    <w:rsid w:val="005E10F1"/>
    <w:rsid w:val="005E14C2"/>
    <w:rsid w:val="005E6193"/>
    <w:rsid w:val="005F1CC4"/>
    <w:rsid w:val="005F3817"/>
    <w:rsid w:val="00601516"/>
    <w:rsid w:val="00605F22"/>
    <w:rsid w:val="0060622A"/>
    <w:rsid w:val="0060699E"/>
    <w:rsid w:val="00607BA5"/>
    <w:rsid w:val="00610208"/>
    <w:rsid w:val="0061180A"/>
    <w:rsid w:val="00616C8B"/>
    <w:rsid w:val="00621993"/>
    <w:rsid w:val="00623967"/>
    <w:rsid w:val="006262FD"/>
    <w:rsid w:val="00626EB6"/>
    <w:rsid w:val="006320EA"/>
    <w:rsid w:val="0063382D"/>
    <w:rsid w:val="00644CDC"/>
    <w:rsid w:val="006459B1"/>
    <w:rsid w:val="00646C36"/>
    <w:rsid w:val="0065026D"/>
    <w:rsid w:val="00652649"/>
    <w:rsid w:val="0065270B"/>
    <w:rsid w:val="006534CA"/>
    <w:rsid w:val="00655D03"/>
    <w:rsid w:val="006617E8"/>
    <w:rsid w:val="00665547"/>
    <w:rsid w:val="00670985"/>
    <w:rsid w:val="00683388"/>
    <w:rsid w:val="00683B2D"/>
    <w:rsid w:val="00683F1F"/>
    <w:rsid w:val="00683F84"/>
    <w:rsid w:val="00686DB5"/>
    <w:rsid w:val="006918C5"/>
    <w:rsid w:val="0069341E"/>
    <w:rsid w:val="00696A12"/>
    <w:rsid w:val="006977B1"/>
    <w:rsid w:val="006977CE"/>
    <w:rsid w:val="006A0CCD"/>
    <w:rsid w:val="006A16B3"/>
    <w:rsid w:val="006A551D"/>
    <w:rsid w:val="006A5892"/>
    <w:rsid w:val="006A6A81"/>
    <w:rsid w:val="006A7438"/>
    <w:rsid w:val="006B076F"/>
    <w:rsid w:val="006B3C40"/>
    <w:rsid w:val="006B585F"/>
    <w:rsid w:val="006C0AEA"/>
    <w:rsid w:val="006C17E7"/>
    <w:rsid w:val="006C3459"/>
    <w:rsid w:val="006C5C0B"/>
    <w:rsid w:val="006D133D"/>
    <w:rsid w:val="006D13B7"/>
    <w:rsid w:val="006D4356"/>
    <w:rsid w:val="006D45CD"/>
    <w:rsid w:val="006D681F"/>
    <w:rsid w:val="006D7694"/>
    <w:rsid w:val="006E207C"/>
    <w:rsid w:val="006E4E12"/>
    <w:rsid w:val="006E5F51"/>
    <w:rsid w:val="006E73B0"/>
    <w:rsid w:val="006F0C62"/>
    <w:rsid w:val="006F33A3"/>
    <w:rsid w:val="006F341A"/>
    <w:rsid w:val="006F40FE"/>
    <w:rsid w:val="006F7147"/>
    <w:rsid w:val="006F7393"/>
    <w:rsid w:val="0070112A"/>
    <w:rsid w:val="0070224F"/>
    <w:rsid w:val="00702680"/>
    <w:rsid w:val="00703BD1"/>
    <w:rsid w:val="00703F35"/>
    <w:rsid w:val="00710CC1"/>
    <w:rsid w:val="007115F7"/>
    <w:rsid w:val="00712B39"/>
    <w:rsid w:val="00712FE9"/>
    <w:rsid w:val="007176CE"/>
    <w:rsid w:val="007229E1"/>
    <w:rsid w:val="00730BFA"/>
    <w:rsid w:val="007352A9"/>
    <w:rsid w:val="00740ADA"/>
    <w:rsid w:val="007410AA"/>
    <w:rsid w:val="00755ACF"/>
    <w:rsid w:val="007563C6"/>
    <w:rsid w:val="00757D0C"/>
    <w:rsid w:val="00761D98"/>
    <w:rsid w:val="007640E2"/>
    <w:rsid w:val="00770B53"/>
    <w:rsid w:val="0077779F"/>
    <w:rsid w:val="0078084A"/>
    <w:rsid w:val="00781246"/>
    <w:rsid w:val="00782F47"/>
    <w:rsid w:val="00785632"/>
    <w:rsid w:val="00785689"/>
    <w:rsid w:val="00786E7B"/>
    <w:rsid w:val="0078789C"/>
    <w:rsid w:val="00787AF9"/>
    <w:rsid w:val="007933DA"/>
    <w:rsid w:val="00797024"/>
    <w:rsid w:val="0079754B"/>
    <w:rsid w:val="00797E99"/>
    <w:rsid w:val="007A1E6D"/>
    <w:rsid w:val="007A4B20"/>
    <w:rsid w:val="007A541A"/>
    <w:rsid w:val="007B0D37"/>
    <w:rsid w:val="007B0E95"/>
    <w:rsid w:val="007B0EB2"/>
    <w:rsid w:val="007B5620"/>
    <w:rsid w:val="007B5959"/>
    <w:rsid w:val="007C0B2B"/>
    <w:rsid w:val="007C0B39"/>
    <w:rsid w:val="007C4242"/>
    <w:rsid w:val="007C473D"/>
    <w:rsid w:val="007D19A5"/>
    <w:rsid w:val="007D2615"/>
    <w:rsid w:val="007D43C0"/>
    <w:rsid w:val="007D76D3"/>
    <w:rsid w:val="007D7BED"/>
    <w:rsid w:val="007E2C36"/>
    <w:rsid w:val="007E2EBD"/>
    <w:rsid w:val="007E74CC"/>
    <w:rsid w:val="007F2132"/>
    <w:rsid w:val="007F4EB1"/>
    <w:rsid w:val="007F736B"/>
    <w:rsid w:val="007F766D"/>
    <w:rsid w:val="00805BF5"/>
    <w:rsid w:val="00806024"/>
    <w:rsid w:val="008062B4"/>
    <w:rsid w:val="00806808"/>
    <w:rsid w:val="00807082"/>
    <w:rsid w:val="0080718C"/>
    <w:rsid w:val="00810ABC"/>
    <w:rsid w:val="00810B6F"/>
    <w:rsid w:val="00811623"/>
    <w:rsid w:val="00813AC6"/>
    <w:rsid w:val="008155A1"/>
    <w:rsid w:val="00822CE0"/>
    <w:rsid w:val="00823167"/>
    <w:rsid w:val="008257A7"/>
    <w:rsid w:val="00826E98"/>
    <w:rsid w:val="00830A41"/>
    <w:rsid w:val="00832DE8"/>
    <w:rsid w:val="008335CC"/>
    <w:rsid w:val="0083587E"/>
    <w:rsid w:val="00836D89"/>
    <w:rsid w:val="00841AB1"/>
    <w:rsid w:val="00842D72"/>
    <w:rsid w:val="00842EF2"/>
    <w:rsid w:val="00843A5F"/>
    <w:rsid w:val="00847A29"/>
    <w:rsid w:val="00852593"/>
    <w:rsid w:val="0085623A"/>
    <w:rsid w:val="00866908"/>
    <w:rsid w:val="008771B1"/>
    <w:rsid w:val="008777B5"/>
    <w:rsid w:val="00880C22"/>
    <w:rsid w:val="00882611"/>
    <w:rsid w:val="00883524"/>
    <w:rsid w:val="0089003B"/>
    <w:rsid w:val="00890516"/>
    <w:rsid w:val="0089215F"/>
    <w:rsid w:val="00896D34"/>
    <w:rsid w:val="008A1C76"/>
    <w:rsid w:val="008A2184"/>
    <w:rsid w:val="008A2AD9"/>
    <w:rsid w:val="008A309D"/>
    <w:rsid w:val="008A3BFE"/>
    <w:rsid w:val="008A4D83"/>
    <w:rsid w:val="008A7975"/>
    <w:rsid w:val="008A7AD7"/>
    <w:rsid w:val="008B4505"/>
    <w:rsid w:val="008B628C"/>
    <w:rsid w:val="008C21BD"/>
    <w:rsid w:val="008C4282"/>
    <w:rsid w:val="008C68F1"/>
    <w:rsid w:val="008D2D40"/>
    <w:rsid w:val="008D3C3F"/>
    <w:rsid w:val="008D4DE1"/>
    <w:rsid w:val="008D6611"/>
    <w:rsid w:val="008D79FA"/>
    <w:rsid w:val="008D7CF6"/>
    <w:rsid w:val="008E3790"/>
    <w:rsid w:val="008E5A04"/>
    <w:rsid w:val="008F2DBF"/>
    <w:rsid w:val="008F3342"/>
    <w:rsid w:val="008F7504"/>
    <w:rsid w:val="00901E3F"/>
    <w:rsid w:val="009068C2"/>
    <w:rsid w:val="009076B8"/>
    <w:rsid w:val="00913231"/>
    <w:rsid w:val="009148E7"/>
    <w:rsid w:val="009150AB"/>
    <w:rsid w:val="00916D4E"/>
    <w:rsid w:val="00921803"/>
    <w:rsid w:val="00926503"/>
    <w:rsid w:val="00926FC4"/>
    <w:rsid w:val="009279FD"/>
    <w:rsid w:val="00927B1B"/>
    <w:rsid w:val="00927D1E"/>
    <w:rsid w:val="0093006C"/>
    <w:rsid w:val="00930725"/>
    <w:rsid w:val="00932685"/>
    <w:rsid w:val="009341CC"/>
    <w:rsid w:val="00936B23"/>
    <w:rsid w:val="00937509"/>
    <w:rsid w:val="009426FD"/>
    <w:rsid w:val="00942977"/>
    <w:rsid w:val="009442BA"/>
    <w:rsid w:val="009476B1"/>
    <w:rsid w:val="0095280D"/>
    <w:rsid w:val="0096758E"/>
    <w:rsid w:val="00970C3B"/>
    <w:rsid w:val="00971733"/>
    <w:rsid w:val="009726D8"/>
    <w:rsid w:val="00973932"/>
    <w:rsid w:val="009773EA"/>
    <w:rsid w:val="00980648"/>
    <w:rsid w:val="00981F23"/>
    <w:rsid w:val="00982541"/>
    <w:rsid w:val="009850EA"/>
    <w:rsid w:val="00990140"/>
    <w:rsid w:val="009929D7"/>
    <w:rsid w:val="00993743"/>
    <w:rsid w:val="00997BA1"/>
    <w:rsid w:val="009A17A5"/>
    <w:rsid w:val="009A2862"/>
    <w:rsid w:val="009A2E85"/>
    <w:rsid w:val="009A3A68"/>
    <w:rsid w:val="009A3F3F"/>
    <w:rsid w:val="009B1CF4"/>
    <w:rsid w:val="009B31C8"/>
    <w:rsid w:val="009B41D8"/>
    <w:rsid w:val="009C1D24"/>
    <w:rsid w:val="009C3253"/>
    <w:rsid w:val="009C46DE"/>
    <w:rsid w:val="009C6343"/>
    <w:rsid w:val="009C6F5D"/>
    <w:rsid w:val="009C7E47"/>
    <w:rsid w:val="009D7FB5"/>
    <w:rsid w:val="009E1DE8"/>
    <w:rsid w:val="009E205A"/>
    <w:rsid w:val="009E2673"/>
    <w:rsid w:val="009E51C5"/>
    <w:rsid w:val="009E5208"/>
    <w:rsid w:val="009F1E9A"/>
    <w:rsid w:val="009F2391"/>
    <w:rsid w:val="009F76DB"/>
    <w:rsid w:val="00A07FCB"/>
    <w:rsid w:val="00A13790"/>
    <w:rsid w:val="00A13EEC"/>
    <w:rsid w:val="00A15CBD"/>
    <w:rsid w:val="00A168DC"/>
    <w:rsid w:val="00A17DF1"/>
    <w:rsid w:val="00A2715F"/>
    <w:rsid w:val="00A32C3B"/>
    <w:rsid w:val="00A345EF"/>
    <w:rsid w:val="00A3486E"/>
    <w:rsid w:val="00A34BAD"/>
    <w:rsid w:val="00A45B71"/>
    <w:rsid w:val="00A45F4F"/>
    <w:rsid w:val="00A475EF"/>
    <w:rsid w:val="00A51F7B"/>
    <w:rsid w:val="00A52317"/>
    <w:rsid w:val="00A547F8"/>
    <w:rsid w:val="00A555A6"/>
    <w:rsid w:val="00A5613E"/>
    <w:rsid w:val="00A600A9"/>
    <w:rsid w:val="00A63672"/>
    <w:rsid w:val="00A66B78"/>
    <w:rsid w:val="00A70A63"/>
    <w:rsid w:val="00A8149F"/>
    <w:rsid w:val="00A817CE"/>
    <w:rsid w:val="00A820DF"/>
    <w:rsid w:val="00A82B85"/>
    <w:rsid w:val="00A91DFB"/>
    <w:rsid w:val="00A9403E"/>
    <w:rsid w:val="00AA153E"/>
    <w:rsid w:val="00AA1A67"/>
    <w:rsid w:val="00AA43E1"/>
    <w:rsid w:val="00AA5175"/>
    <w:rsid w:val="00AA55B7"/>
    <w:rsid w:val="00AA5B9E"/>
    <w:rsid w:val="00AB2407"/>
    <w:rsid w:val="00AB43B3"/>
    <w:rsid w:val="00AB53DF"/>
    <w:rsid w:val="00AB6ADC"/>
    <w:rsid w:val="00AB70F7"/>
    <w:rsid w:val="00AB7E62"/>
    <w:rsid w:val="00AC67DE"/>
    <w:rsid w:val="00AC7DEE"/>
    <w:rsid w:val="00AD0401"/>
    <w:rsid w:val="00AD26DC"/>
    <w:rsid w:val="00AD2930"/>
    <w:rsid w:val="00AD552D"/>
    <w:rsid w:val="00AD6D76"/>
    <w:rsid w:val="00AE01C2"/>
    <w:rsid w:val="00AE24D5"/>
    <w:rsid w:val="00AF00BC"/>
    <w:rsid w:val="00B0044E"/>
    <w:rsid w:val="00B007FC"/>
    <w:rsid w:val="00B023FF"/>
    <w:rsid w:val="00B067FE"/>
    <w:rsid w:val="00B069DD"/>
    <w:rsid w:val="00B07974"/>
    <w:rsid w:val="00B07E5C"/>
    <w:rsid w:val="00B1444F"/>
    <w:rsid w:val="00B213CA"/>
    <w:rsid w:val="00B2646D"/>
    <w:rsid w:val="00B26748"/>
    <w:rsid w:val="00B32562"/>
    <w:rsid w:val="00B36CFC"/>
    <w:rsid w:val="00B42A16"/>
    <w:rsid w:val="00B43FC1"/>
    <w:rsid w:val="00B45FC4"/>
    <w:rsid w:val="00B4634E"/>
    <w:rsid w:val="00B512EA"/>
    <w:rsid w:val="00B51B28"/>
    <w:rsid w:val="00B538B2"/>
    <w:rsid w:val="00B56E12"/>
    <w:rsid w:val="00B57760"/>
    <w:rsid w:val="00B60779"/>
    <w:rsid w:val="00B709FD"/>
    <w:rsid w:val="00B7146B"/>
    <w:rsid w:val="00B72844"/>
    <w:rsid w:val="00B73752"/>
    <w:rsid w:val="00B73A30"/>
    <w:rsid w:val="00B76F47"/>
    <w:rsid w:val="00B810D1"/>
    <w:rsid w:val="00B811F7"/>
    <w:rsid w:val="00B82D45"/>
    <w:rsid w:val="00B8387C"/>
    <w:rsid w:val="00B905A7"/>
    <w:rsid w:val="00B92725"/>
    <w:rsid w:val="00B94251"/>
    <w:rsid w:val="00B96991"/>
    <w:rsid w:val="00BA5DC6"/>
    <w:rsid w:val="00BA6196"/>
    <w:rsid w:val="00BB440F"/>
    <w:rsid w:val="00BB54E2"/>
    <w:rsid w:val="00BC3610"/>
    <w:rsid w:val="00BC4AF2"/>
    <w:rsid w:val="00BC67CB"/>
    <w:rsid w:val="00BC6D8C"/>
    <w:rsid w:val="00BC7821"/>
    <w:rsid w:val="00BD08D2"/>
    <w:rsid w:val="00BD4EBC"/>
    <w:rsid w:val="00BD5BEC"/>
    <w:rsid w:val="00BD779B"/>
    <w:rsid w:val="00BE103C"/>
    <w:rsid w:val="00BE3E39"/>
    <w:rsid w:val="00BE7E75"/>
    <w:rsid w:val="00BF22C0"/>
    <w:rsid w:val="00BF2DF8"/>
    <w:rsid w:val="00BF5002"/>
    <w:rsid w:val="00BF5FCA"/>
    <w:rsid w:val="00BF684A"/>
    <w:rsid w:val="00C014DA"/>
    <w:rsid w:val="00C01E1F"/>
    <w:rsid w:val="00C04651"/>
    <w:rsid w:val="00C047C7"/>
    <w:rsid w:val="00C04B1E"/>
    <w:rsid w:val="00C20AE5"/>
    <w:rsid w:val="00C227E1"/>
    <w:rsid w:val="00C236AC"/>
    <w:rsid w:val="00C271A0"/>
    <w:rsid w:val="00C277CC"/>
    <w:rsid w:val="00C27BF9"/>
    <w:rsid w:val="00C31261"/>
    <w:rsid w:val="00C325DF"/>
    <w:rsid w:val="00C34006"/>
    <w:rsid w:val="00C353B8"/>
    <w:rsid w:val="00C359C5"/>
    <w:rsid w:val="00C3652C"/>
    <w:rsid w:val="00C40D14"/>
    <w:rsid w:val="00C426B1"/>
    <w:rsid w:val="00C43E4A"/>
    <w:rsid w:val="00C51BBD"/>
    <w:rsid w:val="00C522E1"/>
    <w:rsid w:val="00C566EC"/>
    <w:rsid w:val="00C575BD"/>
    <w:rsid w:val="00C6383F"/>
    <w:rsid w:val="00C65B32"/>
    <w:rsid w:val="00C66160"/>
    <w:rsid w:val="00C66F0A"/>
    <w:rsid w:val="00C6703E"/>
    <w:rsid w:val="00C7037F"/>
    <w:rsid w:val="00C7140C"/>
    <w:rsid w:val="00C721AC"/>
    <w:rsid w:val="00C726EC"/>
    <w:rsid w:val="00C836CD"/>
    <w:rsid w:val="00C841D5"/>
    <w:rsid w:val="00C87C29"/>
    <w:rsid w:val="00C907ED"/>
    <w:rsid w:val="00C90D6A"/>
    <w:rsid w:val="00C90E9C"/>
    <w:rsid w:val="00CA247E"/>
    <w:rsid w:val="00CA4AB8"/>
    <w:rsid w:val="00CB3888"/>
    <w:rsid w:val="00CC136F"/>
    <w:rsid w:val="00CC4D00"/>
    <w:rsid w:val="00CC6841"/>
    <w:rsid w:val="00CC72B6"/>
    <w:rsid w:val="00CD3249"/>
    <w:rsid w:val="00CD3870"/>
    <w:rsid w:val="00CD41FC"/>
    <w:rsid w:val="00CE2986"/>
    <w:rsid w:val="00CE68FE"/>
    <w:rsid w:val="00CE79A0"/>
    <w:rsid w:val="00CE7D37"/>
    <w:rsid w:val="00CF1B2D"/>
    <w:rsid w:val="00D0015E"/>
    <w:rsid w:val="00D019E4"/>
    <w:rsid w:val="00D0218D"/>
    <w:rsid w:val="00D05490"/>
    <w:rsid w:val="00D062CD"/>
    <w:rsid w:val="00D152BE"/>
    <w:rsid w:val="00D223C9"/>
    <w:rsid w:val="00D24CB0"/>
    <w:rsid w:val="00D25FB5"/>
    <w:rsid w:val="00D27434"/>
    <w:rsid w:val="00D309AD"/>
    <w:rsid w:val="00D341FE"/>
    <w:rsid w:val="00D359C1"/>
    <w:rsid w:val="00D36881"/>
    <w:rsid w:val="00D36909"/>
    <w:rsid w:val="00D426BF"/>
    <w:rsid w:val="00D4324E"/>
    <w:rsid w:val="00D44223"/>
    <w:rsid w:val="00D4452F"/>
    <w:rsid w:val="00D449D1"/>
    <w:rsid w:val="00D45A54"/>
    <w:rsid w:val="00D47DEF"/>
    <w:rsid w:val="00D503BA"/>
    <w:rsid w:val="00D52474"/>
    <w:rsid w:val="00D552E8"/>
    <w:rsid w:val="00D560CD"/>
    <w:rsid w:val="00D56A4B"/>
    <w:rsid w:val="00D6006A"/>
    <w:rsid w:val="00D609BD"/>
    <w:rsid w:val="00D612FE"/>
    <w:rsid w:val="00D627A6"/>
    <w:rsid w:val="00D63386"/>
    <w:rsid w:val="00D64635"/>
    <w:rsid w:val="00D65117"/>
    <w:rsid w:val="00D66953"/>
    <w:rsid w:val="00D66A0F"/>
    <w:rsid w:val="00D71B49"/>
    <w:rsid w:val="00D71DD2"/>
    <w:rsid w:val="00D73114"/>
    <w:rsid w:val="00D748E8"/>
    <w:rsid w:val="00D80103"/>
    <w:rsid w:val="00D81AAF"/>
    <w:rsid w:val="00D82EB0"/>
    <w:rsid w:val="00D83696"/>
    <w:rsid w:val="00D83AED"/>
    <w:rsid w:val="00D84548"/>
    <w:rsid w:val="00D84F78"/>
    <w:rsid w:val="00D9021A"/>
    <w:rsid w:val="00D91BEE"/>
    <w:rsid w:val="00D922CF"/>
    <w:rsid w:val="00DA1426"/>
    <w:rsid w:val="00DA176A"/>
    <w:rsid w:val="00DA2529"/>
    <w:rsid w:val="00DA485C"/>
    <w:rsid w:val="00DA5AF1"/>
    <w:rsid w:val="00DB0955"/>
    <w:rsid w:val="00DB0C03"/>
    <w:rsid w:val="00DB130A"/>
    <w:rsid w:val="00DB178E"/>
    <w:rsid w:val="00DB2EBB"/>
    <w:rsid w:val="00DC10A1"/>
    <w:rsid w:val="00DC2111"/>
    <w:rsid w:val="00DC37BF"/>
    <w:rsid w:val="00DC57EE"/>
    <w:rsid w:val="00DC655F"/>
    <w:rsid w:val="00DC6FE9"/>
    <w:rsid w:val="00DD0B59"/>
    <w:rsid w:val="00DD1F61"/>
    <w:rsid w:val="00DD4456"/>
    <w:rsid w:val="00DD5E25"/>
    <w:rsid w:val="00DD7EBD"/>
    <w:rsid w:val="00DF2595"/>
    <w:rsid w:val="00DF62B6"/>
    <w:rsid w:val="00DF747E"/>
    <w:rsid w:val="00E0195B"/>
    <w:rsid w:val="00E01E06"/>
    <w:rsid w:val="00E02214"/>
    <w:rsid w:val="00E02D1D"/>
    <w:rsid w:val="00E03587"/>
    <w:rsid w:val="00E067E9"/>
    <w:rsid w:val="00E07225"/>
    <w:rsid w:val="00E1090A"/>
    <w:rsid w:val="00E1401A"/>
    <w:rsid w:val="00E14324"/>
    <w:rsid w:val="00E14873"/>
    <w:rsid w:val="00E22653"/>
    <w:rsid w:val="00E24E9F"/>
    <w:rsid w:val="00E3009C"/>
    <w:rsid w:val="00E320D1"/>
    <w:rsid w:val="00E32B72"/>
    <w:rsid w:val="00E36F21"/>
    <w:rsid w:val="00E40F40"/>
    <w:rsid w:val="00E43C74"/>
    <w:rsid w:val="00E443C3"/>
    <w:rsid w:val="00E4501C"/>
    <w:rsid w:val="00E5398E"/>
    <w:rsid w:val="00E5409F"/>
    <w:rsid w:val="00E55C2A"/>
    <w:rsid w:val="00E55D00"/>
    <w:rsid w:val="00E5745E"/>
    <w:rsid w:val="00E66F37"/>
    <w:rsid w:val="00E671B4"/>
    <w:rsid w:val="00E70A56"/>
    <w:rsid w:val="00E8027E"/>
    <w:rsid w:val="00E81B3E"/>
    <w:rsid w:val="00E861B3"/>
    <w:rsid w:val="00E8630A"/>
    <w:rsid w:val="00EA12C6"/>
    <w:rsid w:val="00EA2AD3"/>
    <w:rsid w:val="00EB20A8"/>
    <w:rsid w:val="00EB2D9D"/>
    <w:rsid w:val="00EB4A9F"/>
    <w:rsid w:val="00EB7749"/>
    <w:rsid w:val="00EC049D"/>
    <w:rsid w:val="00EC1889"/>
    <w:rsid w:val="00EC27C5"/>
    <w:rsid w:val="00EC553C"/>
    <w:rsid w:val="00ED419F"/>
    <w:rsid w:val="00ED5746"/>
    <w:rsid w:val="00EE1291"/>
    <w:rsid w:val="00EE4DB6"/>
    <w:rsid w:val="00EE50C4"/>
    <w:rsid w:val="00EE6488"/>
    <w:rsid w:val="00EF0EE4"/>
    <w:rsid w:val="00EF1B1B"/>
    <w:rsid w:val="00EF30D3"/>
    <w:rsid w:val="00EF505E"/>
    <w:rsid w:val="00EF5DAB"/>
    <w:rsid w:val="00EF5FE2"/>
    <w:rsid w:val="00F021FA"/>
    <w:rsid w:val="00F02B8E"/>
    <w:rsid w:val="00F038A5"/>
    <w:rsid w:val="00F071DB"/>
    <w:rsid w:val="00F14CA6"/>
    <w:rsid w:val="00F16CFE"/>
    <w:rsid w:val="00F21F87"/>
    <w:rsid w:val="00F22FBF"/>
    <w:rsid w:val="00F23B6A"/>
    <w:rsid w:val="00F26C20"/>
    <w:rsid w:val="00F32845"/>
    <w:rsid w:val="00F35A49"/>
    <w:rsid w:val="00F414F6"/>
    <w:rsid w:val="00F43267"/>
    <w:rsid w:val="00F44044"/>
    <w:rsid w:val="00F56A65"/>
    <w:rsid w:val="00F60217"/>
    <w:rsid w:val="00F606F1"/>
    <w:rsid w:val="00F629DB"/>
    <w:rsid w:val="00F62E97"/>
    <w:rsid w:val="00F64094"/>
    <w:rsid w:val="00F64209"/>
    <w:rsid w:val="00F660CB"/>
    <w:rsid w:val="00F67805"/>
    <w:rsid w:val="00F702BC"/>
    <w:rsid w:val="00F7063C"/>
    <w:rsid w:val="00F74885"/>
    <w:rsid w:val="00F74D07"/>
    <w:rsid w:val="00F751E5"/>
    <w:rsid w:val="00F764C3"/>
    <w:rsid w:val="00F8143D"/>
    <w:rsid w:val="00F82AC0"/>
    <w:rsid w:val="00F8503B"/>
    <w:rsid w:val="00F8748A"/>
    <w:rsid w:val="00F87684"/>
    <w:rsid w:val="00F915DC"/>
    <w:rsid w:val="00F93BF5"/>
    <w:rsid w:val="00FA1C7C"/>
    <w:rsid w:val="00FA26FB"/>
    <w:rsid w:val="00FA5B59"/>
    <w:rsid w:val="00FB09B3"/>
    <w:rsid w:val="00FB1387"/>
    <w:rsid w:val="00FB24B6"/>
    <w:rsid w:val="00FB3458"/>
    <w:rsid w:val="00FB39CB"/>
    <w:rsid w:val="00FB4615"/>
    <w:rsid w:val="00FC3327"/>
    <w:rsid w:val="00FD0E89"/>
    <w:rsid w:val="00FD0F9C"/>
    <w:rsid w:val="00FD2D57"/>
    <w:rsid w:val="00FD469D"/>
    <w:rsid w:val="00FE482A"/>
    <w:rsid w:val="00FE5B2B"/>
    <w:rsid w:val="00FE7846"/>
    <w:rsid w:val="00FE7DAD"/>
    <w:rsid w:val="00FF08AA"/>
    <w:rsid w:val="00FF3C37"/>
    <w:rsid w:val="00FF79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4F20449-EB91-46C3-8DED-983E276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BD"/>
    <w:pPr>
      <w:widowControl w:val="0"/>
    </w:pPr>
    <w:rPr>
      <w:snapToGrid w:val="0"/>
      <w:kern w:val="28"/>
      <w:sz w:val="22"/>
    </w:rPr>
  </w:style>
  <w:style w:type="paragraph" w:styleId="Heading1">
    <w:name w:val="heading 1"/>
    <w:basedOn w:val="Normal"/>
    <w:next w:val="ParaNum"/>
    <w:link w:val="Heading1Char"/>
    <w:qFormat/>
    <w:rsid w:val="008C21B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21BD"/>
    <w:pPr>
      <w:keepNext/>
      <w:numPr>
        <w:ilvl w:val="1"/>
        <w:numId w:val="2"/>
      </w:numPr>
      <w:spacing w:after="120"/>
      <w:outlineLvl w:val="1"/>
    </w:pPr>
    <w:rPr>
      <w:b/>
    </w:rPr>
  </w:style>
  <w:style w:type="paragraph" w:styleId="Heading3">
    <w:name w:val="heading 3"/>
    <w:basedOn w:val="Normal"/>
    <w:next w:val="ParaNum"/>
    <w:qFormat/>
    <w:rsid w:val="008C21BD"/>
    <w:pPr>
      <w:keepNext/>
      <w:numPr>
        <w:ilvl w:val="2"/>
        <w:numId w:val="2"/>
      </w:numPr>
      <w:tabs>
        <w:tab w:val="left" w:pos="2160"/>
      </w:tabs>
      <w:spacing w:after="120"/>
      <w:outlineLvl w:val="2"/>
    </w:pPr>
    <w:rPr>
      <w:b/>
    </w:rPr>
  </w:style>
  <w:style w:type="paragraph" w:styleId="Heading4">
    <w:name w:val="heading 4"/>
    <w:basedOn w:val="Normal"/>
    <w:next w:val="ParaNum"/>
    <w:qFormat/>
    <w:rsid w:val="008C21BD"/>
    <w:pPr>
      <w:keepNext/>
      <w:numPr>
        <w:ilvl w:val="3"/>
        <w:numId w:val="2"/>
      </w:numPr>
      <w:tabs>
        <w:tab w:val="left" w:pos="2880"/>
      </w:tabs>
      <w:spacing w:after="120"/>
      <w:outlineLvl w:val="3"/>
    </w:pPr>
    <w:rPr>
      <w:b/>
    </w:rPr>
  </w:style>
  <w:style w:type="paragraph" w:styleId="Heading5">
    <w:name w:val="heading 5"/>
    <w:basedOn w:val="Normal"/>
    <w:next w:val="ParaNum"/>
    <w:qFormat/>
    <w:rsid w:val="008C21BD"/>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C21BD"/>
    <w:pPr>
      <w:numPr>
        <w:ilvl w:val="5"/>
        <w:numId w:val="2"/>
      </w:numPr>
      <w:tabs>
        <w:tab w:val="left" w:pos="4320"/>
      </w:tabs>
      <w:spacing w:after="120"/>
      <w:outlineLvl w:val="5"/>
    </w:pPr>
    <w:rPr>
      <w:b/>
    </w:rPr>
  </w:style>
  <w:style w:type="paragraph" w:styleId="Heading7">
    <w:name w:val="heading 7"/>
    <w:basedOn w:val="Normal"/>
    <w:next w:val="ParaNum"/>
    <w:qFormat/>
    <w:rsid w:val="008C21B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C21B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C21B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1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1BD"/>
  </w:style>
  <w:style w:type="paragraph" w:customStyle="1" w:styleId="ParaNum">
    <w:name w:val="ParaNum"/>
    <w:basedOn w:val="Normal"/>
    <w:link w:val="ParaNumChar0"/>
    <w:rsid w:val="008C21BD"/>
    <w:pPr>
      <w:numPr>
        <w:numId w:val="1"/>
      </w:numPr>
      <w:tabs>
        <w:tab w:val="clear" w:pos="1080"/>
        <w:tab w:val="num" w:pos="1440"/>
      </w:tabs>
      <w:spacing w:after="120"/>
    </w:pPr>
  </w:style>
  <w:style w:type="paragraph" w:styleId="EndnoteText">
    <w:name w:val="endnote text"/>
    <w:basedOn w:val="Normal"/>
    <w:semiHidden/>
    <w:rsid w:val="008C21BD"/>
    <w:rPr>
      <w:sz w:val="20"/>
    </w:rPr>
  </w:style>
  <w:style w:type="character" w:styleId="EndnoteReference">
    <w:name w:val="endnote reference"/>
    <w:semiHidden/>
    <w:rsid w:val="008C21B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8C21B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C21BD"/>
    <w:rPr>
      <w:rFonts w:ascii="Times New Roman" w:hAnsi="Times New Roman"/>
      <w:dstrike w:val="0"/>
      <w:color w:val="auto"/>
      <w:sz w:val="20"/>
      <w:vertAlign w:val="superscript"/>
    </w:rPr>
  </w:style>
  <w:style w:type="paragraph" w:styleId="TOC1">
    <w:name w:val="toc 1"/>
    <w:basedOn w:val="Normal"/>
    <w:next w:val="Normal"/>
    <w:semiHidden/>
    <w:rsid w:val="008C21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21BD"/>
    <w:pPr>
      <w:tabs>
        <w:tab w:val="left" w:pos="720"/>
        <w:tab w:val="right" w:leader="dot" w:pos="9360"/>
      </w:tabs>
      <w:suppressAutoHyphens/>
      <w:ind w:left="720" w:right="720" w:hanging="360"/>
    </w:pPr>
    <w:rPr>
      <w:noProof/>
    </w:rPr>
  </w:style>
  <w:style w:type="paragraph" w:styleId="TOC3">
    <w:name w:val="toc 3"/>
    <w:basedOn w:val="Normal"/>
    <w:next w:val="Normal"/>
    <w:semiHidden/>
    <w:rsid w:val="008C21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21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21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21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21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21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21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21BD"/>
    <w:pPr>
      <w:tabs>
        <w:tab w:val="right" w:pos="9360"/>
      </w:tabs>
      <w:suppressAutoHyphens/>
    </w:pPr>
  </w:style>
  <w:style w:type="character" w:customStyle="1" w:styleId="EquationCaption">
    <w:name w:val="_Equation Caption"/>
    <w:rsid w:val="008C21BD"/>
  </w:style>
  <w:style w:type="paragraph" w:styleId="Header">
    <w:name w:val="header"/>
    <w:basedOn w:val="Normal"/>
    <w:link w:val="HeaderChar"/>
    <w:autoRedefine/>
    <w:rsid w:val="008C21BD"/>
    <w:pPr>
      <w:tabs>
        <w:tab w:val="center" w:pos="4680"/>
        <w:tab w:val="right" w:pos="9360"/>
      </w:tabs>
    </w:pPr>
    <w:rPr>
      <w:b/>
    </w:rPr>
  </w:style>
  <w:style w:type="paragraph" w:styleId="Footer">
    <w:name w:val="footer"/>
    <w:basedOn w:val="Normal"/>
    <w:link w:val="FooterChar"/>
    <w:uiPriority w:val="99"/>
    <w:rsid w:val="008C21BD"/>
    <w:pPr>
      <w:tabs>
        <w:tab w:val="center" w:pos="4320"/>
        <w:tab w:val="right" w:pos="8640"/>
      </w:tabs>
    </w:pPr>
  </w:style>
  <w:style w:type="character" w:styleId="PageNumber">
    <w:name w:val="page number"/>
    <w:basedOn w:val="DefaultParagraphFont"/>
    <w:rsid w:val="008C21BD"/>
  </w:style>
  <w:style w:type="paragraph" w:styleId="BlockText">
    <w:name w:val="Block Text"/>
    <w:basedOn w:val="Normal"/>
    <w:rsid w:val="008C21BD"/>
    <w:pPr>
      <w:spacing w:after="240"/>
      <w:ind w:left="1440" w:right="1440"/>
    </w:pPr>
  </w:style>
  <w:style w:type="paragraph" w:customStyle="1" w:styleId="Paratitle">
    <w:name w:val="Para title"/>
    <w:basedOn w:val="Normal"/>
    <w:rsid w:val="008C21BD"/>
    <w:pPr>
      <w:tabs>
        <w:tab w:val="center" w:pos="9270"/>
      </w:tabs>
      <w:spacing w:after="240"/>
    </w:pPr>
    <w:rPr>
      <w:spacing w:val="-2"/>
    </w:rPr>
  </w:style>
  <w:style w:type="paragraph" w:customStyle="1" w:styleId="Bullet">
    <w:name w:val="Bullet"/>
    <w:basedOn w:val="Normal"/>
    <w:rsid w:val="008C21BD"/>
    <w:pPr>
      <w:tabs>
        <w:tab w:val="left" w:pos="2160"/>
      </w:tabs>
      <w:spacing w:after="220"/>
      <w:ind w:left="2160" w:hanging="720"/>
    </w:pPr>
  </w:style>
  <w:style w:type="paragraph" w:customStyle="1" w:styleId="TableFormat">
    <w:name w:val="TableFormat"/>
    <w:basedOn w:val="Bullet"/>
    <w:rsid w:val="008C21BD"/>
    <w:pPr>
      <w:tabs>
        <w:tab w:val="clear" w:pos="2160"/>
        <w:tab w:val="left" w:pos="5040"/>
      </w:tabs>
      <w:ind w:left="5040" w:hanging="3600"/>
    </w:pPr>
  </w:style>
  <w:style w:type="paragraph" w:customStyle="1" w:styleId="TOCTitle">
    <w:name w:val="TOC Title"/>
    <w:basedOn w:val="Normal"/>
    <w:rsid w:val="008C21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21BD"/>
    <w:pPr>
      <w:jc w:val="center"/>
    </w:pPr>
    <w:rPr>
      <w:rFonts w:ascii="Times New Roman Bold" w:hAnsi="Times New Roman Bold"/>
      <w:b/>
      <w:bCs/>
      <w:caps/>
      <w:szCs w:val="22"/>
    </w:rPr>
  </w:style>
  <w:style w:type="character" w:styleId="Hyperlink">
    <w:name w:val="Hyperlink"/>
    <w:rsid w:val="008C21BD"/>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8C21BD"/>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141931"/>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small-content">
    <w:name w:val="small-content"/>
    <w:basedOn w:val="DefaultParagraphFont"/>
    <w:rsid w:val="003B34CE"/>
  </w:style>
  <w:style w:type="character" w:customStyle="1" w:styleId="UnresolvedMention">
    <w:name w:val="Unresolved Mention"/>
    <w:basedOn w:val="DefaultParagraphFont"/>
    <w:uiPriority w:val="99"/>
    <w:semiHidden/>
    <w:unhideWhenUsed/>
    <w:rsid w:val="00C325DF"/>
    <w:rPr>
      <w:color w:val="808080"/>
      <w:shd w:val="clear" w:color="auto" w:fill="E6E6E6"/>
    </w:rPr>
  </w:style>
  <w:style w:type="paragraph" w:customStyle="1" w:styleId="footnotedescription">
    <w:name w:val="footnote description"/>
    <w:next w:val="Normal"/>
    <w:link w:val="footnotedescriptionChar"/>
    <w:hidden/>
    <w:pPr>
      <w:spacing w:after="83" w:line="259" w:lineRule="auto"/>
    </w:pPr>
    <w:rPr>
      <w:color w:val="000000"/>
      <w:szCs w:val="22"/>
    </w:rPr>
  </w:style>
  <w:style w:type="character" w:customStyle="1" w:styleId="footnotedescriptionChar">
    <w:name w:val="footnote description Char"/>
    <w:link w:val="footnotedescription"/>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fcc.gov/FeeFiler/login.cf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yperlink" Target="mailto:EB-SED-Response@fcc.gov" TargetMode="External" /><Relationship Id="rId9" Type="http://schemas.openxmlformats.org/officeDocument/2006/relationships/hyperlink" Target="mailto:Eric.Ehrenreich@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