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45A6394" w14:textId="6AE95F59">
      <w:pPr>
        <w:jc w:val="right"/>
        <w:rPr>
          <w:b/>
          <w:sz w:val="24"/>
        </w:rPr>
      </w:pPr>
      <w:bookmarkStart w:id="0" w:name="_GoBack"/>
      <w:bookmarkEnd w:id="0"/>
      <w:r>
        <w:rPr>
          <w:b/>
          <w:sz w:val="24"/>
        </w:rPr>
        <w:t xml:space="preserve">DA </w:t>
      </w:r>
      <w:r w:rsidR="008E3662">
        <w:rPr>
          <w:b/>
          <w:sz w:val="24"/>
        </w:rPr>
        <w:t>19-12</w:t>
      </w:r>
      <w:r w:rsidR="000E2C33">
        <w:rPr>
          <w:b/>
          <w:sz w:val="24"/>
        </w:rPr>
        <w:t>76</w:t>
      </w:r>
    </w:p>
    <w:p w:rsidR="00013A8B" w:rsidRPr="00B20363" w:rsidP="00013A8B" w14:paraId="1AAAD506" w14:textId="6C6AD85D">
      <w:pPr>
        <w:spacing w:before="60"/>
        <w:jc w:val="right"/>
        <w:rPr>
          <w:b/>
          <w:sz w:val="24"/>
        </w:rPr>
      </w:pPr>
      <w:r>
        <w:rPr>
          <w:b/>
          <w:sz w:val="24"/>
        </w:rPr>
        <w:t xml:space="preserve">Released:  </w:t>
      </w:r>
      <w:r w:rsidR="00A72407">
        <w:rPr>
          <w:b/>
          <w:sz w:val="24"/>
        </w:rPr>
        <w:t>December 16,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bookmarkStart w:id="1" w:name="_Hlk27384318"/>
      <w:r w:rsidRPr="00324F2D">
        <w:rPr>
          <w:rFonts w:ascii="Times New Roman Bold" w:hAnsi="Times New Roman Bold"/>
          <w:b/>
          <w:caps/>
          <w:sz w:val="24"/>
        </w:rPr>
        <w:t>CONNECT AMERICA FUND PHASE II AUCTION SUPPORT AUTHORIZED</w:t>
      </w:r>
    </w:p>
    <w:p w:rsidR="00013A8B" w:rsidP="00324F2D" w14:paraId="69BC6C17" w14:textId="34E4E8A3">
      <w:pPr>
        <w:spacing w:after="240"/>
        <w:jc w:val="center"/>
        <w:rPr>
          <w:b/>
          <w:sz w:val="24"/>
        </w:rPr>
      </w:pPr>
      <w:r w:rsidRPr="00324F2D">
        <w:rPr>
          <w:rFonts w:ascii="Times New Roman Bold" w:hAnsi="Times New Roman Bold"/>
          <w:b/>
          <w:caps/>
          <w:sz w:val="24"/>
        </w:rPr>
        <w:t xml:space="preserve">FOR </w:t>
      </w:r>
      <w:r w:rsidRPr="007B356D" w:rsidR="00376D7A">
        <w:rPr>
          <w:rFonts w:ascii="Times New Roman Bold" w:hAnsi="Times New Roman Bold"/>
          <w:b/>
          <w:caps/>
          <w:sz w:val="24"/>
        </w:rPr>
        <w:t>669</w:t>
      </w:r>
      <w:r w:rsidR="005D647E">
        <w:rPr>
          <w:rFonts w:ascii="Times New Roman Bold" w:hAnsi="Times New Roman Bold"/>
          <w:b/>
          <w:caps/>
          <w:sz w:val="24"/>
        </w:rPr>
        <w:t xml:space="preserve"> </w:t>
      </w:r>
      <w:r w:rsidRPr="00324F2D">
        <w:rPr>
          <w:rFonts w:ascii="Times New Roman Bold" w:hAnsi="Times New Roman Bold"/>
          <w:b/>
          <w:caps/>
          <w:sz w:val="24"/>
        </w:rPr>
        <w:t>WINNING BIDS</w:t>
      </w:r>
    </w:p>
    <w:bookmarkEnd w:id="1"/>
    <w:p w:rsidR="00013A8B" w:rsidP="00013A8B" w14:paraId="7C8B9E85" w14:textId="77777777">
      <w:pPr>
        <w:jc w:val="center"/>
        <w:rPr>
          <w:b/>
          <w:sz w:val="24"/>
        </w:rPr>
      </w:pPr>
      <w:r>
        <w:rPr>
          <w:b/>
          <w:sz w:val="24"/>
        </w:rPr>
        <w:t>AU Docket No. 17-182</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0019A6" w:rsidP="000019A6" w14:paraId="33B7CE62" w14:textId="6311D54E">
      <w:pPr>
        <w:tabs>
          <w:tab w:val="left" w:pos="720"/>
        </w:tabs>
        <w:spacing w:after="120"/>
      </w:pPr>
      <w:r>
        <w:tab/>
      </w:r>
      <w:r w:rsidRPr="00AE659B">
        <w:t xml:space="preserve">By this Public Notice, the Wireline Competition Bureau (WCB), in conjunction with the Rural Broadband Auctions Task Force and the Office of Economics and Analytics, authorize </w:t>
      </w:r>
      <w:r w:rsidRPr="007B356D">
        <w:t>$</w:t>
      </w:r>
      <w:r w:rsidRPr="007B356D" w:rsidR="00B80AA9">
        <w:t>89</w:t>
      </w:r>
      <w:r w:rsidRPr="007B356D">
        <w:t>,</w:t>
      </w:r>
      <w:r w:rsidRPr="007B356D" w:rsidR="00B80AA9">
        <w:t>184</w:t>
      </w:r>
      <w:r w:rsidRPr="007B356D">
        <w:t>,</w:t>
      </w:r>
      <w:r w:rsidRPr="007B356D" w:rsidR="00B80AA9">
        <w:t>858</w:t>
      </w:r>
      <w:r w:rsidRPr="007B356D">
        <w:t>.</w:t>
      </w:r>
      <w:r w:rsidRPr="007B356D" w:rsidR="00B80AA9">
        <w:t>4</w:t>
      </w:r>
      <w:r w:rsidRPr="007B356D">
        <w:t>0</w:t>
      </w:r>
      <w:r w:rsidR="007B356D">
        <w:t xml:space="preserve"> </w:t>
      </w:r>
      <w:r w:rsidRPr="00F57CFB">
        <w:t>in</w:t>
      </w:r>
      <w:r>
        <w:t xml:space="preserve"> Connect America Fund Phase II (Auction 903) support for the </w:t>
      </w:r>
      <w:bookmarkStart w:id="2" w:name="_Hlk27384364"/>
      <w:r>
        <w:t xml:space="preserve">winning bids identified in Attachment A of this Public Notice.  </w:t>
      </w:r>
      <w:bookmarkEnd w:id="2"/>
      <w:r>
        <w:tab/>
      </w:r>
    </w:p>
    <w:p w:rsidR="000019A6" w:rsidP="000019A6" w14:paraId="2D7547D7" w14:textId="77777777">
      <w:pPr>
        <w:tabs>
          <w:tab w:val="left" w:pos="720"/>
        </w:tabs>
        <w:spacing w:after="120"/>
      </w:pPr>
      <w:r>
        <w:tab/>
        <w:t xml:space="preserve">For each of the winning bids identified in Attachment A, we have reviewed the long-form application information, including the letter(s) of credit and Bankruptcy Code opinion letter(s) from the long-form applicant’s legal counsel.  </w:t>
      </w:r>
    </w:p>
    <w:p w:rsidR="00324F2D" w:rsidP="000019A6" w14:paraId="2D93A56A" w14:textId="642327B9">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P="00324F2D" w14:paraId="143DA329" w14:textId="428DF8A2">
      <w:pPr>
        <w:tabs>
          <w:tab w:val="left" w:pos="720"/>
        </w:tabs>
        <w:spacing w:before="120" w:after="120"/>
      </w:pPr>
      <w:r>
        <w:tab/>
        <w:t>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w:t>
      </w:r>
      <w:r>
        <w:rPr>
          <w:rStyle w:val="FootnoteReference"/>
        </w:rPr>
        <w:footnoteReference w:id="4"/>
      </w:r>
      <w:r>
        <w:t xml:space="preserve">  The support will be disbursed in 120 monthly payments, which will begin at the end of this month. </w:t>
      </w:r>
    </w:p>
    <w:p w:rsidR="00324F2D" w:rsidP="00A72407" w14:paraId="1BA91298" w14:textId="77777777">
      <w:pPr>
        <w:widowControl/>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5"/>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t xml:space="preserve">  The locations must be in the </w:t>
      </w:r>
      <w:r w:rsidRPr="00C24B98">
        <w:t>eligible census blocks</w:t>
      </w:r>
      <w:r>
        <w:t xml:space="preserve"> covered by the long-form applicant’s winning bids.</w:t>
      </w:r>
      <w:r>
        <w:rPr>
          <w:rStyle w:val="FootnoteReference"/>
        </w:rPr>
        <w:footnoteReference w:id="7"/>
      </w:r>
      <w:r>
        <w:t xml:space="preserve">  </w:t>
      </w:r>
    </w:p>
    <w:p w:rsidR="00324F2D" w:rsidRPr="00A867BF" w:rsidP="00324F2D" w14:paraId="219B392D" w14:textId="5A113D28">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sidRPr="007B356D" w:rsidR="00D05582">
        <w:rPr>
          <w:b/>
          <w:szCs w:val="22"/>
        </w:rPr>
        <w:t>February 2</w:t>
      </w:r>
      <w:r w:rsidRPr="007B356D" w:rsidR="007F0AFF">
        <w:rPr>
          <w:b/>
          <w:szCs w:val="22"/>
        </w:rPr>
        <w:t>6</w:t>
      </w:r>
      <w:r w:rsidRPr="007B356D">
        <w:rPr>
          <w:b/>
          <w:szCs w:val="22"/>
        </w:rPr>
        <w:t>, 202</w:t>
      </w:r>
      <w:r w:rsidRPr="007B356D" w:rsidR="000A1B4C">
        <w:rPr>
          <w:b/>
          <w:szCs w:val="22"/>
        </w:rPr>
        <w:t>1</w:t>
      </w:r>
      <w:r w:rsidRPr="00A867BF">
        <w:rPr>
          <w:szCs w:val="22"/>
        </w:rPr>
        <w:t>.</w:t>
      </w:r>
      <w:r>
        <w:rPr>
          <w:rStyle w:val="FootnoteReference"/>
          <w:szCs w:val="22"/>
        </w:rPr>
        <w:footnoteReference w:id="9"/>
      </w:r>
      <w:r w:rsidRPr="00A867BF">
        <w:rPr>
          <w:szCs w:val="22"/>
        </w:rPr>
        <w:t xml:space="preserve"> </w:t>
      </w:r>
      <w:r>
        <w:rPr>
          <w:szCs w:val="22"/>
        </w:rPr>
        <w:t xml:space="preserve"> Support recipients must continue to report this information on or before the last business day of each </w:t>
      </w:r>
      <w:r w:rsidRPr="007B356D" w:rsidR="004670CE">
        <w:rPr>
          <w:b/>
          <w:szCs w:val="22"/>
        </w:rPr>
        <w:t>February</w:t>
      </w:r>
      <w:r w:rsidR="00745CFF">
        <w:rPr>
          <w:b/>
          <w:szCs w:val="22"/>
        </w:rPr>
        <w:t xml:space="preserve"> </w:t>
      </w:r>
      <w:r>
        <w:rPr>
          <w:szCs w:val="22"/>
        </w:rPr>
        <w:t xml:space="preserve">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10"/>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EE63BC"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EE63BC" w14:paraId="18A9FF2B" w14:textId="77777777">
            <w:pPr>
              <w:keepNext/>
              <w:tabs>
                <w:tab w:val="left" w:pos="720"/>
              </w:tabs>
              <w:spacing w:after="120"/>
              <w:jc w:val="center"/>
              <w:rPr>
                <w:b/>
              </w:rPr>
            </w:pPr>
            <w:r w:rsidRPr="007771F1">
              <w:rPr>
                <w:b/>
              </w:rPr>
              <w:t>Service Milestone Deadline</w:t>
            </w:r>
          </w:p>
        </w:tc>
      </w:tr>
      <w:tr w14:paraId="4D99B911" w14:textId="77777777" w:rsidTr="00B055A3">
        <w:tblPrEx>
          <w:tblW w:w="0" w:type="auto"/>
          <w:tblInd w:w="1990" w:type="dxa"/>
          <w:tblLook w:val="04A0"/>
        </w:tblPrEx>
        <w:tc>
          <w:tcPr>
            <w:tcW w:w="3116" w:type="dxa"/>
            <w:shd w:val="clear" w:color="auto" w:fill="auto"/>
          </w:tcPr>
          <w:p w:rsidR="00324F2D" w:rsidP="00EE63BC" w14:paraId="68F7307A" w14:textId="77777777">
            <w:pPr>
              <w:keepNext/>
              <w:tabs>
                <w:tab w:val="left" w:pos="720"/>
              </w:tabs>
              <w:spacing w:after="120"/>
              <w:jc w:val="center"/>
            </w:pPr>
            <w:r>
              <w:t>40</w:t>
            </w:r>
          </w:p>
        </w:tc>
        <w:tc>
          <w:tcPr>
            <w:tcW w:w="3117" w:type="dxa"/>
            <w:shd w:val="clear" w:color="auto" w:fill="auto"/>
          </w:tcPr>
          <w:p w:rsidR="00324F2D" w:rsidRPr="007B356D" w:rsidP="00EE63BC" w14:paraId="6E0B9681" w14:textId="2F515E17">
            <w:pPr>
              <w:keepNext/>
              <w:tabs>
                <w:tab w:val="left" w:pos="720"/>
              </w:tabs>
              <w:spacing w:after="120"/>
            </w:pPr>
            <w:r w:rsidRPr="007B356D">
              <w:t>December 15</w:t>
            </w:r>
            <w:r w:rsidRPr="007B356D">
              <w:t>, 2022</w:t>
            </w:r>
          </w:p>
        </w:tc>
      </w:tr>
      <w:tr w14:paraId="51A5EC92" w14:textId="77777777" w:rsidTr="00B055A3">
        <w:tblPrEx>
          <w:tblW w:w="0" w:type="auto"/>
          <w:tblInd w:w="1990" w:type="dxa"/>
          <w:tblLook w:val="04A0"/>
        </w:tblPrEx>
        <w:tc>
          <w:tcPr>
            <w:tcW w:w="3116" w:type="dxa"/>
            <w:shd w:val="clear" w:color="auto" w:fill="auto"/>
          </w:tcPr>
          <w:p w:rsidR="00324F2D" w:rsidP="00EE63BC" w14:paraId="1D5D91BA" w14:textId="77777777">
            <w:pPr>
              <w:keepNext/>
              <w:tabs>
                <w:tab w:val="left" w:pos="720"/>
              </w:tabs>
              <w:spacing w:after="120"/>
              <w:jc w:val="center"/>
            </w:pPr>
            <w:r>
              <w:t>60</w:t>
            </w:r>
          </w:p>
        </w:tc>
        <w:tc>
          <w:tcPr>
            <w:tcW w:w="3117" w:type="dxa"/>
            <w:shd w:val="clear" w:color="auto" w:fill="auto"/>
          </w:tcPr>
          <w:p w:rsidR="00324F2D" w:rsidRPr="007B356D" w:rsidP="00EE63BC" w14:paraId="29AC4A2A" w14:textId="4C5466E4">
            <w:pPr>
              <w:keepNext/>
              <w:tabs>
                <w:tab w:val="left" w:pos="720"/>
              </w:tabs>
              <w:spacing w:after="120"/>
            </w:pPr>
            <w:r w:rsidRPr="007B356D">
              <w:t>December 15</w:t>
            </w:r>
            <w:r w:rsidRPr="007B356D">
              <w:t>, 2023</w:t>
            </w:r>
          </w:p>
        </w:tc>
      </w:tr>
      <w:tr w14:paraId="1A0AFF50" w14:textId="77777777" w:rsidTr="00B055A3">
        <w:tblPrEx>
          <w:tblW w:w="0" w:type="auto"/>
          <w:tblInd w:w="1990" w:type="dxa"/>
          <w:tblLook w:val="04A0"/>
        </w:tblPrEx>
        <w:tc>
          <w:tcPr>
            <w:tcW w:w="3116" w:type="dxa"/>
            <w:shd w:val="clear" w:color="auto" w:fill="auto"/>
          </w:tcPr>
          <w:p w:rsidR="00324F2D" w:rsidP="00EE63BC" w14:paraId="65718989" w14:textId="77777777">
            <w:pPr>
              <w:keepNext/>
              <w:tabs>
                <w:tab w:val="left" w:pos="720"/>
              </w:tabs>
              <w:spacing w:after="120"/>
              <w:jc w:val="center"/>
            </w:pPr>
            <w:r>
              <w:t>80</w:t>
            </w:r>
          </w:p>
        </w:tc>
        <w:tc>
          <w:tcPr>
            <w:tcW w:w="3117" w:type="dxa"/>
            <w:shd w:val="clear" w:color="auto" w:fill="auto"/>
          </w:tcPr>
          <w:p w:rsidR="00324F2D" w:rsidRPr="007B356D" w:rsidP="00EE63BC" w14:paraId="4FB62735" w14:textId="113582BB">
            <w:pPr>
              <w:keepNext/>
              <w:tabs>
                <w:tab w:val="left" w:pos="720"/>
              </w:tabs>
              <w:spacing w:after="120"/>
            </w:pPr>
            <w:r w:rsidRPr="007B356D">
              <w:t>December 15</w:t>
            </w:r>
            <w:r w:rsidRPr="007B356D">
              <w:t>, 2024</w:t>
            </w:r>
          </w:p>
        </w:tc>
      </w:tr>
      <w:tr w14:paraId="74195302" w14:textId="77777777" w:rsidTr="00B055A3">
        <w:tblPrEx>
          <w:tblW w:w="0" w:type="auto"/>
          <w:tblInd w:w="1990" w:type="dxa"/>
          <w:tblLook w:val="04A0"/>
        </w:tblPrEx>
        <w:tc>
          <w:tcPr>
            <w:tcW w:w="3116" w:type="dxa"/>
            <w:shd w:val="clear" w:color="auto" w:fill="auto"/>
          </w:tcPr>
          <w:p w:rsidR="00324F2D" w:rsidP="00B055A3" w14:paraId="32F1587C" w14:textId="77777777">
            <w:pPr>
              <w:tabs>
                <w:tab w:val="left" w:pos="720"/>
              </w:tabs>
              <w:spacing w:after="120"/>
              <w:jc w:val="center"/>
            </w:pPr>
            <w:r>
              <w:t>100</w:t>
            </w:r>
          </w:p>
        </w:tc>
        <w:tc>
          <w:tcPr>
            <w:tcW w:w="3117" w:type="dxa"/>
            <w:shd w:val="clear" w:color="auto" w:fill="auto"/>
          </w:tcPr>
          <w:p w:rsidR="00324F2D" w:rsidRPr="007B356D" w:rsidP="00B055A3" w14:paraId="6FDC5E44" w14:textId="4CC0D4E4">
            <w:pPr>
              <w:tabs>
                <w:tab w:val="left" w:pos="720"/>
              </w:tabs>
              <w:spacing w:after="120"/>
            </w:pPr>
            <w:r w:rsidRPr="007B356D">
              <w:t>December 15</w:t>
            </w:r>
            <w:r w:rsidRPr="007B356D">
              <w:t>, 2025</w:t>
            </w:r>
          </w:p>
        </w:tc>
      </w:tr>
    </w:tbl>
    <w:p w:rsidR="00324F2D" w:rsidP="00324F2D" w14:paraId="0A925AC2" w14:textId="77777777">
      <w:pPr>
        <w:tabs>
          <w:tab w:val="left" w:pos="720"/>
        </w:tabs>
      </w:pPr>
    </w:p>
    <w:p w:rsidR="00324F2D" w:rsidP="00324F2D" w14:paraId="2BB06EAA" w14:textId="7411F2CA">
      <w:pPr>
        <w:pStyle w:val="ListParagraph"/>
        <w:spacing w:after="120"/>
        <w:contextualSpacing w:val="0"/>
        <w:rPr>
          <w:szCs w:val="22"/>
        </w:rPr>
      </w:pPr>
      <w:r>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1"/>
      </w:r>
      <w:r>
        <w:rPr>
          <w:szCs w:val="22"/>
        </w:rPr>
        <w:t xml:space="preserve">  Support recipients that are being authorized by this Public Notice must file their certifications in the HUBB portal by the last business day of each </w:t>
      </w:r>
      <w:r w:rsidRPr="007B356D" w:rsidR="00F22BDE">
        <w:rPr>
          <w:b/>
          <w:szCs w:val="22"/>
        </w:rPr>
        <w:t>February</w:t>
      </w:r>
      <w:r w:rsidR="004858F2">
        <w:rPr>
          <w:b/>
          <w:szCs w:val="22"/>
        </w:rPr>
        <w:t xml:space="preserve"> </w:t>
      </w:r>
      <w:r>
        <w:rPr>
          <w:szCs w:val="22"/>
        </w:rPr>
        <w:t>following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2"/>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3"/>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4"/>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5"/>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6"/>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7"/>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8"/>
      </w:r>
      <w:r w:rsidRPr="009C005E">
        <w:rPr>
          <w:szCs w:val="22"/>
        </w:rPr>
        <w:t xml:space="preserve">  </w:t>
      </w:r>
      <w:r>
        <w:t xml:space="preserve">WCB, the Wireless Telecommunications Bureau, and the Office of </w:t>
      </w:r>
      <w:r>
        <w:t>Engineering and Technology have adopted a uniform framework to measure and report on the performance of ETCs’ service.</w:t>
      </w:r>
      <w:r>
        <w:rPr>
          <w:rStyle w:val="FootnoteReference"/>
          <w:szCs w:val="22"/>
        </w:rPr>
        <w:footnoteReference w:id="19"/>
      </w:r>
    </w:p>
    <w:p w:rsidR="001D3CD1" w:rsidRPr="001D3CD1" w:rsidP="00324F2D" w14:paraId="437B5A39" w14:textId="77777777">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20"/>
      </w:r>
      <w:r>
        <w:t xml:space="preserve">  </w:t>
      </w:r>
      <w:r w:rsidRPr="004858F2">
        <w:rPr>
          <w:szCs w:val="22"/>
        </w:rPr>
        <w:t>We previously concluded that there was good cause to waive on our own motion the October 1, 2019 section 54.314 filing deadline with respect to the use of Auction 903 support.</w:t>
      </w:r>
      <w:r>
        <w:rPr>
          <w:rStyle w:val="FootnoteReference"/>
          <w:szCs w:val="22"/>
        </w:rPr>
        <w:footnoteReference w:id="21"/>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2"/>
      </w:r>
      <w:r>
        <w:t xml:space="preserve">  </w:t>
      </w:r>
    </w:p>
    <w:p w:rsidR="00324F2D" w:rsidP="00324F2D" w14:paraId="5221C97F"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3"/>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4"/>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5"/>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6"/>
      </w:r>
      <w:r w:rsidRPr="00F17EC2">
        <w:rPr>
          <w:szCs w:val="22"/>
        </w:rPr>
        <w:t xml:space="preserve">  The failure to timely file information may result in penalties in the form of a reduction in support.</w:t>
      </w:r>
      <w:r>
        <w:rPr>
          <w:rStyle w:val="FootnoteReference"/>
          <w:szCs w:val="22"/>
        </w:rPr>
        <w:footnoteReference w:id="27"/>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w:t>
      </w:r>
      <w:r w:rsidRPr="009C005E">
        <w:rPr>
          <w:szCs w:val="22"/>
        </w:rPr>
        <w:t xml:space="preserve">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8"/>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9"/>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0"/>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1"/>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2"/>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3"/>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4"/>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5"/>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 xml:space="preserve">will release an order approving the relinquishment if the relinquishing ETC demonstrates </w:t>
      </w:r>
      <w:r w:rsidRPr="009C005E">
        <w:rPr>
          <w:szCs w:val="22"/>
          <w:lang w:val="en"/>
        </w:rPr>
        <w:t>that the affected area will continue to be served by at least one ETC.</w:t>
      </w:r>
      <w:r>
        <w:rPr>
          <w:rStyle w:val="FootnoteReference"/>
          <w:szCs w:val="22"/>
        </w:rPr>
        <w:footnoteReference w:id="36"/>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7"/>
      </w:r>
      <w:bookmarkStart w:id="3"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8"/>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9"/>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3"/>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0"/>
      </w:r>
      <w:r>
        <w:rPr>
          <w:szCs w:val="22"/>
        </w:rPr>
        <w:t xml:space="preserve">  </w:t>
      </w:r>
    </w:p>
    <w:p w:rsidR="00324F2D" w:rsidRPr="0096264B" w:rsidP="00745CFF" w14:paraId="7C17BA7F"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1"/>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2"/>
      </w:r>
      <w:r>
        <w:t xml:space="preserve">  </w:t>
      </w: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RPr="00481D72" w:rsidP="00481D72" w14:paraId="59A7784C" w14:textId="23617704">
            <w:pPr>
              <w:rPr>
                <w:snapToGrid/>
                <w:kern w:val="0"/>
              </w:rPr>
            </w:pPr>
            <w:r>
              <w:t>Stephen Snowman</w:t>
            </w:r>
          </w:p>
          <w:p w:rsidR="00324F2D" w:rsidP="00B055A3" w14:paraId="08BEEB42" w14:textId="5A358A62">
            <w:pPr>
              <w:widowControl/>
              <w:rPr>
                <w:szCs w:val="22"/>
              </w:rPr>
            </w:pPr>
            <w:r>
              <w:rPr>
                <w:szCs w:val="22"/>
              </w:rPr>
              <w:t xml:space="preserve">(202) </w:t>
            </w:r>
            <w:r w:rsidRPr="00481D72" w:rsidR="00481D72">
              <w:rPr>
                <w:szCs w:val="22"/>
              </w:rPr>
              <w:t>414-2725</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4C13B914">
            <w:pPr>
              <w:widowControl/>
              <w:rPr>
                <w:szCs w:val="22"/>
              </w:rPr>
            </w:pPr>
            <w:r>
              <w:rPr>
                <w:szCs w:val="22"/>
              </w:rPr>
              <w:t>Michael Janson</w:t>
            </w:r>
            <w:r w:rsidRPr="008F2585">
              <w:rPr>
                <w:szCs w:val="22"/>
              </w:rPr>
              <w:t>, (202) 418-</w:t>
            </w:r>
            <w:r>
              <w:rPr>
                <w:szCs w:val="22"/>
              </w:rPr>
              <w:t>0627</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RPr="00893B45" w:rsidP="00324F2D" w14:paraId="670F7997" w14:textId="77777777">
      <w:pPr>
        <w:widowControl/>
        <w:jc w:val="center"/>
        <w:rPr>
          <w:szCs w:val="22"/>
        </w:rPr>
      </w:pPr>
      <w:r w:rsidRPr="00AB74E1">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E39" w14:paraId="20EA3B23" w14:textId="77777777">
      <w:r>
        <w:separator/>
      </w:r>
    </w:p>
  </w:footnote>
  <w:footnote w:type="continuationSeparator" w:id="1">
    <w:p w:rsidR="00DE7E39" w14:paraId="64A06A9C" w14:textId="77777777">
      <w:pPr>
        <w:rPr>
          <w:sz w:val="20"/>
        </w:rPr>
      </w:pPr>
      <w:r>
        <w:rPr>
          <w:sz w:val="20"/>
        </w:rPr>
        <w:t xml:space="preserve">(Continued from previous page)  </w:t>
      </w:r>
      <w:r>
        <w:rPr>
          <w:sz w:val="20"/>
        </w:rPr>
        <w:separator/>
      </w:r>
    </w:p>
  </w:footnote>
  <w:footnote w:type="continuationNotice" w:id="2">
    <w:p w:rsidR="00DE7E39" w:rsidP="00910F12" w14:paraId="608D6311" w14:textId="77777777">
      <w:pPr>
        <w:jc w:val="right"/>
        <w:rPr>
          <w:sz w:val="20"/>
        </w:rPr>
      </w:pPr>
      <w:r>
        <w:rPr>
          <w:sz w:val="20"/>
        </w:rPr>
        <w:t>(continued….)</w:t>
      </w:r>
    </w:p>
  </w:footnote>
  <w:footnote w:id="3">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4">
    <w:p w:rsidR="00212592" w:rsidRPr="007B356D" w:rsidP="00212592" w14:paraId="01EA1E4E" w14:textId="14205438">
      <w:pPr>
        <w:widowControl/>
        <w:autoSpaceDE w:val="0"/>
        <w:autoSpaceDN w:val="0"/>
        <w:adjustRightInd w:val="0"/>
        <w:rPr>
          <w:rFonts w:ascii="TimesNewRomanPSMT" w:hAnsi="TimesNewRomanPSMT" w:cs="TimesNewRomanPSMT"/>
          <w:snapToGrid/>
          <w:kern w:val="0"/>
          <w:sz w:val="20"/>
        </w:rPr>
      </w:pPr>
      <w:r w:rsidRPr="007B356D">
        <w:rPr>
          <w:rStyle w:val="FootnoteReference"/>
        </w:rPr>
        <w:footnoteRef/>
      </w:r>
      <w:r w:rsidRPr="007B356D">
        <w:t xml:space="preserve"> </w:t>
      </w:r>
      <w:r w:rsidRPr="007B356D">
        <w:rPr>
          <w:rFonts w:ascii="TimesNewRomanPSMT" w:hAnsi="TimesNewRomanPSMT" w:cs="TimesNewRomanPSMT"/>
          <w:snapToGrid/>
          <w:kern w:val="0"/>
          <w:sz w:val="20"/>
        </w:rPr>
        <w:t xml:space="preserve">USAC assigned Bruce Telephone Company, Inc. (Bruce Telephone) a different study area code than </w:t>
      </w:r>
      <w:r w:rsidRPr="007B356D" w:rsidR="00876D98">
        <w:rPr>
          <w:rFonts w:ascii="TimesNewRomanPSMT" w:hAnsi="TimesNewRomanPSMT" w:cs="TimesNewRomanPSMT"/>
          <w:snapToGrid/>
          <w:kern w:val="0"/>
          <w:sz w:val="20"/>
        </w:rPr>
        <w:t xml:space="preserve">what </w:t>
      </w:r>
      <w:r w:rsidRPr="007B356D">
        <w:rPr>
          <w:rFonts w:ascii="TimesNewRomanPSMT" w:hAnsi="TimesNewRomanPSMT" w:cs="TimesNewRomanPSMT"/>
          <w:snapToGrid/>
          <w:kern w:val="0"/>
          <w:sz w:val="20"/>
        </w:rPr>
        <w:t>was</w:t>
      </w:r>
    </w:p>
    <w:p w:rsidR="000A1B4C" w:rsidRPr="00B76C20" w:rsidP="00B76C20" w14:paraId="5B8841AE" w14:textId="65F071FF">
      <w:pPr>
        <w:widowControl/>
        <w:autoSpaceDE w:val="0"/>
        <w:autoSpaceDN w:val="0"/>
        <w:adjustRightInd w:val="0"/>
        <w:rPr>
          <w:rFonts w:ascii="TimesNewRomanPS-ItalicMT" w:hAnsi="TimesNewRomanPS-ItalicMT" w:cs="TimesNewRomanPS-ItalicMT"/>
          <w:i/>
          <w:iCs/>
          <w:snapToGrid/>
          <w:kern w:val="0"/>
          <w:sz w:val="20"/>
        </w:rPr>
      </w:pPr>
      <w:r w:rsidRPr="007B356D">
        <w:rPr>
          <w:rFonts w:ascii="TimesNewRomanPSMT" w:hAnsi="TimesNewRomanPSMT" w:cs="TimesNewRomanPSMT"/>
          <w:snapToGrid/>
          <w:kern w:val="0"/>
          <w:sz w:val="20"/>
        </w:rPr>
        <w:t xml:space="preserve">announced in the public notice deeming </w:t>
      </w:r>
      <w:r w:rsidRPr="007B356D" w:rsidR="00B76C20">
        <w:rPr>
          <w:rFonts w:ascii="TimesNewRomanPSMT" w:hAnsi="TimesNewRomanPSMT" w:cs="TimesNewRomanPSMT"/>
          <w:snapToGrid/>
          <w:kern w:val="0"/>
          <w:sz w:val="20"/>
        </w:rPr>
        <w:t>Bruce Telephone</w:t>
      </w:r>
      <w:r w:rsidRPr="007B356D">
        <w:rPr>
          <w:rFonts w:ascii="TimesNewRomanPSMT" w:hAnsi="TimesNewRomanPSMT" w:cs="TimesNewRomanPSMT"/>
          <w:snapToGrid/>
          <w:kern w:val="0"/>
          <w:sz w:val="20"/>
        </w:rPr>
        <w:t xml:space="preserve"> ready to authorize.</w:t>
      </w:r>
      <w:r w:rsidRPr="007B356D" w:rsidR="00042870">
        <w:rPr>
          <w:rFonts w:ascii="TimesNewRomanPSMT" w:hAnsi="TimesNewRomanPSMT" w:cs="TimesNewRomanPSMT"/>
          <w:snapToGrid/>
          <w:kern w:val="0"/>
          <w:sz w:val="20"/>
        </w:rPr>
        <w:t xml:space="preserve"> </w:t>
      </w:r>
      <w:r w:rsidRPr="007B356D">
        <w:rPr>
          <w:rFonts w:ascii="TimesNewRomanPSMT" w:hAnsi="TimesNewRomanPSMT" w:cs="TimesNewRomanPSMT"/>
          <w:snapToGrid/>
          <w:kern w:val="0"/>
          <w:sz w:val="20"/>
        </w:rPr>
        <w:t xml:space="preserve"> </w:t>
      </w:r>
      <w:r w:rsidRPr="007B356D">
        <w:rPr>
          <w:rFonts w:ascii="TimesNewRomanPS-ItalicMT" w:hAnsi="TimesNewRomanPS-ItalicMT" w:cs="TimesNewRomanPS-ItalicMT"/>
          <w:i/>
          <w:iCs/>
          <w:snapToGrid/>
          <w:kern w:val="0"/>
          <w:sz w:val="20"/>
        </w:rPr>
        <w:t>Connect America Fund Phase II Auction</w:t>
      </w:r>
      <w:r w:rsidRPr="007B356D" w:rsidR="00B76C20">
        <w:rPr>
          <w:rFonts w:ascii="TimesNewRomanPS-ItalicMT" w:hAnsi="TimesNewRomanPS-ItalicMT" w:cs="TimesNewRomanPS-ItalicMT"/>
          <w:i/>
          <w:iCs/>
          <w:snapToGrid/>
          <w:kern w:val="0"/>
          <w:sz w:val="20"/>
        </w:rPr>
        <w:t xml:space="preserve"> </w:t>
      </w:r>
      <w:r w:rsidRPr="007B356D">
        <w:rPr>
          <w:rFonts w:ascii="TimesNewRomanPS-ItalicMT" w:hAnsi="TimesNewRomanPS-ItalicMT" w:cs="TimesNewRomanPS-ItalicMT"/>
          <w:i/>
          <w:iCs/>
          <w:snapToGrid/>
          <w:kern w:val="0"/>
          <w:sz w:val="20"/>
        </w:rPr>
        <w:t xml:space="preserve">Support for </w:t>
      </w:r>
      <w:r w:rsidRPr="007B356D" w:rsidR="002A5B17">
        <w:rPr>
          <w:rFonts w:ascii="TimesNewRomanPS-ItalicMT" w:hAnsi="TimesNewRomanPS-ItalicMT" w:cs="TimesNewRomanPS-ItalicMT"/>
          <w:i/>
          <w:iCs/>
          <w:snapToGrid/>
          <w:kern w:val="0"/>
          <w:sz w:val="20"/>
        </w:rPr>
        <w:t>822</w:t>
      </w:r>
      <w:r w:rsidRPr="007B356D">
        <w:rPr>
          <w:rFonts w:ascii="TimesNewRomanPS-ItalicMT" w:hAnsi="TimesNewRomanPS-ItalicMT" w:cs="TimesNewRomanPS-ItalicMT"/>
          <w:i/>
          <w:iCs/>
          <w:snapToGrid/>
          <w:kern w:val="0"/>
          <w:sz w:val="20"/>
        </w:rPr>
        <w:t xml:space="preserve"> Winning Bids Ready to be Authorized</w:t>
      </w:r>
      <w:r w:rsidRPr="007B356D">
        <w:rPr>
          <w:rFonts w:ascii="TimesNewRomanPSMT" w:hAnsi="TimesNewRomanPSMT" w:cs="TimesNewRomanPSMT"/>
          <w:snapToGrid/>
          <w:kern w:val="0"/>
          <w:sz w:val="20"/>
        </w:rPr>
        <w:t>, AU Docket No. 17-182, WC Docket No. 10-90, Public</w:t>
      </w:r>
      <w:r w:rsidRPr="007B356D" w:rsidR="00B76C20">
        <w:rPr>
          <w:rFonts w:ascii="TimesNewRomanPSMT" w:hAnsi="TimesNewRomanPSMT" w:cs="TimesNewRomanPSMT"/>
          <w:snapToGrid/>
          <w:kern w:val="0"/>
          <w:sz w:val="20"/>
        </w:rPr>
        <w:t xml:space="preserve"> </w:t>
      </w:r>
      <w:r w:rsidRPr="007B356D">
        <w:rPr>
          <w:rFonts w:ascii="TimesNewRomanPSMT" w:hAnsi="TimesNewRomanPSMT" w:cs="TimesNewRomanPSMT"/>
          <w:snapToGrid/>
          <w:kern w:val="0"/>
          <w:sz w:val="20"/>
        </w:rPr>
        <w:t>Notice, DA 19-</w:t>
      </w:r>
      <w:r w:rsidRPr="007B356D" w:rsidR="00A002D5">
        <w:rPr>
          <w:rFonts w:ascii="TimesNewRomanPSMT" w:hAnsi="TimesNewRomanPSMT" w:cs="TimesNewRomanPSMT"/>
          <w:snapToGrid/>
          <w:kern w:val="0"/>
          <w:sz w:val="20"/>
        </w:rPr>
        <w:t>248</w:t>
      </w:r>
      <w:r w:rsidRPr="007B356D">
        <w:rPr>
          <w:rFonts w:ascii="TimesNewRomanPSMT" w:hAnsi="TimesNewRomanPSMT" w:cs="TimesNewRomanPSMT"/>
          <w:snapToGrid/>
          <w:kern w:val="0"/>
          <w:sz w:val="20"/>
        </w:rPr>
        <w:t xml:space="preserve">, at Attach. A (WCB </w:t>
      </w:r>
      <w:r w:rsidRPr="007B356D" w:rsidR="0045601F">
        <w:rPr>
          <w:rFonts w:ascii="TimesNewRomanPSMT" w:hAnsi="TimesNewRomanPSMT" w:cs="TimesNewRomanPSMT"/>
          <w:snapToGrid/>
          <w:kern w:val="0"/>
          <w:sz w:val="20"/>
        </w:rPr>
        <w:t>April 3</w:t>
      </w:r>
      <w:r w:rsidRPr="007B356D">
        <w:rPr>
          <w:rFonts w:ascii="TimesNewRomanPSMT" w:hAnsi="TimesNewRomanPSMT" w:cs="TimesNewRomanPSMT"/>
          <w:snapToGrid/>
          <w:kern w:val="0"/>
          <w:sz w:val="20"/>
        </w:rPr>
        <w:t xml:space="preserve">, 2019). </w:t>
      </w:r>
      <w:r w:rsidRPr="007B356D" w:rsidR="00042870">
        <w:rPr>
          <w:rFonts w:ascii="TimesNewRomanPSMT" w:hAnsi="TimesNewRomanPSMT" w:cs="TimesNewRomanPSMT"/>
          <w:snapToGrid/>
          <w:kern w:val="0"/>
          <w:sz w:val="20"/>
        </w:rPr>
        <w:t xml:space="preserve"> </w:t>
      </w:r>
      <w:r w:rsidRPr="007B356D">
        <w:rPr>
          <w:rFonts w:ascii="TimesNewRomanPSMT" w:hAnsi="TimesNewRomanPSMT" w:cs="TimesNewRomanPSMT"/>
          <w:snapToGrid/>
          <w:kern w:val="0"/>
          <w:sz w:val="20"/>
        </w:rPr>
        <w:t>The revised study area code is reflected in Attachment A.</w:t>
      </w:r>
    </w:p>
  </w:footnote>
  <w:footnote w:id="5">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6">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7">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9">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10">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1">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2">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3">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4">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5">
    <w:p w:rsidR="00324F2D" w:rsidP="00324F2D" w14:paraId="50B8E23A" w14:textId="77777777">
      <w:pPr>
        <w:pStyle w:val="FootnoteText"/>
      </w:pPr>
      <w:r>
        <w:rPr>
          <w:rStyle w:val="FootnoteReference"/>
        </w:rPr>
        <w:footnoteRef/>
      </w:r>
      <w:r>
        <w:t xml:space="preserve"> 47 CFR 54.313; </w:t>
      </w:r>
      <w:r w:rsidRPr="006F00A1">
        <w:rPr>
          <w:i/>
        </w:rPr>
        <w:t>Phase II Auction Order</w:t>
      </w:r>
      <w:r>
        <w:t>, 31 FCC Rcd at 6011-13, paras. 176-79.</w:t>
      </w:r>
    </w:p>
  </w:footnote>
  <w:footnote w:id="16">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7">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8">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19">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20">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1">
    <w:p w:rsidR="001D3CD1" w:rsidP="001D3CD1" w14:paraId="1E7AB966" w14:textId="77777777">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xml:space="preserve">, </w:t>
      </w:r>
      <w:r w:rsidRPr="004858F2" w:rsidR="001E589C">
        <w:t xml:space="preserve">AU Docket No. 17-182, WC Docket No. 10-90, </w:t>
      </w:r>
      <w:r w:rsidRPr="004858F2">
        <w:t>Public Notice, DA 19-414, at 4-5 (WCB May 14, 2019).</w:t>
      </w:r>
    </w:p>
  </w:footnote>
  <w:footnote w:id="22">
    <w:p w:rsidR="00324F2D" w:rsidP="00324F2D" w14:paraId="65274AA1" w14:textId="77777777">
      <w:pPr>
        <w:pStyle w:val="FootnoteText"/>
      </w:pPr>
      <w:r>
        <w:rPr>
          <w:rStyle w:val="FootnoteReference"/>
        </w:rPr>
        <w:footnoteRef/>
      </w:r>
      <w:r>
        <w:t xml:space="preserve"> 47 CFR § 54.314(a).  </w:t>
      </w:r>
    </w:p>
  </w:footnote>
  <w:footnote w:id="23">
    <w:p w:rsidR="00324F2D" w:rsidP="00324F2D" w14:paraId="2F66F4C1" w14:textId="77777777">
      <w:pPr>
        <w:pStyle w:val="FootnoteText"/>
      </w:pPr>
      <w:r>
        <w:rPr>
          <w:rStyle w:val="FootnoteReference"/>
        </w:rPr>
        <w:footnoteRef/>
      </w:r>
      <w:r>
        <w:t xml:space="preserve"> 47 CFR § 54.314(b).</w:t>
      </w:r>
    </w:p>
  </w:footnote>
  <w:footnote w:id="24">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5">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6">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7">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8">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29">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0">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1">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2">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3">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4">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5">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36">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37">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38">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9">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0">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1">
    <w:p w:rsidR="00324F2D" w:rsidP="00324F2D" w14:paraId="094B863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2">
    <w:p w:rsidR="001E66B7" w:rsidRPr="00C26450" w:rsidP="001E66B7" w14:paraId="106560B1" w14:textId="538739A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r w:rsidRPr="00C26450">
        <w:rPr>
          <w:sz w:val="20"/>
        </w:rPr>
        <w:t xml:space="preserve">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658A7423">
    <w:pPr>
      <w:tabs>
        <w:tab w:val="center" w:pos="4680"/>
        <w:tab w:val="right" w:pos="9360"/>
      </w:tabs>
    </w:pPr>
    <w:r w:rsidRPr="009838BC">
      <w:rPr>
        <w:b/>
      </w:rPr>
      <w:tab/>
      <w:t>Federal Communications Commission</w:t>
    </w:r>
    <w:r w:rsidRPr="009838BC">
      <w:rPr>
        <w:b/>
      </w:rPr>
      <w:tab/>
    </w:r>
    <w:r w:rsidR="00324F2D">
      <w:rPr>
        <w:b/>
      </w:rPr>
      <w:t xml:space="preserve">DA </w:t>
    </w:r>
    <w:r w:rsidR="008E3662">
      <w:rPr>
        <w:b/>
      </w:rPr>
      <w:t>19-12</w:t>
    </w:r>
    <w:r w:rsidR="000E2C33">
      <w:rPr>
        <w:b/>
      </w:rPr>
      <w:t>76</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9597.6pt,56.7pt" to="1006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19A6"/>
    <w:rsid w:val="000023B9"/>
    <w:rsid w:val="000033A9"/>
    <w:rsid w:val="000072CE"/>
    <w:rsid w:val="00010B65"/>
    <w:rsid w:val="00013A8B"/>
    <w:rsid w:val="00021445"/>
    <w:rsid w:val="00027A77"/>
    <w:rsid w:val="00036039"/>
    <w:rsid w:val="00037F90"/>
    <w:rsid w:val="00042870"/>
    <w:rsid w:val="000875BF"/>
    <w:rsid w:val="00096D8C"/>
    <w:rsid w:val="000976EC"/>
    <w:rsid w:val="000A1B4C"/>
    <w:rsid w:val="000C0B65"/>
    <w:rsid w:val="000E2C33"/>
    <w:rsid w:val="000E3D42"/>
    <w:rsid w:val="000E5884"/>
    <w:rsid w:val="001107C8"/>
    <w:rsid w:val="00122BD5"/>
    <w:rsid w:val="001254B1"/>
    <w:rsid w:val="00127486"/>
    <w:rsid w:val="001979D9"/>
    <w:rsid w:val="001D3CD1"/>
    <w:rsid w:val="001D6BCF"/>
    <w:rsid w:val="001E01CA"/>
    <w:rsid w:val="001E25C5"/>
    <w:rsid w:val="001E589C"/>
    <w:rsid w:val="001E66B7"/>
    <w:rsid w:val="001F3228"/>
    <w:rsid w:val="002060D9"/>
    <w:rsid w:val="00212592"/>
    <w:rsid w:val="00226822"/>
    <w:rsid w:val="00260594"/>
    <w:rsid w:val="002611F9"/>
    <w:rsid w:val="00261860"/>
    <w:rsid w:val="00285017"/>
    <w:rsid w:val="002A0D22"/>
    <w:rsid w:val="002A2D2E"/>
    <w:rsid w:val="002A5B17"/>
    <w:rsid w:val="00324F2D"/>
    <w:rsid w:val="0032666F"/>
    <w:rsid w:val="00343749"/>
    <w:rsid w:val="00357D50"/>
    <w:rsid w:val="00376D7A"/>
    <w:rsid w:val="003925DC"/>
    <w:rsid w:val="003A7A7A"/>
    <w:rsid w:val="003B0550"/>
    <w:rsid w:val="003B694F"/>
    <w:rsid w:val="003C6F4B"/>
    <w:rsid w:val="003F171C"/>
    <w:rsid w:val="00412FC5"/>
    <w:rsid w:val="00416EC1"/>
    <w:rsid w:val="00422276"/>
    <w:rsid w:val="00422659"/>
    <w:rsid w:val="004242F1"/>
    <w:rsid w:val="00445A00"/>
    <w:rsid w:val="00451B0F"/>
    <w:rsid w:val="0045601F"/>
    <w:rsid w:val="0046125F"/>
    <w:rsid w:val="004670CE"/>
    <w:rsid w:val="00481D72"/>
    <w:rsid w:val="004858F2"/>
    <w:rsid w:val="00487524"/>
    <w:rsid w:val="00496106"/>
    <w:rsid w:val="004C12D0"/>
    <w:rsid w:val="004C2EE3"/>
    <w:rsid w:val="004E42AB"/>
    <w:rsid w:val="004E4A22"/>
    <w:rsid w:val="00511968"/>
    <w:rsid w:val="0055614C"/>
    <w:rsid w:val="0057028E"/>
    <w:rsid w:val="00584C5F"/>
    <w:rsid w:val="005A53ED"/>
    <w:rsid w:val="005D647E"/>
    <w:rsid w:val="00607BA5"/>
    <w:rsid w:val="00626EB6"/>
    <w:rsid w:val="006353A3"/>
    <w:rsid w:val="00641804"/>
    <w:rsid w:val="00655D03"/>
    <w:rsid w:val="00670297"/>
    <w:rsid w:val="00683F84"/>
    <w:rsid w:val="006A6A81"/>
    <w:rsid w:val="006B79DB"/>
    <w:rsid w:val="006D5AD6"/>
    <w:rsid w:val="006E26AF"/>
    <w:rsid w:val="006E2D55"/>
    <w:rsid w:val="006F00A1"/>
    <w:rsid w:val="006F7393"/>
    <w:rsid w:val="0070224F"/>
    <w:rsid w:val="007115F7"/>
    <w:rsid w:val="00723598"/>
    <w:rsid w:val="0074552E"/>
    <w:rsid w:val="00745CFF"/>
    <w:rsid w:val="007771F1"/>
    <w:rsid w:val="00785689"/>
    <w:rsid w:val="00790AB7"/>
    <w:rsid w:val="0079754B"/>
    <w:rsid w:val="007A1E6D"/>
    <w:rsid w:val="007B356D"/>
    <w:rsid w:val="007B7BF6"/>
    <w:rsid w:val="007F0AFF"/>
    <w:rsid w:val="00822CE0"/>
    <w:rsid w:val="00823007"/>
    <w:rsid w:val="00826BEA"/>
    <w:rsid w:val="00831FEE"/>
    <w:rsid w:val="00837C62"/>
    <w:rsid w:val="00841AB1"/>
    <w:rsid w:val="00870EDB"/>
    <w:rsid w:val="00876D98"/>
    <w:rsid w:val="00893B45"/>
    <w:rsid w:val="008A5853"/>
    <w:rsid w:val="008B165A"/>
    <w:rsid w:val="008B6B80"/>
    <w:rsid w:val="008C22FD"/>
    <w:rsid w:val="008E3662"/>
    <w:rsid w:val="008F0D11"/>
    <w:rsid w:val="008F2585"/>
    <w:rsid w:val="00910F12"/>
    <w:rsid w:val="00926503"/>
    <w:rsid w:val="00930ECF"/>
    <w:rsid w:val="00936898"/>
    <w:rsid w:val="00952D07"/>
    <w:rsid w:val="0096264B"/>
    <w:rsid w:val="009838BC"/>
    <w:rsid w:val="009C005E"/>
    <w:rsid w:val="009E6F11"/>
    <w:rsid w:val="009F6DAD"/>
    <w:rsid w:val="00A002D5"/>
    <w:rsid w:val="00A45F4F"/>
    <w:rsid w:val="00A478F2"/>
    <w:rsid w:val="00A600A9"/>
    <w:rsid w:val="00A72407"/>
    <w:rsid w:val="00A866AC"/>
    <w:rsid w:val="00A867BF"/>
    <w:rsid w:val="00AA55B7"/>
    <w:rsid w:val="00AA5B9E"/>
    <w:rsid w:val="00AB2407"/>
    <w:rsid w:val="00AB53DF"/>
    <w:rsid w:val="00AB74E1"/>
    <w:rsid w:val="00AE659B"/>
    <w:rsid w:val="00B055A3"/>
    <w:rsid w:val="00B07E5C"/>
    <w:rsid w:val="00B20363"/>
    <w:rsid w:val="00B2048B"/>
    <w:rsid w:val="00B326E3"/>
    <w:rsid w:val="00B56EB3"/>
    <w:rsid w:val="00B76C20"/>
    <w:rsid w:val="00B80AA9"/>
    <w:rsid w:val="00B811F7"/>
    <w:rsid w:val="00BA5DC6"/>
    <w:rsid w:val="00BA6196"/>
    <w:rsid w:val="00BC6D8C"/>
    <w:rsid w:val="00BF7E6C"/>
    <w:rsid w:val="00C16AF2"/>
    <w:rsid w:val="00C23F81"/>
    <w:rsid w:val="00C24B98"/>
    <w:rsid w:val="00C26450"/>
    <w:rsid w:val="00C34006"/>
    <w:rsid w:val="00C426B1"/>
    <w:rsid w:val="00C82B6B"/>
    <w:rsid w:val="00C90D6A"/>
    <w:rsid w:val="00CC72B6"/>
    <w:rsid w:val="00CE738D"/>
    <w:rsid w:val="00D0218D"/>
    <w:rsid w:val="00D04DE6"/>
    <w:rsid w:val="00D05582"/>
    <w:rsid w:val="00D122B6"/>
    <w:rsid w:val="00D216CD"/>
    <w:rsid w:val="00D263EB"/>
    <w:rsid w:val="00D5428C"/>
    <w:rsid w:val="00DA2529"/>
    <w:rsid w:val="00DB130A"/>
    <w:rsid w:val="00DB2891"/>
    <w:rsid w:val="00DC080A"/>
    <w:rsid w:val="00DC10A1"/>
    <w:rsid w:val="00DC655F"/>
    <w:rsid w:val="00DD7EBD"/>
    <w:rsid w:val="00DE7E39"/>
    <w:rsid w:val="00DF62B6"/>
    <w:rsid w:val="00E07225"/>
    <w:rsid w:val="00E10149"/>
    <w:rsid w:val="00E1545B"/>
    <w:rsid w:val="00E155B7"/>
    <w:rsid w:val="00E51E77"/>
    <w:rsid w:val="00E5409F"/>
    <w:rsid w:val="00EB0912"/>
    <w:rsid w:val="00EC0185"/>
    <w:rsid w:val="00EE63BC"/>
    <w:rsid w:val="00F021FA"/>
    <w:rsid w:val="00F17EC2"/>
    <w:rsid w:val="00F22BDE"/>
    <w:rsid w:val="00F4130C"/>
    <w:rsid w:val="00F5290A"/>
    <w:rsid w:val="00F55ED7"/>
    <w:rsid w:val="00F57ACA"/>
    <w:rsid w:val="00F57CFB"/>
    <w:rsid w:val="00F62E97"/>
    <w:rsid w:val="00F64209"/>
    <w:rsid w:val="00F752EA"/>
    <w:rsid w:val="00F76F0B"/>
    <w:rsid w:val="00F93BF5"/>
    <w:rsid w:val="00F96F63"/>
    <w:rsid w:val="00FA1F21"/>
    <w:rsid w:val="00FE096D"/>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0A"/>
    <w:pPr>
      <w:widowControl w:val="0"/>
    </w:pPr>
    <w:rPr>
      <w:snapToGrid w:val="0"/>
      <w:kern w:val="28"/>
      <w:sz w:val="22"/>
    </w:rPr>
  </w:style>
  <w:style w:type="paragraph" w:styleId="Heading1">
    <w:name w:val="heading 1"/>
    <w:basedOn w:val="Normal"/>
    <w:next w:val="ParaNum"/>
    <w:qFormat/>
    <w:rsid w:val="00F529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290A"/>
    <w:pPr>
      <w:keepNext/>
      <w:numPr>
        <w:ilvl w:val="1"/>
        <w:numId w:val="3"/>
      </w:numPr>
      <w:spacing w:after="120"/>
      <w:outlineLvl w:val="1"/>
    </w:pPr>
    <w:rPr>
      <w:b/>
    </w:rPr>
  </w:style>
  <w:style w:type="paragraph" w:styleId="Heading3">
    <w:name w:val="heading 3"/>
    <w:basedOn w:val="Normal"/>
    <w:next w:val="ParaNum"/>
    <w:qFormat/>
    <w:rsid w:val="00F5290A"/>
    <w:pPr>
      <w:keepNext/>
      <w:numPr>
        <w:ilvl w:val="2"/>
        <w:numId w:val="3"/>
      </w:numPr>
      <w:tabs>
        <w:tab w:val="left" w:pos="2160"/>
      </w:tabs>
      <w:spacing w:after="120"/>
      <w:outlineLvl w:val="2"/>
    </w:pPr>
    <w:rPr>
      <w:b/>
    </w:rPr>
  </w:style>
  <w:style w:type="paragraph" w:styleId="Heading4">
    <w:name w:val="heading 4"/>
    <w:basedOn w:val="Normal"/>
    <w:next w:val="ParaNum"/>
    <w:qFormat/>
    <w:rsid w:val="00F5290A"/>
    <w:pPr>
      <w:keepNext/>
      <w:numPr>
        <w:ilvl w:val="3"/>
        <w:numId w:val="3"/>
      </w:numPr>
      <w:tabs>
        <w:tab w:val="left" w:pos="2880"/>
      </w:tabs>
      <w:spacing w:after="120"/>
      <w:outlineLvl w:val="3"/>
    </w:pPr>
    <w:rPr>
      <w:b/>
    </w:rPr>
  </w:style>
  <w:style w:type="paragraph" w:styleId="Heading5">
    <w:name w:val="heading 5"/>
    <w:basedOn w:val="Normal"/>
    <w:next w:val="ParaNum"/>
    <w:qFormat/>
    <w:rsid w:val="00F529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290A"/>
    <w:pPr>
      <w:numPr>
        <w:ilvl w:val="5"/>
        <w:numId w:val="3"/>
      </w:numPr>
      <w:tabs>
        <w:tab w:val="left" w:pos="4320"/>
      </w:tabs>
      <w:spacing w:after="120"/>
      <w:outlineLvl w:val="5"/>
    </w:pPr>
    <w:rPr>
      <w:b/>
    </w:rPr>
  </w:style>
  <w:style w:type="paragraph" w:styleId="Heading7">
    <w:name w:val="heading 7"/>
    <w:basedOn w:val="Normal"/>
    <w:next w:val="ParaNum"/>
    <w:qFormat/>
    <w:rsid w:val="00F529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29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29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52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5290A"/>
  </w:style>
  <w:style w:type="paragraph" w:customStyle="1" w:styleId="ParaNum">
    <w:name w:val="ParaNum"/>
    <w:basedOn w:val="Normal"/>
    <w:rsid w:val="00F5290A"/>
    <w:pPr>
      <w:numPr>
        <w:numId w:val="2"/>
      </w:numPr>
      <w:tabs>
        <w:tab w:val="clear" w:pos="1080"/>
        <w:tab w:val="num" w:pos="1440"/>
      </w:tabs>
      <w:spacing w:after="120"/>
    </w:pPr>
  </w:style>
  <w:style w:type="paragraph" w:styleId="EndnoteText">
    <w:name w:val="endnote text"/>
    <w:basedOn w:val="Normal"/>
    <w:semiHidden/>
    <w:rsid w:val="00F5290A"/>
    <w:rPr>
      <w:sz w:val="20"/>
    </w:rPr>
  </w:style>
  <w:style w:type="character" w:styleId="EndnoteReference">
    <w:name w:val="endnote reference"/>
    <w:semiHidden/>
    <w:rsid w:val="00F5290A"/>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5290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5290A"/>
    <w:rPr>
      <w:rFonts w:ascii="Times New Roman" w:hAnsi="Times New Roman"/>
      <w:dstrike w:val="0"/>
      <w:color w:val="auto"/>
      <w:sz w:val="22"/>
      <w:vertAlign w:val="superscript"/>
    </w:rPr>
  </w:style>
  <w:style w:type="paragraph" w:styleId="TOC1">
    <w:name w:val="toc 1"/>
    <w:basedOn w:val="Normal"/>
    <w:next w:val="Normal"/>
    <w:uiPriority w:val="39"/>
    <w:rsid w:val="00F529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290A"/>
    <w:pPr>
      <w:tabs>
        <w:tab w:val="left" w:pos="720"/>
        <w:tab w:val="right" w:leader="dot" w:pos="9360"/>
      </w:tabs>
      <w:suppressAutoHyphens/>
      <w:ind w:left="720" w:right="720" w:hanging="360"/>
    </w:pPr>
    <w:rPr>
      <w:noProof/>
    </w:rPr>
  </w:style>
  <w:style w:type="paragraph" w:styleId="TOC3">
    <w:name w:val="toc 3"/>
    <w:basedOn w:val="Normal"/>
    <w:next w:val="Normal"/>
    <w:semiHidden/>
    <w:rsid w:val="00F529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29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29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29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29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29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29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290A"/>
    <w:pPr>
      <w:tabs>
        <w:tab w:val="right" w:pos="9360"/>
      </w:tabs>
      <w:suppressAutoHyphens/>
    </w:pPr>
  </w:style>
  <w:style w:type="character" w:customStyle="1" w:styleId="EquationCaption">
    <w:name w:val="_Equation Caption"/>
    <w:rsid w:val="00F5290A"/>
  </w:style>
  <w:style w:type="paragraph" w:styleId="Header">
    <w:name w:val="header"/>
    <w:basedOn w:val="Normal"/>
    <w:autoRedefine/>
    <w:rsid w:val="00F5290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5290A"/>
    <w:pPr>
      <w:tabs>
        <w:tab w:val="center" w:pos="4320"/>
        <w:tab w:val="right" w:pos="8640"/>
      </w:tabs>
    </w:pPr>
  </w:style>
  <w:style w:type="character" w:styleId="PageNumber">
    <w:name w:val="page number"/>
    <w:basedOn w:val="DefaultParagraphFont"/>
    <w:rsid w:val="00F5290A"/>
  </w:style>
  <w:style w:type="paragraph" w:styleId="BlockText">
    <w:name w:val="Block Text"/>
    <w:basedOn w:val="Normal"/>
    <w:rsid w:val="00F5290A"/>
    <w:pPr>
      <w:spacing w:after="240"/>
      <w:ind w:left="1440" w:right="1440"/>
    </w:pPr>
  </w:style>
  <w:style w:type="paragraph" w:customStyle="1" w:styleId="Paratitle">
    <w:name w:val="Para title"/>
    <w:basedOn w:val="Normal"/>
    <w:rsid w:val="00F5290A"/>
    <w:pPr>
      <w:tabs>
        <w:tab w:val="center" w:pos="9270"/>
      </w:tabs>
      <w:spacing w:after="240"/>
    </w:pPr>
    <w:rPr>
      <w:spacing w:val="-2"/>
    </w:rPr>
  </w:style>
  <w:style w:type="paragraph" w:customStyle="1" w:styleId="Bullet">
    <w:name w:val="Bullet"/>
    <w:basedOn w:val="Normal"/>
    <w:rsid w:val="00F5290A"/>
    <w:pPr>
      <w:numPr>
        <w:numId w:val="1"/>
      </w:numPr>
      <w:tabs>
        <w:tab w:val="clear" w:pos="360"/>
        <w:tab w:val="left" w:pos="2160"/>
      </w:tabs>
      <w:spacing w:after="220"/>
      <w:ind w:left="2160" w:hanging="720"/>
    </w:pPr>
  </w:style>
  <w:style w:type="paragraph" w:customStyle="1" w:styleId="TableFormat">
    <w:name w:val="TableFormat"/>
    <w:basedOn w:val="Bullet"/>
    <w:rsid w:val="00F5290A"/>
    <w:pPr>
      <w:numPr>
        <w:numId w:val="0"/>
      </w:numPr>
      <w:tabs>
        <w:tab w:val="clear" w:pos="2160"/>
        <w:tab w:val="left" w:pos="5040"/>
      </w:tabs>
      <w:ind w:left="5040" w:hanging="3600"/>
    </w:pPr>
  </w:style>
  <w:style w:type="paragraph" w:customStyle="1" w:styleId="TOCTitle">
    <w:name w:val="TOC Title"/>
    <w:basedOn w:val="Normal"/>
    <w:rsid w:val="00F529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290A"/>
    <w:pPr>
      <w:jc w:val="center"/>
    </w:pPr>
    <w:rPr>
      <w:rFonts w:ascii="Times New Roman Bold" w:hAnsi="Times New Roman Bold"/>
      <w:b/>
      <w:bCs/>
      <w:caps/>
      <w:szCs w:val="22"/>
    </w:rPr>
  </w:style>
  <w:style w:type="character" w:styleId="Hyperlink">
    <w:name w:val="Hyperlink"/>
    <w:rsid w:val="00F5290A"/>
    <w:rPr>
      <w:color w:val="0000FF"/>
      <w:u w:val="single"/>
    </w:rPr>
  </w:style>
  <w:style w:type="character" w:customStyle="1" w:styleId="FooterChar">
    <w:name w:val="Footer Char"/>
    <w:link w:val="Footer"/>
    <w:uiPriority w:val="99"/>
    <w:rsid w:val="00F5290A"/>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