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8B187A" w14:paraId="7CB3D79D" w14:textId="777777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8B187A" w14:paraId="1A6390C8" w14:textId="77777777">
      <w:pPr>
        <w:pStyle w:val="StyleBoldCentered"/>
        <w:widowControl/>
      </w:pPr>
      <w:r>
        <w:t>F</w:t>
      </w:r>
      <w:r>
        <w:rPr>
          <w:caps w:val="0"/>
        </w:rPr>
        <w:t>ederal Communications Commission</w:t>
      </w:r>
    </w:p>
    <w:p w:rsidR="004C2EE3" w:rsidP="008B187A" w14:paraId="78B60E1D" w14:textId="77777777">
      <w:pPr>
        <w:pStyle w:val="StyleBoldCentered"/>
        <w:widowControl/>
      </w:pPr>
      <w:r>
        <w:rPr>
          <w:caps w:val="0"/>
        </w:rPr>
        <w:t>Washington, D.C. 20554</w:t>
      </w:r>
    </w:p>
    <w:p w:rsidR="004C2EE3" w:rsidP="008B187A" w14:paraId="7B4856FB" w14:textId="77777777">
      <w:pPr>
        <w:widowControl/>
      </w:pPr>
    </w:p>
    <w:p w:rsidR="004C2EE3" w:rsidP="008B187A" w14:paraId="213DE37B" w14:textId="77777777">
      <w:pPr>
        <w:widowControl/>
      </w:pPr>
    </w:p>
    <w:tbl>
      <w:tblPr>
        <w:tblW w:w="0" w:type="auto"/>
        <w:tblLayout w:type="fixed"/>
        <w:tblLook w:val="0000"/>
      </w:tblPr>
      <w:tblGrid>
        <w:gridCol w:w="4698"/>
        <w:gridCol w:w="630"/>
        <w:gridCol w:w="4248"/>
      </w:tblGrid>
      <w:tr w14:paraId="5C4CD2F6" w14:textId="77777777">
        <w:tblPrEx>
          <w:tblW w:w="0" w:type="auto"/>
          <w:tblLayout w:type="fixed"/>
          <w:tblLook w:val="0000"/>
        </w:tblPrEx>
        <w:tc>
          <w:tcPr>
            <w:tcW w:w="4698" w:type="dxa"/>
          </w:tcPr>
          <w:p w:rsidR="004C2EE3" w:rsidP="008B187A" w14:paraId="5E4CA8BE" w14:textId="77777777">
            <w:pPr>
              <w:widowControl/>
              <w:tabs>
                <w:tab w:val="center" w:pos="4680"/>
              </w:tabs>
              <w:rPr>
                <w:spacing w:val="-2"/>
              </w:rPr>
            </w:pPr>
            <w:r>
              <w:rPr>
                <w:spacing w:val="-2"/>
              </w:rPr>
              <w:t>In the Matter of</w:t>
            </w:r>
          </w:p>
          <w:p w:rsidR="004C2EE3" w:rsidP="008B187A" w14:paraId="3DF270AB" w14:textId="77777777">
            <w:pPr>
              <w:widowControl/>
              <w:tabs>
                <w:tab w:val="center" w:pos="4680"/>
              </w:tabs>
              <w:rPr>
                <w:spacing w:val="-2"/>
              </w:rPr>
            </w:pPr>
          </w:p>
          <w:p w:rsidR="004C2EE3" w:rsidP="008B187A" w14:paraId="18D91C53" w14:textId="77777777">
            <w:pPr>
              <w:widowControl/>
              <w:tabs>
                <w:tab w:val="center" w:pos="4680"/>
              </w:tabs>
              <w:rPr>
                <w:spacing w:val="-2"/>
              </w:rPr>
            </w:pPr>
            <w:r w:rsidRPr="00FB5DBB">
              <w:rPr>
                <w:spacing w:val="-2"/>
              </w:rPr>
              <w:t>Space Exploration Holdings, LLC</w:t>
            </w:r>
          </w:p>
          <w:p w:rsidR="00BA5CE0" w:rsidP="008B187A" w14:paraId="5C206B93" w14:textId="77777777">
            <w:pPr>
              <w:widowControl/>
              <w:tabs>
                <w:tab w:val="center" w:pos="4680"/>
              </w:tabs>
              <w:rPr>
                <w:spacing w:val="-2"/>
              </w:rPr>
            </w:pPr>
          </w:p>
          <w:p w:rsidR="00BA5CE0" w:rsidP="008B187A" w14:paraId="62CBD4EB" w14:textId="77777777">
            <w:pPr>
              <w:widowControl/>
              <w:tabs>
                <w:tab w:val="center" w:pos="4680"/>
              </w:tabs>
              <w:rPr>
                <w:spacing w:val="-2"/>
              </w:rPr>
            </w:pPr>
            <w:bookmarkStart w:id="1" w:name="_Hlk1749175"/>
            <w:r>
              <w:rPr>
                <w:spacing w:val="-2"/>
              </w:rPr>
              <w:t>Request</w:t>
            </w:r>
            <w:r w:rsidR="00974FA2">
              <w:rPr>
                <w:spacing w:val="-2"/>
              </w:rPr>
              <w:t xml:space="preserve"> </w:t>
            </w:r>
            <w:r w:rsidR="000D255F">
              <w:rPr>
                <w:spacing w:val="-2"/>
              </w:rPr>
              <w:t>f</w:t>
            </w:r>
            <w:r w:rsidRPr="00AD6B00" w:rsidR="00AD6B00">
              <w:rPr>
                <w:spacing w:val="-2"/>
              </w:rPr>
              <w:t xml:space="preserve">or </w:t>
            </w:r>
            <w:r w:rsidR="00C3319D">
              <w:rPr>
                <w:spacing w:val="-2"/>
              </w:rPr>
              <w:t>Modification of the</w:t>
            </w:r>
            <w:r w:rsidR="004D13C8">
              <w:rPr>
                <w:spacing w:val="-2"/>
              </w:rPr>
              <w:t xml:space="preserve"> Authorization for the </w:t>
            </w:r>
            <w:r w:rsidRPr="00AD6B00" w:rsidR="00AD6B00">
              <w:rPr>
                <w:spacing w:val="-2"/>
              </w:rPr>
              <w:t>SpaceX NGSO Satellite System</w:t>
            </w:r>
            <w:bookmarkEnd w:id="1"/>
          </w:p>
          <w:p w:rsidR="00037973" w:rsidRPr="007115F7" w:rsidP="008B187A" w14:paraId="40B43880" w14:textId="77777777">
            <w:pPr>
              <w:widowControl/>
              <w:tabs>
                <w:tab w:val="center" w:pos="4680"/>
              </w:tabs>
              <w:rPr>
                <w:spacing w:val="-2"/>
              </w:rPr>
            </w:pPr>
          </w:p>
        </w:tc>
        <w:tc>
          <w:tcPr>
            <w:tcW w:w="630" w:type="dxa"/>
          </w:tcPr>
          <w:p w:rsidR="004C2EE3" w:rsidP="008B187A" w14:paraId="5CE86D60" w14:textId="77777777">
            <w:pPr>
              <w:widowControl/>
              <w:tabs>
                <w:tab w:val="center" w:pos="4680"/>
              </w:tabs>
              <w:rPr>
                <w:b/>
                <w:spacing w:val="-2"/>
              </w:rPr>
            </w:pPr>
            <w:r>
              <w:rPr>
                <w:b/>
                <w:spacing w:val="-2"/>
              </w:rPr>
              <w:t>)</w:t>
            </w:r>
          </w:p>
          <w:p w:rsidR="004C2EE3" w:rsidP="008B187A" w14:paraId="5BB8E4C6" w14:textId="77777777">
            <w:pPr>
              <w:widowControl/>
              <w:tabs>
                <w:tab w:val="center" w:pos="4680"/>
              </w:tabs>
              <w:rPr>
                <w:b/>
                <w:spacing w:val="-2"/>
              </w:rPr>
            </w:pPr>
            <w:r>
              <w:rPr>
                <w:b/>
                <w:spacing w:val="-2"/>
              </w:rPr>
              <w:t>)</w:t>
            </w:r>
          </w:p>
          <w:p w:rsidR="004C2EE3" w:rsidP="008B187A" w14:paraId="5F2D6528" w14:textId="77777777">
            <w:pPr>
              <w:widowControl/>
              <w:tabs>
                <w:tab w:val="center" w:pos="4680"/>
              </w:tabs>
              <w:rPr>
                <w:b/>
                <w:spacing w:val="-2"/>
              </w:rPr>
            </w:pPr>
            <w:r>
              <w:rPr>
                <w:b/>
                <w:spacing w:val="-2"/>
              </w:rPr>
              <w:t>)</w:t>
            </w:r>
          </w:p>
          <w:p w:rsidR="004C2EE3" w:rsidP="008B187A" w14:paraId="6B8E9894" w14:textId="77777777">
            <w:pPr>
              <w:widowControl/>
              <w:tabs>
                <w:tab w:val="center" w:pos="4680"/>
              </w:tabs>
              <w:rPr>
                <w:b/>
                <w:spacing w:val="-2"/>
              </w:rPr>
            </w:pPr>
            <w:r>
              <w:rPr>
                <w:b/>
                <w:spacing w:val="-2"/>
              </w:rPr>
              <w:t>)</w:t>
            </w:r>
          </w:p>
          <w:p w:rsidR="004C2EE3" w:rsidP="008B187A" w14:paraId="588058EE" w14:textId="77777777">
            <w:pPr>
              <w:widowControl/>
              <w:tabs>
                <w:tab w:val="center" w:pos="4680"/>
              </w:tabs>
              <w:rPr>
                <w:b/>
                <w:spacing w:val="-2"/>
              </w:rPr>
            </w:pPr>
            <w:r>
              <w:rPr>
                <w:b/>
                <w:spacing w:val="-2"/>
              </w:rPr>
              <w:t>)</w:t>
            </w:r>
          </w:p>
          <w:p w:rsidR="004C2EE3" w:rsidP="008B187A" w14:paraId="4EE08358" w14:textId="77777777">
            <w:pPr>
              <w:widowControl/>
              <w:tabs>
                <w:tab w:val="center" w:pos="4680"/>
              </w:tabs>
              <w:rPr>
                <w:b/>
                <w:spacing w:val="-2"/>
              </w:rPr>
            </w:pPr>
            <w:r>
              <w:rPr>
                <w:b/>
                <w:spacing w:val="-2"/>
              </w:rPr>
              <w:t>)</w:t>
            </w:r>
          </w:p>
          <w:p w:rsidR="00311191" w:rsidRPr="000D255F" w:rsidP="000D255F" w14:paraId="161B9B7E" w14:textId="77777777">
            <w:pPr>
              <w:widowControl/>
              <w:tabs>
                <w:tab w:val="center" w:pos="4680"/>
              </w:tabs>
              <w:rPr>
                <w:b/>
                <w:spacing w:val="-2"/>
              </w:rPr>
            </w:pPr>
          </w:p>
        </w:tc>
        <w:tc>
          <w:tcPr>
            <w:tcW w:w="4248" w:type="dxa"/>
          </w:tcPr>
          <w:p w:rsidR="004C2EE3" w:rsidP="008B187A" w14:paraId="3C28E00E" w14:textId="77777777">
            <w:pPr>
              <w:widowControl/>
              <w:tabs>
                <w:tab w:val="center" w:pos="4680"/>
              </w:tabs>
              <w:rPr>
                <w:spacing w:val="-2"/>
              </w:rPr>
            </w:pPr>
          </w:p>
          <w:p w:rsidR="004C2EE3" w:rsidP="008B187A" w14:paraId="0728442B" w14:textId="77777777">
            <w:pPr>
              <w:pStyle w:val="TOAHeading"/>
              <w:widowControl/>
              <w:tabs>
                <w:tab w:val="center" w:pos="4680"/>
                <w:tab w:val="clear" w:pos="9360"/>
              </w:tabs>
              <w:suppressAutoHyphens w:val="0"/>
              <w:rPr>
                <w:spacing w:val="-2"/>
              </w:rPr>
            </w:pPr>
          </w:p>
          <w:p w:rsidR="004C2EE3" w:rsidP="008B187A" w14:paraId="2ECBD940" w14:textId="4696AD8B">
            <w:pPr>
              <w:widowControl/>
              <w:tabs>
                <w:tab w:val="center" w:pos="4680"/>
              </w:tabs>
              <w:rPr>
                <w:spacing w:val="-2"/>
              </w:rPr>
            </w:pPr>
            <w:bookmarkStart w:id="2" w:name="_Hlk1749266"/>
            <w:r>
              <w:rPr>
                <w:spacing w:val="-2"/>
              </w:rPr>
              <w:t>IBFS File No.</w:t>
            </w:r>
            <w:r w:rsidR="00AD6B00">
              <w:rPr>
                <w:spacing w:val="-2"/>
              </w:rPr>
              <w:t xml:space="preserve"> </w:t>
            </w:r>
            <w:bookmarkStart w:id="3" w:name="_Hlk21534548"/>
            <w:r w:rsidRPr="00883A6B" w:rsidR="00883A6B">
              <w:rPr>
                <w:spacing w:val="-2"/>
              </w:rPr>
              <w:t>SAT</w:t>
            </w:r>
            <w:r w:rsidR="00F95609">
              <w:rPr>
                <w:spacing w:val="-2"/>
              </w:rPr>
              <w:t>-</w:t>
            </w:r>
            <w:r w:rsidRPr="00883A6B" w:rsidR="00883A6B">
              <w:rPr>
                <w:spacing w:val="-2"/>
              </w:rPr>
              <w:t>MOD</w:t>
            </w:r>
            <w:r w:rsidR="00F95609">
              <w:rPr>
                <w:spacing w:val="-2"/>
              </w:rPr>
              <w:t>-</w:t>
            </w:r>
            <w:r w:rsidRPr="00883A6B" w:rsidR="00883A6B">
              <w:rPr>
                <w:spacing w:val="-2"/>
              </w:rPr>
              <w:t>20190830</w:t>
            </w:r>
            <w:r w:rsidR="00F95609">
              <w:rPr>
                <w:spacing w:val="-2"/>
              </w:rPr>
              <w:t>-</w:t>
            </w:r>
            <w:r w:rsidRPr="00883A6B" w:rsidR="00883A6B">
              <w:rPr>
                <w:spacing w:val="-2"/>
              </w:rPr>
              <w:t>00087</w:t>
            </w:r>
            <w:bookmarkEnd w:id="2"/>
            <w:bookmarkEnd w:id="3"/>
          </w:p>
          <w:p w:rsidR="00BA5CE0" w:rsidP="008B187A" w14:paraId="5D5A257E" w14:textId="77777777">
            <w:pPr>
              <w:widowControl/>
              <w:tabs>
                <w:tab w:val="center" w:pos="4680"/>
              </w:tabs>
              <w:rPr>
                <w:spacing w:val="-2"/>
              </w:rPr>
            </w:pPr>
          </w:p>
          <w:p w:rsidR="00BA5CE0" w:rsidP="008B187A" w14:paraId="665D4A48" w14:textId="77777777">
            <w:pPr>
              <w:widowControl/>
              <w:tabs>
                <w:tab w:val="center" w:pos="4680"/>
              </w:tabs>
              <w:rPr>
                <w:spacing w:val="-2"/>
              </w:rPr>
            </w:pPr>
            <w:r>
              <w:rPr>
                <w:spacing w:val="-2"/>
              </w:rPr>
              <w:t>Call Sign</w:t>
            </w:r>
            <w:r w:rsidR="000D255F">
              <w:rPr>
                <w:spacing w:val="-2"/>
              </w:rPr>
              <w:t>s</w:t>
            </w:r>
            <w:r>
              <w:rPr>
                <w:spacing w:val="-2"/>
              </w:rPr>
              <w:t xml:space="preserve"> </w:t>
            </w:r>
            <w:r w:rsidRPr="004354CE" w:rsidR="004354CE">
              <w:rPr>
                <w:spacing w:val="-2"/>
              </w:rPr>
              <w:t>S2983</w:t>
            </w:r>
            <w:r w:rsidR="00E6024E">
              <w:rPr>
                <w:spacing w:val="-2"/>
              </w:rPr>
              <w:t xml:space="preserve"> </w:t>
            </w:r>
            <w:r w:rsidR="000D255F">
              <w:rPr>
                <w:spacing w:val="-2"/>
              </w:rPr>
              <w:t>and S</w:t>
            </w:r>
            <w:r w:rsidRPr="004354CE" w:rsidR="004354CE">
              <w:rPr>
                <w:spacing w:val="-2"/>
              </w:rPr>
              <w:t>3018</w:t>
            </w:r>
          </w:p>
          <w:p w:rsidR="00037973" w:rsidP="008B187A" w14:paraId="23F7A17F" w14:textId="77777777">
            <w:pPr>
              <w:widowControl/>
              <w:tabs>
                <w:tab w:val="center" w:pos="4680"/>
              </w:tabs>
              <w:rPr>
                <w:spacing w:val="-2"/>
              </w:rPr>
            </w:pPr>
          </w:p>
          <w:p w:rsidR="00037973" w:rsidP="008B187A" w14:paraId="6DFB49D8" w14:textId="77777777">
            <w:pPr>
              <w:widowControl/>
              <w:tabs>
                <w:tab w:val="center" w:pos="4680"/>
              </w:tabs>
              <w:rPr>
                <w:spacing w:val="-2"/>
              </w:rPr>
            </w:pPr>
          </w:p>
        </w:tc>
      </w:tr>
    </w:tbl>
    <w:p w:rsidR="008C39BA" w:rsidP="008B187A" w14:paraId="0A460C00" w14:textId="77777777">
      <w:pPr>
        <w:widowControl/>
      </w:pPr>
    </w:p>
    <w:p w:rsidR="008C39BA" w:rsidP="008B187A" w14:paraId="3C470D4E" w14:textId="77777777">
      <w:pPr>
        <w:widowControl/>
      </w:pPr>
    </w:p>
    <w:p w:rsidR="004C2EE3" w:rsidP="008B187A" w14:paraId="0CD630BF" w14:textId="77777777">
      <w:pPr>
        <w:widowControl/>
        <w:tabs>
          <w:tab w:val="left" w:pos="-720"/>
        </w:tabs>
        <w:spacing w:line="227" w:lineRule="auto"/>
        <w:jc w:val="center"/>
        <w:rPr>
          <w:rFonts w:ascii="Times New Roman Bold" w:hAnsi="Times New Roman Bold"/>
          <w:b/>
          <w:bCs/>
          <w:caps/>
          <w:szCs w:val="22"/>
        </w:rPr>
      </w:pPr>
      <w:r w:rsidRPr="000B2C87">
        <w:rPr>
          <w:rFonts w:ascii="Times New Roman Bold" w:hAnsi="Times New Roman Bold"/>
          <w:b/>
          <w:bCs/>
          <w:caps/>
          <w:szCs w:val="22"/>
        </w:rPr>
        <w:t>ORDER</w:t>
      </w:r>
      <w:r w:rsidR="000C243C">
        <w:rPr>
          <w:rFonts w:ascii="Times New Roman Bold" w:hAnsi="Times New Roman Bold"/>
          <w:b/>
          <w:bCs/>
          <w:caps/>
          <w:szCs w:val="22"/>
        </w:rPr>
        <w:t xml:space="preserve"> AND AUTHORIZATION</w:t>
      </w:r>
    </w:p>
    <w:p w:rsidR="00AD6B00" w:rsidP="008B187A" w14:paraId="1018C6D6" w14:textId="77777777">
      <w:pPr>
        <w:widowControl/>
        <w:tabs>
          <w:tab w:val="left" w:pos="-720"/>
        </w:tabs>
        <w:spacing w:line="227" w:lineRule="auto"/>
        <w:jc w:val="center"/>
        <w:rPr>
          <w:spacing w:val="-2"/>
        </w:rPr>
      </w:pPr>
    </w:p>
    <w:p w:rsidR="004C2EE3" w:rsidP="008B187A" w14:paraId="2190C31B" w14:textId="01218B58">
      <w:pPr>
        <w:widowControl/>
        <w:tabs>
          <w:tab w:val="left" w:pos="720"/>
          <w:tab w:val="right" w:pos="9360"/>
        </w:tabs>
        <w:spacing w:line="227" w:lineRule="auto"/>
        <w:rPr>
          <w:spacing w:val="-2"/>
        </w:rPr>
      </w:pPr>
      <w:r>
        <w:rPr>
          <w:b/>
          <w:spacing w:val="-2"/>
        </w:rPr>
        <w:t xml:space="preserve">Adopted:  </w:t>
      </w:r>
      <w:r w:rsidR="008154C7">
        <w:rPr>
          <w:b/>
          <w:spacing w:val="-2"/>
        </w:rPr>
        <w:t>December 19,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154C7">
        <w:rPr>
          <w:b/>
          <w:spacing w:val="-2"/>
        </w:rPr>
        <w:t>December 19, 2019</w:t>
      </w:r>
    </w:p>
    <w:p w:rsidR="00822CE0" w:rsidP="008B187A" w14:paraId="4999A199" w14:textId="77777777">
      <w:pPr>
        <w:widowControl/>
      </w:pPr>
    </w:p>
    <w:p w:rsidR="004C2EE3" w:rsidP="008B187A" w14:paraId="25D94CAA" w14:textId="77777777">
      <w:pPr>
        <w:widowControl/>
        <w:rPr>
          <w:spacing w:val="-2"/>
        </w:rPr>
      </w:pPr>
      <w:r>
        <w:t xml:space="preserve">By </w:t>
      </w:r>
      <w:r w:rsidR="004E4A22">
        <w:t>the</w:t>
      </w:r>
      <w:r w:rsidR="006001FA">
        <w:t xml:space="preserve"> Chief,</w:t>
      </w:r>
      <w:r w:rsidR="002A2D2E">
        <w:t xml:space="preserve"> </w:t>
      </w:r>
      <w:r w:rsidR="006001FA">
        <w:t xml:space="preserve">International </w:t>
      </w:r>
      <w:r w:rsidR="00E05CE4">
        <w:t>Bureau</w:t>
      </w:r>
      <w:r>
        <w:rPr>
          <w:spacing w:val="-2"/>
        </w:rPr>
        <w:t>:</w:t>
      </w:r>
    </w:p>
    <w:p w:rsidR="00822CE0" w:rsidP="008B187A" w14:paraId="1C5EE6AF" w14:textId="77777777">
      <w:pPr>
        <w:widowControl/>
        <w:rPr>
          <w:spacing w:val="-2"/>
        </w:rPr>
      </w:pPr>
    </w:p>
    <w:p w:rsidR="00412FC5" w:rsidP="008B187A" w14:paraId="7FC481A4" w14:textId="77777777">
      <w:pPr>
        <w:widowControl/>
      </w:pPr>
    </w:p>
    <w:p w:rsidR="00A012F4" w:rsidP="00A012F4" w14:paraId="6A0B8FCD" w14:textId="77777777">
      <w:pPr>
        <w:pStyle w:val="Heading1"/>
        <w:keepNext w:val="0"/>
        <w:widowControl/>
        <w:suppressAutoHyphens w:val="0"/>
      </w:pPr>
      <w:bookmarkStart w:id="4" w:name="_Hlk24639126"/>
      <w:r>
        <w:t>INTRODUCTION</w:t>
      </w:r>
    </w:p>
    <w:p w:rsidR="00A012F4" w:rsidP="00A012F4" w14:paraId="5898ABF9" w14:textId="73956D86">
      <w:pPr>
        <w:pStyle w:val="ParaNum"/>
      </w:pPr>
      <w:r>
        <w:t>In this Order and Authorization (Order), we grant the application</w:t>
      </w:r>
      <w:r>
        <w:rPr>
          <w:vertAlign w:val="superscript"/>
        </w:rPr>
        <w:footnoteReference w:id="3"/>
      </w:r>
      <w:r>
        <w:t xml:space="preserve"> of </w:t>
      </w:r>
      <w:r w:rsidRPr="00571A53">
        <w:t>Space Exploration Holdings, LLC</w:t>
      </w:r>
      <w:r>
        <w:t xml:space="preserve"> </w:t>
      </w:r>
      <w:bookmarkStart w:id="6" w:name="_Hlk1748926"/>
      <w:r>
        <w:t>(SpaceX</w:t>
      </w:r>
      <w:bookmarkEnd w:id="6"/>
      <w:r>
        <w:t xml:space="preserve">) to further modify its previously authorized 4,425 non-geostationary orbit (NGSO) </w:t>
      </w:r>
      <w:r w:rsidR="00550EF7">
        <w:t>fixed-</w:t>
      </w:r>
      <w:r>
        <w:t>satellite</w:t>
      </w:r>
      <w:r w:rsidR="00550EF7">
        <w:t xml:space="preserve"> service (FSS)</w:t>
      </w:r>
      <w:r>
        <w:t xml:space="preserve"> </w:t>
      </w:r>
      <w:r w:rsidR="00C6306F">
        <w:t xml:space="preserve">satellite </w:t>
      </w:r>
      <w:r>
        <w:t>constellation using Ku- and Ka-band spectrum.</w:t>
      </w:r>
      <w:r>
        <w:rPr>
          <w:vertAlign w:val="superscript"/>
        </w:rPr>
        <w:footnoteReference w:id="4"/>
      </w:r>
      <w:r>
        <w:t xml:space="preserve">  </w:t>
      </w:r>
      <w:bookmarkStart w:id="9" w:name="_Hlk496272555"/>
      <w:r>
        <w:t xml:space="preserve">Specifically, we authorize SpaceX to increase the number of orbital planes authorized for operations of SpaceX’s satellites at the 550 kilometer (km) orbital shell, to reduce the number of satellites in each orbital plane, and to reconfigure existing satellites in its constellation accordingly.  </w:t>
      </w:r>
      <w:bookmarkEnd w:id="9"/>
      <w:r>
        <w:t>In doing so, we deny petitions to deny or defer SpaceX’s application.</w:t>
      </w:r>
      <w:r>
        <w:rPr>
          <w:rStyle w:val="FootnoteReference"/>
        </w:rPr>
        <w:footnoteReference w:id="5"/>
      </w:r>
      <w:r>
        <w:t xml:space="preserve">  </w:t>
      </w:r>
      <w:r w:rsidRPr="00655CFB">
        <w:t>Grant</w:t>
      </w:r>
      <w:r>
        <w:t xml:space="preserve"> </w:t>
      </w:r>
      <w:r w:rsidRPr="00655CFB">
        <w:t xml:space="preserve">of this </w:t>
      </w:r>
      <w:r>
        <w:t>application</w:t>
      </w:r>
      <w:r w:rsidRPr="00655CFB">
        <w:t xml:space="preserve"> will </w:t>
      </w:r>
      <w:r w:rsidRPr="00436614">
        <w:t xml:space="preserve">allow SpaceX </w:t>
      </w:r>
      <w:r>
        <w:t xml:space="preserve">to accelerate the deployment of its satellite constellation to deliver broadband service throughout the United States, especially to those who live in areas underserved or unserved by terrestrial systems.  </w:t>
      </w:r>
    </w:p>
    <w:p w:rsidR="00A012F4" w:rsidP="00A012F4" w14:paraId="740A5D00" w14:textId="77777777">
      <w:pPr>
        <w:pStyle w:val="Heading1"/>
        <w:keepNext w:val="0"/>
        <w:widowControl/>
        <w:suppressAutoHyphens w:val="0"/>
      </w:pPr>
      <w:r>
        <w:t>BACKGROUND</w:t>
      </w:r>
    </w:p>
    <w:p w:rsidR="00A012F4" w:rsidP="00A012F4" w14:paraId="4C9EB845" w14:textId="7970363B">
      <w:pPr>
        <w:pStyle w:val="ParaNum"/>
      </w:pPr>
      <w:r>
        <w:t>On</w:t>
      </w:r>
      <w:r w:rsidR="002870AA">
        <w:t xml:space="preserve"> April 26, 2019, the I</w:t>
      </w:r>
      <w:r w:rsidR="00E319D6">
        <w:t>nternational Bureau</w:t>
      </w:r>
      <w:r w:rsidR="00D2456C">
        <w:t xml:space="preserve"> (Bureau)</w:t>
      </w:r>
      <w:r w:rsidR="00E319D6">
        <w:t xml:space="preserve">, </w:t>
      </w:r>
      <w:r w:rsidR="00550EF7">
        <w:t>granted</w:t>
      </w:r>
      <w:r>
        <w:t xml:space="preserve"> SpaceX</w:t>
      </w:r>
      <w:r w:rsidR="00550EF7">
        <w:t xml:space="preserve">’s </w:t>
      </w:r>
      <w:r>
        <w:t>request</w:t>
      </w:r>
      <w:r w:rsidR="00550EF7">
        <w:t xml:space="preserve"> to</w:t>
      </w:r>
      <w:r>
        <w:t xml:space="preserve"> modify </w:t>
      </w:r>
      <w:r w:rsidR="00550EF7">
        <w:t xml:space="preserve">its initial </w:t>
      </w:r>
      <w:r w:rsidRPr="00EF72BC">
        <w:t>authori</w:t>
      </w:r>
      <w:r>
        <w:t>zation</w:t>
      </w:r>
      <w:r w:rsidRPr="00EF72BC">
        <w:t xml:space="preserve"> </w:t>
      </w:r>
      <w:r w:rsidR="00550EF7">
        <w:t xml:space="preserve">and </w:t>
      </w:r>
      <w:r>
        <w:t>allow</w:t>
      </w:r>
      <w:r w:rsidR="004F611F">
        <w:t>ed</w:t>
      </w:r>
      <w:r>
        <w:t xml:space="preserve"> SpaceX to</w:t>
      </w:r>
      <w:r w:rsidRPr="00EC2069">
        <w:t xml:space="preserve">: (1) reduce the number of satellites in the constellation from 4,425 to 4,409; (2) </w:t>
      </w:r>
      <w:r>
        <w:t xml:space="preserve">operate </w:t>
      </w:r>
      <w:r w:rsidRPr="00EC2069">
        <w:t xml:space="preserve">1,584 satellites </w:t>
      </w:r>
      <w:r>
        <w:t xml:space="preserve">previously </w:t>
      </w:r>
      <w:r w:rsidRPr="00EC2069">
        <w:t>authorized to operate at an altitude of 1,150 km</w:t>
      </w:r>
      <w:r>
        <w:t xml:space="preserve"> at the lower</w:t>
      </w:r>
      <w:r w:rsidRPr="00EC2069">
        <w:t xml:space="preserve"> altitude of 550 km; and (3) make related changes to the operations of the </w:t>
      </w:r>
      <w:r w:rsidRPr="00EC2069">
        <w:t>satellites in this new lower shell of the constellation</w:t>
      </w:r>
      <w:r>
        <w:t>.</w:t>
      </w:r>
      <w:r>
        <w:rPr>
          <w:rStyle w:val="FootnoteReference"/>
        </w:rPr>
        <w:footnoteReference w:id="6"/>
      </w:r>
      <w:r>
        <w:t xml:space="preserve"> </w:t>
      </w:r>
    </w:p>
    <w:p w:rsidR="00A012F4" w:rsidP="00A012F4" w14:paraId="000FFEDF" w14:textId="610CEA04">
      <w:pPr>
        <w:pStyle w:val="ParaNum"/>
      </w:pPr>
      <w:r>
        <w:t xml:space="preserve">On August 30, 2019, SpaceX filed the current application seeking to further modify </w:t>
      </w:r>
      <w:r w:rsidR="00AC716D">
        <w:t xml:space="preserve">the </w:t>
      </w:r>
      <w:r>
        <w:t>lower shell of its constellation to: (1) increase the number of orbital planes from 24 to 72; (2) decrease the number of satellites per orbital plane from 66 to 22; and (3) make related changes to the deployment and operations of the satellites in these orbital planes.</w:t>
      </w:r>
      <w:r>
        <w:rPr>
          <w:rStyle w:val="FootnoteReference"/>
        </w:rPr>
        <w:footnoteReference w:id="7"/>
      </w:r>
      <w:r>
        <w:t xml:space="preserve"> </w:t>
      </w:r>
      <w:r w:rsidR="006E7E6E">
        <w:t xml:space="preserve"> </w:t>
      </w:r>
      <w:r>
        <w:t>SpaceX also provides updated analyses addressing interactions between its system as modified and other licensed systems, but SpaceX does not seek to change the number of satellites in its constellation or their altitude, inclination, operational characteristics, or orbital debris implications.</w:t>
      </w:r>
      <w:r>
        <w:rPr>
          <w:rStyle w:val="FootnoteReference"/>
        </w:rPr>
        <w:footnoteReference w:id="8"/>
      </w:r>
      <w:r>
        <w:t xml:space="preserve"> </w:t>
      </w:r>
      <w:r w:rsidR="006E7E6E">
        <w:t xml:space="preserve"> </w:t>
      </w:r>
      <w:r>
        <w:t xml:space="preserve">SpaceX proposes to operate in the same Ku- and Ka-band frequencies in which it was previously licensed to operate: </w:t>
      </w:r>
      <w:r w:rsidRPr="00E85DA1">
        <w:t>10.7-12.7 GHz</w:t>
      </w:r>
      <w:r>
        <w:t xml:space="preserve"> (space-to-Earth)</w:t>
      </w:r>
      <w:r w:rsidRPr="00E85DA1">
        <w:t xml:space="preserve">, </w:t>
      </w:r>
      <w:r w:rsidRPr="00011AF3">
        <w:t>12.75-13.25 GHz</w:t>
      </w:r>
      <w:r>
        <w:t xml:space="preserve"> (Earth-to-space),</w:t>
      </w:r>
      <w:r w:rsidRPr="00011AF3">
        <w:t xml:space="preserve"> </w:t>
      </w:r>
      <w:r w:rsidRPr="00E85DA1">
        <w:t>13.85-14.5 GHz</w:t>
      </w:r>
      <w:r>
        <w:t xml:space="preserve"> (Earth-to-space)</w:t>
      </w:r>
      <w:r w:rsidRPr="00E85DA1">
        <w:t>, 17.8-18.6 GHz</w:t>
      </w:r>
      <w:r>
        <w:t xml:space="preserve"> (space-to-Earth)</w:t>
      </w:r>
      <w:r w:rsidRPr="00E85DA1">
        <w:t>, 18.8-19.3 GHz</w:t>
      </w:r>
      <w:r>
        <w:t xml:space="preserve"> (space-to-Earth)</w:t>
      </w:r>
      <w:r w:rsidRPr="00E85DA1">
        <w:t xml:space="preserve">, </w:t>
      </w:r>
      <w:r w:rsidRPr="00011AF3">
        <w:t>19.7-20.2 GHz</w:t>
      </w:r>
      <w:r>
        <w:t xml:space="preserve"> (space-to-Earth), </w:t>
      </w:r>
      <w:r w:rsidRPr="00E85DA1">
        <w:t>27.5-29.1 GHz</w:t>
      </w:r>
      <w:r>
        <w:t xml:space="preserve"> (Earth-to-space)</w:t>
      </w:r>
      <w:r w:rsidRPr="00E85DA1">
        <w:t xml:space="preserve">, and 29.5-30 GHz </w:t>
      </w:r>
      <w:r>
        <w:t>(Earth-to-space).</w:t>
      </w:r>
      <w:r>
        <w:rPr>
          <w:rStyle w:val="FootnoteReference"/>
        </w:rPr>
        <w:footnoteReference w:id="9"/>
      </w:r>
      <w:r>
        <w:t xml:space="preserve">  In connection with its application, SpaceX requests waivers of various limitations in the Commission’s Schedule S software.</w:t>
      </w:r>
      <w:r>
        <w:rPr>
          <w:rStyle w:val="FootnoteReference"/>
        </w:rPr>
        <w:footnoteReference w:id="10"/>
      </w:r>
      <w:r>
        <w:t xml:space="preserve"> </w:t>
      </w:r>
    </w:p>
    <w:p w:rsidR="00A012F4" w:rsidRPr="00037735" w:rsidP="00A012F4" w14:paraId="00B14F49" w14:textId="1DFA3423">
      <w:pPr>
        <w:pStyle w:val="ParaNum"/>
        <w:rPr>
          <w:snapToGrid/>
          <w:kern w:val="0"/>
          <w:sz w:val="24"/>
          <w:szCs w:val="24"/>
        </w:rPr>
      </w:pPr>
      <w:r w:rsidRPr="00835C6E">
        <w:t xml:space="preserve">On September 13, 2019, the </w:t>
      </w:r>
      <w:r w:rsidRPr="00924FF9">
        <w:t>SpaceX Second Modification Application</w:t>
      </w:r>
      <w:r w:rsidRPr="00835C6E">
        <w:t xml:space="preserve"> was accepted for filing.</w:t>
      </w:r>
      <w:r>
        <w:rPr>
          <w:vertAlign w:val="superscript"/>
        </w:rPr>
        <w:footnoteReference w:id="11"/>
      </w:r>
      <w:r w:rsidRPr="00835C6E">
        <w:t xml:space="preserve"> </w:t>
      </w:r>
      <w:r>
        <w:t xml:space="preserve"> </w:t>
      </w:r>
      <w:r w:rsidRPr="00835C6E">
        <w:t>Kepler Communications, Inc. (Kepler), filed a petition to defer or deny.</w:t>
      </w:r>
      <w:r>
        <w:rPr>
          <w:vertAlign w:val="superscript"/>
        </w:rPr>
        <w:footnoteReference w:id="12"/>
      </w:r>
      <w:r w:rsidRPr="00835C6E">
        <w:t xml:space="preserve"> </w:t>
      </w:r>
      <w:r>
        <w:t xml:space="preserve"> </w:t>
      </w:r>
      <w:r w:rsidRPr="00835C6E">
        <w:t>SES Americom and O3</w:t>
      </w:r>
      <w:r>
        <w:t>b</w:t>
      </w:r>
      <w:r w:rsidRPr="00835C6E">
        <w:t xml:space="preserve"> Limited</w:t>
      </w:r>
      <w:r w:rsidR="001E3848">
        <w:t xml:space="preserve"> </w:t>
      </w:r>
      <w:r>
        <w:t>(SES/O3b)</w:t>
      </w:r>
      <w:r w:rsidRPr="00835C6E">
        <w:t xml:space="preserve"> also filed a petition to defer.</w:t>
      </w:r>
      <w:r>
        <w:rPr>
          <w:vertAlign w:val="superscript"/>
        </w:rPr>
        <w:footnoteReference w:id="13"/>
      </w:r>
      <w:r w:rsidRPr="00835C6E">
        <w:t xml:space="preserve"> </w:t>
      </w:r>
      <w:r>
        <w:t xml:space="preserve"> WorldVu Satellites Limited (OneWeb) filed a written </w:t>
      </w:r>
      <w:r>
        <w:rPr>
          <w:i/>
        </w:rPr>
        <w:t>ex parte</w:t>
      </w:r>
      <w:r>
        <w:t xml:space="preserve"> communication in connection with this </w:t>
      </w:r>
      <w:r w:rsidR="00E677A4">
        <w:t>application</w:t>
      </w:r>
      <w:r>
        <w:t>.</w:t>
      </w:r>
      <w:r>
        <w:rPr>
          <w:rStyle w:val="FootnoteReference"/>
        </w:rPr>
        <w:footnoteReference w:id="14"/>
      </w:r>
      <w:r>
        <w:t xml:space="preserve">  </w:t>
      </w:r>
      <w:r w:rsidRPr="00835C6E">
        <w:t>Hughes Network Systems, LLC; Intelsat License LLC; AT&amp;T Services, Inc.; and Inmarsat, Inc. (the GSO Satellite Operators) collectively filed reply comments responding to SES/O3</w:t>
      </w:r>
      <w:r>
        <w:t>b</w:t>
      </w:r>
      <w:r w:rsidRPr="00835C6E">
        <w:t xml:space="preserve"> and Kepler.</w:t>
      </w:r>
      <w:r>
        <w:rPr>
          <w:vertAlign w:val="superscript"/>
        </w:rPr>
        <w:footnoteReference w:id="15"/>
      </w:r>
      <w:r>
        <w:t xml:space="preserve"> </w:t>
      </w:r>
      <w:r w:rsidRPr="00835C6E">
        <w:t xml:space="preserve"> SpaceX filed a consolidated opposition respond</w:t>
      </w:r>
      <w:r>
        <w:t>ing</w:t>
      </w:r>
      <w:r w:rsidRPr="00835C6E">
        <w:t xml:space="preserve"> to Kepler’s and SES/O3</w:t>
      </w:r>
      <w:r>
        <w:t>b</w:t>
      </w:r>
      <w:r w:rsidRPr="00835C6E">
        <w:t xml:space="preserve">’s comments and also filed separate reply comments to the </w:t>
      </w:r>
      <w:r w:rsidRPr="00D05F08">
        <w:t>GSO Satellite Operators</w:t>
      </w:r>
      <w:r w:rsidRPr="00835C6E">
        <w:t>, incorporating the comments in its consolidated reply by reference.</w:t>
      </w:r>
      <w:r>
        <w:rPr>
          <w:vertAlign w:val="superscript"/>
        </w:rPr>
        <w:footnoteReference w:id="16"/>
      </w:r>
      <w:r w:rsidRPr="00835C6E">
        <w:t xml:space="preserve"> </w:t>
      </w:r>
      <w:r>
        <w:t xml:space="preserve"> </w:t>
      </w:r>
      <w:r w:rsidRPr="002866EF">
        <w:t>SES/O3b</w:t>
      </w:r>
      <w:r w:rsidRPr="00835C6E">
        <w:t xml:space="preserve"> </w:t>
      </w:r>
      <w:r>
        <w:t xml:space="preserve">also </w:t>
      </w:r>
      <w:r w:rsidRPr="00835C6E">
        <w:t>filed reply comments to SpaceX.</w:t>
      </w:r>
      <w:r>
        <w:rPr>
          <w:vertAlign w:val="superscript"/>
        </w:rPr>
        <w:footnoteReference w:id="17"/>
      </w:r>
      <w:r>
        <w:t xml:space="preserve"> </w:t>
      </w:r>
    </w:p>
    <w:p w:rsidR="00A012F4" w:rsidRPr="00FC5A5D" w:rsidP="00A012F4" w14:paraId="2D3B65AF" w14:textId="77777777">
      <w:pPr>
        <w:pStyle w:val="Heading1"/>
      </w:pPr>
      <w:r w:rsidRPr="00FC5A5D">
        <w:t>discussion</w:t>
      </w:r>
    </w:p>
    <w:p w:rsidR="00A012F4" w:rsidP="00A012F4" w14:paraId="5AB8BA9D" w14:textId="2ECFEAD2">
      <w:pPr>
        <w:pStyle w:val="ParaNum"/>
      </w:pPr>
      <w:bookmarkStart w:id="11" w:name="_Hlk496258443"/>
      <w:r w:rsidRPr="00FC5A5D">
        <w:t xml:space="preserve">After review of the record, we conclude that grant of the </w:t>
      </w:r>
      <w:r w:rsidRPr="00924FF9">
        <w:t>SpaceX Second Modification Application</w:t>
      </w:r>
      <w:r w:rsidRPr="00FC5A5D">
        <w:t xml:space="preserve"> will serve the public interest, subject to the requirements and conditions specified herein.  Below, we address the various outstanding issues raised by commenters.  </w:t>
      </w:r>
    </w:p>
    <w:bookmarkEnd w:id="11"/>
    <w:p w:rsidR="00A012F4" w:rsidP="00A012F4" w14:paraId="7BDC0B56" w14:textId="5388EC13">
      <w:pPr>
        <w:pStyle w:val="ParaNum"/>
      </w:pPr>
      <w:r>
        <w:rPr>
          <w:i/>
        </w:rPr>
        <w:t xml:space="preserve">Kepler’s </w:t>
      </w:r>
      <w:r w:rsidRPr="00D840FF">
        <w:rPr>
          <w:i/>
        </w:rPr>
        <w:t>Petitions</w:t>
      </w:r>
      <w:r>
        <w:t xml:space="preserve">.  Kepler petitioned the Commission to reconsider the </w:t>
      </w:r>
      <w:r w:rsidR="00E677A4">
        <w:rPr>
          <w:i/>
        </w:rPr>
        <w:t>SpaceX First Modification Order</w:t>
      </w:r>
      <w:r w:rsidR="00E677A4">
        <w:t xml:space="preserve"> </w:t>
      </w:r>
      <w:r>
        <w:t>and to defer or deny th</w:t>
      </w:r>
      <w:r w:rsidR="00D2456C">
        <w:t>e</w:t>
      </w:r>
      <w:r>
        <w:t xml:space="preserve"> </w:t>
      </w:r>
      <w:r w:rsidR="00D2456C">
        <w:t>S</w:t>
      </w:r>
      <w:r>
        <w:t xml:space="preserve">econd </w:t>
      </w:r>
      <w:r w:rsidR="00D2456C">
        <w:t>M</w:t>
      </w:r>
      <w:r>
        <w:t>odification</w:t>
      </w:r>
      <w:r w:rsidR="00D2456C">
        <w:t xml:space="preserve"> Application</w:t>
      </w:r>
      <w:r>
        <w:t>.</w:t>
      </w:r>
      <w:r>
        <w:rPr>
          <w:rStyle w:val="FootnoteReference"/>
        </w:rPr>
        <w:footnoteReference w:id="18"/>
      </w:r>
      <w:r>
        <w:t xml:space="preserve"> </w:t>
      </w:r>
      <w:r w:rsidR="00C6736C">
        <w:t xml:space="preserve"> </w:t>
      </w:r>
      <w:r>
        <w:t xml:space="preserve">Kepler argues </w:t>
      </w:r>
      <w:r w:rsidRPr="00D840FF">
        <w:t>th</w:t>
      </w:r>
      <w:r w:rsidR="00E677A4">
        <w:t xml:space="preserve">at SpaceX’s </w:t>
      </w:r>
      <w:r w:rsidRPr="00D840FF">
        <w:t>instant modification should not be considered until a decision has been reached on all petitions for reconsideration of the first modification</w:t>
      </w:r>
      <w:r>
        <w:t>.</w:t>
      </w:r>
      <w:r>
        <w:rPr>
          <w:rStyle w:val="FootnoteReference"/>
        </w:rPr>
        <w:footnoteReference w:id="19"/>
      </w:r>
      <w:r>
        <w:t xml:space="preserve">  We disagree with th</w:t>
      </w:r>
      <w:r w:rsidR="00E677A4">
        <w:t xml:space="preserve">is argument.  </w:t>
      </w:r>
      <w:r w:rsidR="00CC503C">
        <w:t xml:space="preserve">The </w:t>
      </w:r>
      <w:r>
        <w:t>Commission’s rules</w:t>
      </w:r>
      <w:r w:rsidR="00CC503C">
        <w:t xml:space="preserve"> do not </w:t>
      </w:r>
      <w:r>
        <w:t xml:space="preserve">require </w:t>
      </w:r>
      <w:r w:rsidR="005D6387">
        <w:t>the Bureau</w:t>
      </w:r>
      <w:r>
        <w:t xml:space="preserve"> to address a pending petition for reconsideration prior to considering a pending modification of the same license. </w:t>
      </w:r>
      <w:r w:rsidR="00A1135D">
        <w:t xml:space="preserve">Although decisions taken on the pending petitions for reconsideration </w:t>
      </w:r>
      <w:r w:rsidR="00094BE6">
        <w:t xml:space="preserve">may impact </w:t>
      </w:r>
      <w:r w:rsidR="007E1095">
        <w:t xml:space="preserve">the approval of </w:t>
      </w:r>
      <w:r w:rsidR="00CC503C">
        <w:t>further modif</w:t>
      </w:r>
      <w:r w:rsidR="00094BE6">
        <w:t xml:space="preserve">ications </w:t>
      </w:r>
      <w:r w:rsidR="007E1095">
        <w:t xml:space="preserve">to </w:t>
      </w:r>
      <w:r w:rsidR="00CC503C">
        <w:t xml:space="preserve">SpaceX’s </w:t>
      </w:r>
      <w:r w:rsidR="00094BE6">
        <w:t>constellation, o</w:t>
      </w:r>
      <w:r w:rsidR="00630FF7">
        <w:t>ur action today is without prejudice to any</w:t>
      </w:r>
      <w:r w:rsidR="00094BE6">
        <w:t xml:space="preserve"> future </w:t>
      </w:r>
      <w:r w:rsidR="00630FF7">
        <w:t>action we take on the pending petitions</w:t>
      </w:r>
      <w:r w:rsidR="00CC503C">
        <w:t>.</w:t>
      </w:r>
      <w:r w:rsidR="00630FF7">
        <w:t xml:space="preserve">  In addition, because SpaceX’s satellites have propulsion systems</w:t>
      </w:r>
      <w:r w:rsidR="00CC503C">
        <w:t>,</w:t>
      </w:r>
      <w:r w:rsidR="00630FF7">
        <w:t xml:space="preserve"> SpaceX will be able to reconfigure its satellites to its system as initially authorized, in the event that the Bureau were to reconsider the </w:t>
      </w:r>
      <w:r w:rsidR="00630FF7">
        <w:rPr>
          <w:i/>
        </w:rPr>
        <w:t>SpaceX First Modification Order</w:t>
      </w:r>
      <w:r w:rsidR="00630FF7">
        <w:t xml:space="preserve">.  </w:t>
      </w:r>
      <w:r w:rsidRPr="002F0078">
        <w:t xml:space="preserve">Furthermore, delaying consideration of SpaceX’s second modification </w:t>
      </w:r>
      <w:r w:rsidR="00795907">
        <w:t>until we act on the petitions for reconsideration</w:t>
      </w:r>
      <w:r w:rsidR="00287F98">
        <w:t xml:space="preserve"> </w:t>
      </w:r>
      <w:r w:rsidRPr="002F0078">
        <w:t>would result in uncertainty for SpaceX as it prepares to orbit-raise its second tranche of satellites and will ultimately delay SpaceX’s delivery of broadband services.</w:t>
      </w:r>
      <w:r w:rsidR="00D2456C">
        <w:t xml:space="preserve"> </w:t>
      </w:r>
      <w:r>
        <w:t xml:space="preserve"> </w:t>
      </w:r>
      <w:r w:rsidR="00F95609">
        <w:t>Accordingly, there is no reason to delay SpaceX’s proposed operations while the reconsideration of the initial modification grant is pending</w:t>
      </w:r>
      <w:r w:rsidR="00094BE6">
        <w:t>.</w:t>
      </w:r>
    </w:p>
    <w:p w:rsidR="00A012F4" w:rsidP="00A012F4" w14:paraId="43ABD2C9" w14:textId="12F83FD4">
      <w:pPr>
        <w:pStyle w:val="ParaNum"/>
        <w:rPr>
          <w:snapToGrid/>
          <w:kern w:val="0"/>
          <w:szCs w:val="22"/>
        </w:rPr>
      </w:pPr>
      <w:r w:rsidRPr="00D840FF">
        <w:t xml:space="preserve">Kepler </w:t>
      </w:r>
      <w:r>
        <w:t xml:space="preserve">also </w:t>
      </w:r>
      <w:r w:rsidRPr="00D840FF">
        <w:t>bases its petition to defer or deny</w:t>
      </w:r>
      <w:r>
        <w:t xml:space="preserve"> on the grounds</w:t>
      </w:r>
      <w:r w:rsidRPr="00D840FF">
        <w:t xml:space="preserve"> that SpaceX has not submitted a filing</w:t>
      </w:r>
      <w:r>
        <w:t xml:space="preserve"> with the International Telecommunication Union (ITU)</w:t>
      </w:r>
      <w:r w:rsidRPr="00D840FF">
        <w:t xml:space="preserve"> for </w:t>
      </w:r>
      <w:r>
        <w:t xml:space="preserve">the orbital parameters involved in </w:t>
      </w:r>
      <w:r w:rsidRPr="00D840FF">
        <w:t xml:space="preserve">this second modification and that the additional planes proposed in this modification </w:t>
      </w:r>
      <w:r w:rsidRPr="00EC7196">
        <w:t xml:space="preserve">could increase </w:t>
      </w:r>
      <w:r>
        <w:t xml:space="preserve">SpaceX’s </w:t>
      </w:r>
      <w:r w:rsidRPr="00EC7196">
        <w:t xml:space="preserve">rate </w:t>
      </w:r>
      <w:r>
        <w:t xml:space="preserve">of </w:t>
      </w:r>
      <w:r w:rsidRPr="00EC7196">
        <w:t>intra-constellation conjunctions</w:t>
      </w:r>
      <w:r>
        <w:t xml:space="preserve"> in the</w:t>
      </w:r>
      <w:r w:rsidRPr="00D840FF">
        <w:t xml:space="preserve"> sub-600 km </w:t>
      </w:r>
      <w:r>
        <w:t>low-Earth orbit</w:t>
      </w:r>
      <w:r w:rsidRPr="00D840FF">
        <w:t xml:space="preserve"> environment.</w:t>
      </w:r>
      <w:r>
        <w:rPr>
          <w:vertAlign w:val="superscript"/>
        </w:rPr>
        <w:footnoteReference w:id="20"/>
      </w:r>
      <w:r>
        <w:t xml:space="preserve"> </w:t>
      </w:r>
      <w:r w:rsidR="00E33D75">
        <w:t xml:space="preserve"> </w:t>
      </w:r>
      <w:r>
        <w:t>With regard to Kepler’s concerns about SpaceX’s ITU filing, SpaceX replies that the Commission placed a condition on its authorization requiring submission of the information necessary for Advance Publication, Coordination, and Notification of the frequency assignments of its constellation and that this information may be submitted after grant of the license.</w:t>
      </w:r>
      <w:r>
        <w:rPr>
          <w:rStyle w:val="FootnoteReference"/>
        </w:rPr>
        <w:footnoteReference w:id="21"/>
      </w:r>
      <w:r>
        <w:t xml:space="preserve">  </w:t>
      </w:r>
      <w:bookmarkStart w:id="12" w:name="_Hlk26542127"/>
      <w:r>
        <w:t xml:space="preserve">We agree that it is established </w:t>
      </w:r>
      <w:r w:rsidR="00C6736C">
        <w:t xml:space="preserve">Commission </w:t>
      </w:r>
      <w:r>
        <w:t>practice to grant space station authorizations subject to a condition requiring submission of a filing with the ITU for coordination of the authorized operations.</w:t>
      </w:r>
      <w:r>
        <w:rPr>
          <w:rStyle w:val="FootnoteReference"/>
        </w:rPr>
        <w:footnoteReference w:id="22"/>
      </w:r>
      <w:bookmarkEnd w:id="12"/>
      <w:r>
        <w:t xml:space="preserve">  Therefore, SpaceX is already obligated to submit this information for filing with the ITU, even if it has not done so already, and Kepler’s concerns do not justify deferral or denial of this modification request.  As to Kepler’s claims of increased intra-constellation conjunctions, SpaceX responds that Kepler’s claims are unfounded, and that </w:t>
      </w:r>
      <w:r w:rsidRPr="00EC7196">
        <w:t xml:space="preserve">Kepler supplies no analysis to support </w:t>
      </w:r>
      <w:r>
        <w:t>these</w:t>
      </w:r>
      <w:r w:rsidRPr="00EC7196">
        <w:t xml:space="preserve"> claim</w:t>
      </w:r>
      <w:r>
        <w:t>s</w:t>
      </w:r>
      <w:r w:rsidRPr="00EC7196">
        <w:t>, nor any rationale why it believes this might occur.</w:t>
      </w:r>
      <w:r>
        <w:rPr>
          <w:rStyle w:val="FootnoteReference"/>
        </w:rPr>
        <w:footnoteReference w:id="23"/>
      </w:r>
      <w:r>
        <w:t xml:space="preserve">  We also agree that, without further analysis, Kepler has not provided a sufficient basis to deny this modification due to increased collision risk among SpaceX satellites</w:t>
      </w:r>
      <w:r w:rsidRPr="002F0078">
        <w:t xml:space="preserve">. </w:t>
      </w:r>
      <w:r w:rsidRPr="002F0078">
        <w:t xml:space="preserve"> </w:t>
      </w:r>
      <w:bookmarkStart w:id="14" w:name="_Hlk25337908"/>
      <w:r w:rsidRPr="002F0078">
        <w:t>SpaceX’s satellites utilize propulsion to maneuver, and</w:t>
      </w:r>
      <w:r w:rsidR="00F71C99">
        <w:t xml:space="preserve"> according to current licensing practices,</w:t>
      </w:r>
      <w:r w:rsidRPr="002F0078">
        <w:t xml:space="preserve"> a satellite with propulsive capabilities </w:t>
      </w:r>
      <w:r w:rsidR="00F71C99">
        <w:t>is assumed to have</w:t>
      </w:r>
      <w:r w:rsidRPr="002F0078">
        <w:t xml:space="preserve"> a collision risk of zero because of the satellite’s ability to conduct collision </w:t>
      </w:r>
      <w:r w:rsidRPr="002F0078">
        <w:t>avoidance maneuvers</w:t>
      </w:r>
      <w:bookmarkEnd w:id="14"/>
      <w:r w:rsidRPr="002F0078">
        <w:t>.</w:t>
      </w:r>
      <w:r>
        <w:rPr>
          <w:rStyle w:val="FootnoteReference"/>
        </w:rPr>
        <w:footnoteReference w:id="24"/>
      </w:r>
      <w:r w:rsidR="00F71C99">
        <w:t xml:space="preserve"> </w:t>
      </w:r>
      <w:r>
        <w:t xml:space="preserve"> In its petition to deny or defer</w:t>
      </w:r>
      <w:r w:rsidR="005A3C41">
        <w:t>,</w:t>
      </w:r>
      <w:r>
        <w:t xml:space="preserve"> Kepler does not explain why increasing the number of orbital planes by itself would affect SpaceX’s ability to utilize propulsion to avoid collisions among its own satellites. </w:t>
      </w:r>
      <w:r w:rsidR="005A3C41">
        <w:t xml:space="preserve"> For these reasons, </w:t>
      </w:r>
      <w:r>
        <w:t xml:space="preserve">we deny Kepler’s </w:t>
      </w:r>
      <w:r w:rsidR="004067F9">
        <w:t>p</w:t>
      </w:r>
      <w:r>
        <w:t>etition</w:t>
      </w:r>
      <w:r w:rsidR="004067F9">
        <w:t xml:space="preserve"> to defer or deny this </w:t>
      </w:r>
      <w:r w:rsidRPr="004067F9" w:rsidR="004067F9">
        <w:t>SpaceX Second Modification Application</w:t>
      </w:r>
      <w:r w:rsidR="005A3C41">
        <w:t>.</w:t>
      </w:r>
      <w:r>
        <w:t xml:space="preserve"> </w:t>
      </w:r>
    </w:p>
    <w:p w:rsidR="00466E91" w:rsidP="00D840FF" w14:paraId="0B159148" w14:textId="50FBB05A">
      <w:pPr>
        <w:pStyle w:val="ParaNum"/>
      </w:pPr>
      <w:r w:rsidRPr="005D5A0C">
        <w:rPr>
          <w:i/>
        </w:rPr>
        <w:t>Petitioners’ Comments on EPFD Limits.</w:t>
      </w:r>
      <w:r>
        <w:t xml:space="preserve"> </w:t>
      </w:r>
      <w:r w:rsidR="00017244">
        <w:t xml:space="preserve"> </w:t>
      </w:r>
      <w:r w:rsidRPr="00017244" w:rsidR="00017244">
        <w:t>SES/O3b</w:t>
      </w:r>
      <w:r w:rsidR="00D840FF">
        <w:t xml:space="preserve"> </w:t>
      </w:r>
      <w:bookmarkEnd w:id="4"/>
      <w:r w:rsidR="00835C6E">
        <w:t>cite</w:t>
      </w:r>
      <w:r w:rsidR="00D840FF">
        <w:t xml:space="preserve"> concerns about the lack of information on SpaceX’s compliance with applicable equivalent power flux density (EPFD) limits</w:t>
      </w:r>
      <w:bookmarkStart w:id="15" w:name="_Hlk24638111"/>
      <w:r w:rsidR="00D840FF">
        <w:t>.</w:t>
      </w:r>
      <w:r>
        <w:rPr>
          <w:rStyle w:val="FootnoteReference"/>
        </w:rPr>
        <w:footnoteReference w:id="25"/>
      </w:r>
      <w:bookmarkEnd w:id="15"/>
      <w:r w:rsidR="00D840FF">
        <w:t xml:space="preserve"> </w:t>
      </w:r>
      <w:r w:rsidR="00662CF6">
        <w:t xml:space="preserve"> </w:t>
      </w:r>
      <w:r w:rsidR="00017244">
        <w:t>Because</w:t>
      </w:r>
      <w:r w:rsidR="00925694">
        <w:t xml:space="preserve"> the Commission granted a waiver of the requirement that SpaceX receive a favorable or qualified</w:t>
      </w:r>
      <w:r w:rsidR="001D5DF6">
        <w:t xml:space="preserve"> </w:t>
      </w:r>
      <w:r w:rsidR="00925694">
        <w:t xml:space="preserve">favorable finding from the ITU regarding the EPFD characteristics of its constellation, </w:t>
      </w:r>
      <w:r w:rsidRPr="00017244" w:rsidR="00017244">
        <w:t>SES/O3b</w:t>
      </w:r>
      <w:r w:rsidR="00925694">
        <w:t xml:space="preserve"> request</w:t>
      </w:r>
      <w:r w:rsidR="00017244">
        <w:t>s</w:t>
      </w:r>
      <w:r w:rsidR="00925694">
        <w:t xml:space="preserve"> that the Commission require more than simple assertions from SpaceX that </w:t>
      </w:r>
      <w:r w:rsidR="001D5DF6">
        <w:t xml:space="preserve">it </w:t>
      </w:r>
      <w:r w:rsidR="00925694">
        <w:t>will comply with ITU EPFD limi</w:t>
      </w:r>
      <w:r w:rsidR="00051C39">
        <w:t>t</w:t>
      </w:r>
      <w:r w:rsidR="00925694">
        <w:t>s.</w:t>
      </w:r>
      <w:r>
        <w:rPr>
          <w:rStyle w:val="FootnoteReference"/>
        </w:rPr>
        <w:footnoteReference w:id="26"/>
      </w:r>
      <w:r w:rsidR="00925694">
        <w:t xml:space="preserve"> </w:t>
      </w:r>
      <w:r w:rsidR="00051C39">
        <w:t xml:space="preserve"> </w:t>
      </w:r>
      <w:r w:rsidRPr="00017244" w:rsidR="00017244">
        <w:t>SES/O3b</w:t>
      </w:r>
      <w:r w:rsidR="00925694">
        <w:t xml:space="preserve"> state</w:t>
      </w:r>
      <w:r w:rsidR="00017244">
        <w:t>s</w:t>
      </w:r>
      <w:r w:rsidR="00925694">
        <w:t xml:space="preserve"> that this </w:t>
      </w:r>
      <w:r w:rsidR="006A7FEF">
        <w:t xml:space="preserve">more robust showing </w:t>
      </w:r>
      <w:r w:rsidR="00925694">
        <w:t>is necessary both to protect the integrity of existing GSO systems and to allow NGSO systems to successfully coordinate to meet aggregate EPFD limits.</w:t>
      </w:r>
      <w:r>
        <w:rPr>
          <w:rStyle w:val="FootnoteReference"/>
        </w:rPr>
        <w:footnoteReference w:id="27"/>
      </w:r>
      <w:r w:rsidR="00925694">
        <w:t xml:space="preserve"> </w:t>
      </w:r>
      <w:r w:rsidR="00315B80">
        <w:t xml:space="preserve"> </w:t>
      </w:r>
      <w:r w:rsidRPr="00017244" w:rsidR="00017244">
        <w:t>SES/O3b</w:t>
      </w:r>
      <w:r w:rsidR="006A7FEF">
        <w:t xml:space="preserve"> </w:t>
      </w:r>
      <w:r w:rsidR="00315B80">
        <w:t xml:space="preserve">further </w:t>
      </w:r>
      <w:r w:rsidR="006A7FEF">
        <w:t>request</w:t>
      </w:r>
      <w:r w:rsidR="00315B80">
        <w:t>s</w:t>
      </w:r>
      <w:r w:rsidR="006A7FEF">
        <w:t xml:space="preserve"> that the Commission reinstate the requirement that SpaceX receive a favorable or qualified</w:t>
      </w:r>
      <w:r w:rsidR="001D5DF6">
        <w:t xml:space="preserve"> </w:t>
      </w:r>
      <w:r w:rsidR="006A7FEF">
        <w:t>favorable finding from the ITU prior to commencing operations</w:t>
      </w:r>
      <w:r w:rsidR="006D51A5">
        <w:t xml:space="preserve"> or,</w:t>
      </w:r>
      <w:r w:rsidR="006A7FEF">
        <w:t xml:space="preserve"> at a minimum</w:t>
      </w:r>
      <w:r w:rsidR="006D51A5">
        <w:t>,</w:t>
      </w:r>
      <w:r w:rsidR="006A7FEF">
        <w:t xml:space="preserve"> </w:t>
      </w:r>
      <w:r w:rsidR="00315B80">
        <w:t>that</w:t>
      </w:r>
      <w:r w:rsidR="006A7FEF">
        <w:t xml:space="preserve"> the Commission require SpaceX to submit the data used as input to the ITU-approved validation software to allow </w:t>
      </w:r>
      <w:r w:rsidRPr="00315B80" w:rsidR="00315B80">
        <w:t xml:space="preserve">SES/O3b </w:t>
      </w:r>
      <w:r w:rsidR="006A7FEF">
        <w:t>to make an independent analysis regarding SpaceX’s EPFD compliance.</w:t>
      </w:r>
      <w:r>
        <w:rPr>
          <w:rStyle w:val="FootnoteReference"/>
        </w:rPr>
        <w:footnoteReference w:id="28"/>
      </w:r>
      <w:r w:rsidR="006A7FEF">
        <w:t xml:space="preserve"> </w:t>
      </w:r>
      <w:r w:rsidR="00C96CA6">
        <w:t xml:space="preserve"> </w:t>
      </w:r>
      <w:r w:rsidR="00835C6E">
        <w:t>T</w:t>
      </w:r>
      <w:r w:rsidR="00D840FF">
        <w:t xml:space="preserve">he GSO Satellite Operators </w:t>
      </w:r>
      <w:r w:rsidR="00835C6E">
        <w:t>and OneWeb</w:t>
      </w:r>
      <w:r w:rsidR="00D840FF">
        <w:t xml:space="preserve"> </w:t>
      </w:r>
      <w:r w:rsidR="00835C6E">
        <w:t xml:space="preserve">support </w:t>
      </w:r>
      <w:r w:rsidR="00D840FF">
        <w:t xml:space="preserve">the objections </w:t>
      </w:r>
      <w:r w:rsidR="00F568E3">
        <w:t xml:space="preserve">and recommendations </w:t>
      </w:r>
      <w:r w:rsidR="00D840FF">
        <w:t>of SES/O3</w:t>
      </w:r>
      <w:r w:rsidR="008A6E2C">
        <w:t>b</w:t>
      </w:r>
      <w:r w:rsidR="00D840FF">
        <w:t>.</w:t>
      </w:r>
      <w:r>
        <w:rPr>
          <w:rStyle w:val="FootnoteReference"/>
        </w:rPr>
        <w:footnoteReference w:id="29"/>
      </w:r>
      <w:r w:rsidR="00D840FF">
        <w:t xml:space="preserve"> </w:t>
      </w:r>
      <w:r w:rsidR="00207A9C">
        <w:t xml:space="preserve"> </w:t>
      </w:r>
      <w:r w:rsidRPr="00EC475C" w:rsidR="00EC475C">
        <w:t xml:space="preserve">The GSO Satellite Operators also </w:t>
      </w:r>
      <w:r w:rsidR="00646A98">
        <w:t xml:space="preserve"> </w:t>
      </w:r>
      <w:r w:rsidR="00F568E3">
        <w:t>express concern</w:t>
      </w:r>
      <w:r w:rsidRPr="00EC475C" w:rsidR="00F568E3">
        <w:t xml:space="preserve"> </w:t>
      </w:r>
      <w:r w:rsidRPr="00EC475C" w:rsidR="00EC475C">
        <w:t xml:space="preserve">that the </w:t>
      </w:r>
      <w:r w:rsidR="00F568E3">
        <w:t>current m</w:t>
      </w:r>
      <w:r w:rsidRPr="00EC475C" w:rsidR="00EC475C">
        <w:t xml:space="preserve">odification </w:t>
      </w:r>
      <w:r w:rsidR="00F568E3">
        <w:t>a</w:t>
      </w:r>
      <w:r w:rsidRPr="00EC475C" w:rsidR="00EC475C">
        <w:t xml:space="preserve">pplication does not request or offer any justification for extending the partial waiver </w:t>
      </w:r>
      <w:r w:rsidR="00FB4068">
        <w:t xml:space="preserve">of </w:t>
      </w:r>
      <w:r w:rsidR="006A08FD">
        <w:t>s</w:t>
      </w:r>
      <w:r w:rsidR="00FB4068">
        <w:t xml:space="preserve">ection 25.146(c) granted in </w:t>
      </w:r>
      <w:r w:rsidR="004701BB">
        <w:t xml:space="preserve">the </w:t>
      </w:r>
      <w:r w:rsidRPr="00675047" w:rsidR="004701BB">
        <w:rPr>
          <w:i/>
        </w:rPr>
        <w:t>SpaceX First Modification Order</w:t>
      </w:r>
      <w:r w:rsidR="004701BB">
        <w:t>.</w:t>
      </w:r>
      <w:r>
        <w:rPr>
          <w:rStyle w:val="FootnoteReference"/>
        </w:rPr>
        <w:footnoteReference w:id="30"/>
      </w:r>
    </w:p>
    <w:p w:rsidR="00472425" w:rsidP="00FD161D" w14:paraId="0F6C2403" w14:textId="30036131">
      <w:pPr>
        <w:pStyle w:val="ParaNum"/>
      </w:pPr>
      <w:r>
        <w:t>In its Consolidated Opposition,</w:t>
      </w:r>
      <w:r w:rsidR="00D840FF">
        <w:t xml:space="preserve"> SpaceX state</w:t>
      </w:r>
      <w:r w:rsidR="00315B80">
        <w:t>s</w:t>
      </w:r>
      <w:r w:rsidR="00D840FF">
        <w:t xml:space="preserve"> that SES/O3</w:t>
      </w:r>
      <w:r w:rsidR="00315B80">
        <w:t>b</w:t>
      </w:r>
      <w:r w:rsidR="00D840FF">
        <w:t xml:space="preserve"> will have all necessary information to conduct its own EPFD analysis, because much of th</w:t>
      </w:r>
      <w:r w:rsidR="001D5DF6">
        <w:t>at</w:t>
      </w:r>
      <w:r w:rsidR="00D840FF">
        <w:t xml:space="preserve"> information is already publicly available</w:t>
      </w:r>
      <w:r w:rsidR="005D5A0C">
        <w:t>.</w:t>
      </w:r>
      <w:r>
        <w:rPr>
          <w:rStyle w:val="FootnoteReference"/>
          <w:snapToGrid/>
        </w:rPr>
        <w:footnoteReference w:id="31"/>
      </w:r>
      <w:r w:rsidRPr="004B140B" w:rsidR="00D840FF">
        <w:rPr>
          <w:rStyle w:val="FootnoteReference"/>
        </w:rPr>
        <w:t xml:space="preserve"> </w:t>
      </w:r>
      <w:r w:rsidR="005A3C41">
        <w:t xml:space="preserve"> </w:t>
      </w:r>
      <w:r w:rsidR="008432F3">
        <w:t xml:space="preserve"> </w:t>
      </w:r>
      <w:r w:rsidR="00D840FF">
        <w:t xml:space="preserve">SpaceX also provided </w:t>
      </w:r>
      <w:r w:rsidRPr="00315B80" w:rsidR="00315B80">
        <w:t>SES/O3b</w:t>
      </w:r>
      <w:r w:rsidR="00D840FF">
        <w:t xml:space="preserve"> </w:t>
      </w:r>
      <w:r w:rsidR="00B51371">
        <w:t xml:space="preserve">and the GSO Satellite Operators </w:t>
      </w:r>
      <w:r w:rsidR="00D840FF">
        <w:t xml:space="preserve">with the EPFD input data for </w:t>
      </w:r>
      <w:r w:rsidR="008432F3">
        <w:t xml:space="preserve">the </w:t>
      </w:r>
      <w:r w:rsidRPr="00675047" w:rsidR="008432F3">
        <w:t>Second Modification Application</w:t>
      </w:r>
      <w:r w:rsidR="008432F3">
        <w:rPr>
          <w:i/>
        </w:rPr>
        <w:t xml:space="preserve">.  </w:t>
      </w:r>
      <w:r>
        <w:rPr>
          <w:rStyle w:val="FootnoteReference"/>
        </w:rPr>
        <w:footnoteReference w:id="32"/>
      </w:r>
      <w:r w:rsidRPr="004B140B" w:rsidR="00D840FF">
        <w:rPr>
          <w:rStyle w:val="FootnoteReference"/>
        </w:rPr>
        <w:t xml:space="preserve"> </w:t>
      </w:r>
      <w:r w:rsidR="00D840FF">
        <w:t xml:space="preserve"> </w:t>
      </w:r>
      <w:r w:rsidR="00646A98">
        <w:t xml:space="preserve"> Because </w:t>
      </w:r>
      <w:r w:rsidR="00B51371">
        <w:t>SpaceX has provided the GSO Satellite Operators and SES</w:t>
      </w:r>
      <w:r w:rsidR="00F3080D">
        <w:t>/</w:t>
      </w:r>
      <w:r w:rsidR="00B51371">
        <w:t>O3</w:t>
      </w:r>
      <w:r w:rsidR="008A6E2C">
        <w:t>b</w:t>
      </w:r>
      <w:r w:rsidR="00B51371">
        <w:t xml:space="preserve"> with </w:t>
      </w:r>
      <w:r w:rsidR="00646A98">
        <w:t>the requested</w:t>
      </w:r>
      <w:r w:rsidR="00FA3991">
        <w:t xml:space="preserve"> information</w:t>
      </w:r>
      <w:r w:rsidR="00B51371">
        <w:t xml:space="preserve">, </w:t>
      </w:r>
      <w:r w:rsidR="00466E91">
        <w:t xml:space="preserve">the </w:t>
      </w:r>
      <w:r w:rsidR="00B51371">
        <w:t xml:space="preserve">concerns </w:t>
      </w:r>
      <w:r w:rsidR="00466E91">
        <w:t xml:space="preserve">of the </w:t>
      </w:r>
      <w:r w:rsidRPr="00D05F08" w:rsidR="00D05F08">
        <w:t>GSO Satellite Operators</w:t>
      </w:r>
      <w:r w:rsidR="00466E91">
        <w:t xml:space="preserve"> and SES</w:t>
      </w:r>
      <w:r w:rsidR="00CC1EE5">
        <w:t>/</w:t>
      </w:r>
      <w:r w:rsidR="00466E91">
        <w:t xml:space="preserve"> O3</w:t>
      </w:r>
      <w:r w:rsidR="008A6E2C">
        <w:t>b</w:t>
      </w:r>
      <w:r w:rsidR="00466E91">
        <w:t xml:space="preserve"> </w:t>
      </w:r>
      <w:r w:rsidR="00B51371">
        <w:t xml:space="preserve">are moot. </w:t>
      </w:r>
      <w:r w:rsidR="004B140B">
        <w:t xml:space="preserve"> </w:t>
      </w:r>
      <w:r w:rsidR="00B51371">
        <w:t xml:space="preserve">However, </w:t>
      </w:r>
      <w:r w:rsidR="005A3C41">
        <w:t xml:space="preserve">as we did in the </w:t>
      </w:r>
      <w:r w:rsidR="00696D2F">
        <w:t xml:space="preserve">recent </w:t>
      </w:r>
      <w:r w:rsidR="005A3C41">
        <w:t xml:space="preserve">SpaceX STA grant, </w:t>
      </w:r>
      <w:r w:rsidR="009B6788">
        <w:t>wherein we authorized SpaceX to perform certain orbit-raising and testing</w:t>
      </w:r>
      <w:r w:rsidR="005A3C41">
        <w:t xml:space="preserve"> </w:t>
      </w:r>
      <w:r w:rsidR="009B6788">
        <w:t xml:space="preserve">operations for this second tranche of satellites, </w:t>
      </w:r>
      <w:r w:rsidR="00B51371">
        <w:t xml:space="preserve">we will impose the condition that SpaceX </w:t>
      </w:r>
      <w:r w:rsidR="00051C39">
        <w:t>must</w:t>
      </w:r>
      <w:r w:rsidR="00B51371">
        <w:t xml:space="preserve"> provide its EPFD input data to any requesting party.</w:t>
      </w:r>
      <w:r>
        <w:rPr>
          <w:rStyle w:val="FootnoteReference"/>
          <w:snapToGrid/>
        </w:rPr>
        <w:footnoteReference w:id="33"/>
      </w:r>
      <w:r w:rsidRPr="004B140B" w:rsidR="00466E91">
        <w:rPr>
          <w:rStyle w:val="FootnoteReference"/>
        </w:rPr>
        <w:t xml:space="preserve"> </w:t>
      </w:r>
      <w:r w:rsidR="00FD161D">
        <w:t xml:space="preserve"> </w:t>
      </w:r>
      <w:r w:rsidR="004B140B">
        <w:t xml:space="preserve"> </w:t>
      </w:r>
    </w:p>
    <w:p w:rsidR="00FD161D" w:rsidP="00FD161D" w14:paraId="768D21B0" w14:textId="0923EF07">
      <w:pPr>
        <w:pStyle w:val="ParaNum"/>
      </w:pPr>
      <w:r>
        <w:t>T</w:t>
      </w:r>
      <w:r>
        <w:t xml:space="preserve">he </w:t>
      </w:r>
      <w:r w:rsidRPr="00D05F08" w:rsidR="00D05F08">
        <w:t>GSO Satellite Operators</w:t>
      </w:r>
      <w:r>
        <w:t xml:space="preserve"> expressed</w:t>
      </w:r>
      <w:r>
        <w:t xml:space="preserve"> concern that SpaceX did not justify the </w:t>
      </w:r>
      <w:r w:rsidR="00CC1EE5">
        <w:t xml:space="preserve">lack of a request for </w:t>
      </w:r>
      <w:r>
        <w:t xml:space="preserve">extension of the partial waiver of </w:t>
      </w:r>
      <w:r w:rsidR="003301A6">
        <w:t>requirement that SpaceX receive a favorable or qualified favorable finding from the ITU prior to commencing operations</w:t>
      </w:r>
      <w:r>
        <w:t>.</w:t>
      </w:r>
      <w:r w:rsidR="0013145A">
        <w:t xml:space="preserve"> </w:t>
      </w:r>
      <w:r>
        <w:t xml:space="preserve"> SpaceX responds that while the </w:t>
      </w:r>
      <w:r w:rsidRPr="00675047" w:rsidR="005A3C41">
        <w:rPr>
          <w:i/>
        </w:rPr>
        <w:t xml:space="preserve">SpaceX </w:t>
      </w:r>
      <w:r w:rsidRPr="00675047">
        <w:rPr>
          <w:i/>
        </w:rPr>
        <w:t>First Modification Order</w:t>
      </w:r>
      <w:r>
        <w:t xml:space="preserve"> </w:t>
      </w:r>
      <w:r w:rsidRPr="00EC475C">
        <w:t xml:space="preserve">waived the requirement that SpaceX receive a favorable or “qualified favorable” finding from the ITU with respect to its compliance with applicable EPFD limits </w:t>
      </w:r>
      <w:r w:rsidRPr="00EC475C">
        <w:rPr>
          <w:i/>
          <w:iCs/>
        </w:rPr>
        <w:t xml:space="preserve">prior to </w:t>
      </w:r>
      <w:r w:rsidRPr="00EC475C">
        <w:t>commencing operations</w:t>
      </w:r>
      <w:r>
        <w:t>,</w:t>
      </w:r>
      <w:r w:rsidRPr="00EC475C">
        <w:t xml:space="preserve"> it retained the requirement that SpaceX receive such a finding from the ITU at some point and adjust its operations as necessary to satisfy ITU requirements, essentially allowing SpaceX to proceed only at its own risk</w:t>
      </w:r>
      <w:r>
        <w:t xml:space="preserve">, and thus </w:t>
      </w:r>
      <w:r w:rsidRPr="00CE68C0">
        <w:t>there was no need for SpaceX to seek a waiver of the no-longer-applicable condition that it receive an ITU finding before commencing operations.</w:t>
      </w:r>
      <w:r>
        <w:rPr>
          <w:rStyle w:val="FootnoteReference"/>
        </w:rPr>
        <w:footnoteReference w:id="34"/>
      </w:r>
      <w:r w:rsidR="001919C5">
        <w:t xml:space="preserve"> </w:t>
      </w:r>
      <w:r w:rsidR="00FB4068">
        <w:t xml:space="preserve"> </w:t>
      </w:r>
      <w:r w:rsidR="001919C5">
        <w:t xml:space="preserve">We </w:t>
      </w:r>
      <w:r w:rsidR="0013145A">
        <w:t xml:space="preserve">find that because SpaceX must still comply with the </w:t>
      </w:r>
      <w:r w:rsidRPr="0013145A" w:rsidR="0013145A">
        <w:t>ITU requirements</w:t>
      </w:r>
      <w:r w:rsidR="0013145A">
        <w:t>, a further waiver is unnecessary</w:t>
      </w:r>
      <w:r w:rsidR="001919C5">
        <w:t xml:space="preserve"> and </w:t>
      </w:r>
      <w:r w:rsidR="0013145A">
        <w:t xml:space="preserve">thus we </w:t>
      </w:r>
      <w:r w:rsidR="001919C5">
        <w:t>deny the GSO Satellite Operators’ request.</w:t>
      </w:r>
    </w:p>
    <w:p w:rsidR="00F971E8" w:rsidP="00466E91" w14:paraId="56706152" w14:textId="7EFF6672">
      <w:pPr>
        <w:pStyle w:val="ParaNum"/>
      </w:pPr>
      <w:r w:rsidRPr="00D403A0">
        <w:t>SES</w:t>
      </w:r>
      <w:r w:rsidR="00F3080D">
        <w:t>/</w:t>
      </w:r>
      <w:r w:rsidRPr="00D403A0">
        <w:t>O3</w:t>
      </w:r>
      <w:r w:rsidR="008A6E2C">
        <w:t>b</w:t>
      </w:r>
      <w:r w:rsidRPr="00D403A0">
        <w:t xml:space="preserve"> acknowledge</w:t>
      </w:r>
      <w:r w:rsidR="00F3080D">
        <w:t>s</w:t>
      </w:r>
      <w:r w:rsidRPr="00D403A0">
        <w:t xml:space="preserve"> that SpaceX has provided them with the input data used to calculate its EPFD emissions in the ITU-approved validation software</w:t>
      </w:r>
      <w:r w:rsidR="00F70510">
        <w:t>,</w:t>
      </w:r>
      <w:r>
        <w:rPr>
          <w:rStyle w:val="FootnoteReference"/>
        </w:rPr>
        <w:footnoteReference w:id="35"/>
      </w:r>
      <w:r w:rsidRPr="00D403A0">
        <w:t xml:space="preserve"> </w:t>
      </w:r>
      <w:r w:rsidR="00F70510">
        <w:t>but that,</w:t>
      </w:r>
      <w:r w:rsidRPr="00D403A0">
        <w:t xml:space="preserve"> due to </w:t>
      </w:r>
      <w:r w:rsidRPr="00D403A0" w:rsidR="00E155F4">
        <w:t xml:space="preserve">both </w:t>
      </w:r>
      <w:r w:rsidRPr="00D403A0">
        <w:t>the complexity of the information and the inability of SES</w:t>
      </w:r>
      <w:r w:rsidR="00FB4068">
        <w:t>/</w:t>
      </w:r>
      <w:r w:rsidRPr="00D403A0">
        <w:t>O3</w:t>
      </w:r>
      <w:r w:rsidR="008A6E2C">
        <w:t>b</w:t>
      </w:r>
      <w:r w:rsidRPr="00D403A0">
        <w:t xml:space="preserve"> to review and analyze the information because the </w:t>
      </w:r>
      <w:r w:rsidRPr="00D403A0" w:rsidR="00E155F4">
        <w:t xml:space="preserve">qualified </w:t>
      </w:r>
      <w:r w:rsidRPr="00D403A0">
        <w:t xml:space="preserve">personnel are </w:t>
      </w:r>
      <w:r w:rsidR="003301A6">
        <w:t>not available</w:t>
      </w:r>
      <w:r w:rsidRPr="00D403A0">
        <w:t xml:space="preserve">, </w:t>
      </w:r>
      <w:r w:rsidR="00F70510">
        <w:t>it</w:t>
      </w:r>
      <w:r w:rsidRPr="00D403A0">
        <w:t xml:space="preserve"> request</w:t>
      </w:r>
      <w:r w:rsidR="00FB4068">
        <w:t>s</w:t>
      </w:r>
      <w:r w:rsidRPr="00D403A0">
        <w:t xml:space="preserve"> </w:t>
      </w:r>
      <w:r w:rsidR="001919C5">
        <w:t xml:space="preserve">additional </w:t>
      </w:r>
      <w:r w:rsidR="003301A6">
        <w:t>time</w:t>
      </w:r>
      <w:r w:rsidR="001919C5">
        <w:t xml:space="preserve"> </w:t>
      </w:r>
      <w:r w:rsidRPr="00D403A0">
        <w:t>to evaluate the EPFD input data SpaceX submitted</w:t>
      </w:r>
      <w:r w:rsidR="001919C5">
        <w:t xml:space="preserve"> and reserve</w:t>
      </w:r>
      <w:r w:rsidR="006B3D63">
        <w:t>s</w:t>
      </w:r>
      <w:r w:rsidR="001919C5">
        <w:t xml:space="preserve"> the right to comment further</w:t>
      </w:r>
      <w:r w:rsidRPr="00D403A0">
        <w:t>.</w:t>
      </w:r>
      <w:r>
        <w:rPr>
          <w:rStyle w:val="FootnoteReference"/>
        </w:rPr>
        <w:footnoteReference w:id="36"/>
      </w:r>
      <w:r w:rsidRPr="00D403A0">
        <w:t xml:space="preserve"> </w:t>
      </w:r>
      <w:r w:rsidRPr="00D403A0" w:rsidR="0088690F">
        <w:t xml:space="preserve"> We find that SpaceX reasonably accommodated SES/O3b’s request for the EPFD input data </w:t>
      </w:r>
      <w:r w:rsidR="001919C5">
        <w:t xml:space="preserve">and </w:t>
      </w:r>
      <w:r w:rsidRPr="00D403A0" w:rsidR="0088690F">
        <w:t>the fact that SES/O3b’s staff is not available to analyze the data</w:t>
      </w:r>
      <w:r w:rsidR="00D94391">
        <w:t>, while unfortunate,</w:t>
      </w:r>
      <w:r w:rsidRPr="00D403A0" w:rsidR="0088690F">
        <w:t xml:space="preserve"> does not justify a delay in the processing of this application</w:t>
      </w:r>
      <w:r w:rsidR="009434F2">
        <w:t>,</w:t>
      </w:r>
      <w:r w:rsidR="00050457">
        <w:t xml:space="preserve"> because, among other </w:t>
      </w:r>
      <w:r w:rsidR="00C70D48">
        <w:t>reasons</w:t>
      </w:r>
      <w:r w:rsidR="00050457">
        <w:t xml:space="preserve">, there is no legal requirement that third parties evaluate the sufficiency of </w:t>
      </w:r>
      <w:r w:rsidRPr="00050457" w:rsidR="00050457">
        <w:t>EPFD data inputs</w:t>
      </w:r>
      <w:r w:rsidR="00050457">
        <w:t xml:space="preserve"> prior to deployment of an NGSO system,</w:t>
      </w:r>
      <w:r w:rsidRPr="00050457" w:rsidR="00050457">
        <w:t xml:space="preserve"> </w:t>
      </w:r>
      <w:r w:rsidR="00050457">
        <w:t>and</w:t>
      </w:r>
      <w:r w:rsidR="00F70510">
        <w:t>, more importantly,</w:t>
      </w:r>
      <w:r w:rsidR="00050457">
        <w:t xml:space="preserve"> this delay would </w:t>
      </w:r>
      <w:r w:rsidR="00180F2C">
        <w:t xml:space="preserve">unfairly prejudice </w:t>
      </w:r>
      <w:r w:rsidRPr="00180F2C" w:rsidR="00180F2C">
        <w:t>SpaceX’s</w:t>
      </w:r>
      <w:r w:rsidR="00050457">
        <w:t xml:space="preserve"> timely implementation of </w:t>
      </w:r>
      <w:r w:rsidR="00180F2C">
        <w:t>its</w:t>
      </w:r>
      <w:r w:rsidR="00050457">
        <w:t xml:space="preserve"> new system</w:t>
      </w:r>
      <w:r w:rsidRPr="00D403A0" w:rsidR="0088690F">
        <w:t xml:space="preserve">.  </w:t>
      </w:r>
      <w:r w:rsidRPr="00D403A0" w:rsidR="001919C5">
        <w:t xml:space="preserve">Furthermore, SpaceX correctly states that this data would not normally be submitted to the ITU until after the grant of the modification, </w:t>
      </w:r>
      <w:r w:rsidR="001919C5">
        <w:t xml:space="preserve">and therefore </w:t>
      </w:r>
      <w:r w:rsidRPr="00D403A0" w:rsidR="001919C5">
        <w:t>SES/O3b’s request for delay is</w:t>
      </w:r>
      <w:r w:rsidR="001919C5">
        <w:t xml:space="preserve"> unreasonable and unnecessary</w:t>
      </w:r>
      <w:r w:rsidRPr="00D403A0" w:rsidR="001919C5">
        <w:t>.</w:t>
      </w:r>
      <w:r w:rsidR="001919C5">
        <w:t xml:space="preserve"> </w:t>
      </w:r>
      <w:r w:rsidR="00696D2F">
        <w:t xml:space="preserve"> </w:t>
      </w:r>
      <w:r w:rsidRPr="00D403A0" w:rsidR="0088690F">
        <w:t xml:space="preserve">Thus, SES/O3b’s request for </w:t>
      </w:r>
      <w:r w:rsidR="009543E0">
        <w:t>additional time</w:t>
      </w:r>
      <w:r w:rsidRPr="00D403A0" w:rsidR="0088690F">
        <w:t xml:space="preserve"> to review this dat</w:t>
      </w:r>
      <w:r w:rsidRPr="00D403A0" w:rsidR="00A6196E">
        <w:t>a</w:t>
      </w:r>
      <w:r w:rsidRPr="00D403A0" w:rsidR="0088690F">
        <w:t xml:space="preserve"> </w:t>
      </w:r>
      <w:r w:rsidR="00D101C2">
        <w:t xml:space="preserve">prior to action on this modification application </w:t>
      </w:r>
      <w:r w:rsidRPr="00D403A0" w:rsidR="0088690F">
        <w:t xml:space="preserve">is denied. </w:t>
      </w:r>
    </w:p>
    <w:p w:rsidR="002165F7" w:rsidP="00F61201" w14:paraId="130F80F8" w14:textId="46D571BD">
      <w:pPr>
        <w:pStyle w:val="ParaNum"/>
      </w:pPr>
      <w:r w:rsidRPr="00BB0DD8">
        <w:rPr>
          <w:i/>
        </w:rPr>
        <w:t>SES/O3b</w:t>
      </w:r>
      <w:r w:rsidR="00980C79">
        <w:rPr>
          <w:i/>
        </w:rPr>
        <w:t>’s</w:t>
      </w:r>
      <w:r w:rsidRPr="00F971E8" w:rsidR="00F971E8">
        <w:rPr>
          <w:i/>
        </w:rPr>
        <w:t xml:space="preserve"> Comments on Increased Interference.</w:t>
      </w:r>
      <w:r w:rsidR="00F971E8">
        <w:t xml:space="preserve"> </w:t>
      </w:r>
      <w:r>
        <w:t xml:space="preserve"> </w:t>
      </w:r>
      <w:r w:rsidRPr="00BB0DD8">
        <w:t>SES/O3b</w:t>
      </w:r>
      <w:r w:rsidRPr="00742D9C" w:rsidR="00742D9C">
        <w:t xml:space="preserve"> </w:t>
      </w:r>
      <w:r w:rsidR="00742D9C">
        <w:t>express</w:t>
      </w:r>
      <w:r w:rsidR="00895E2A">
        <w:t>es</w:t>
      </w:r>
      <w:r w:rsidR="00742D9C">
        <w:t xml:space="preserve"> concern </w:t>
      </w:r>
      <w:r w:rsidR="002B5E39">
        <w:t xml:space="preserve">over </w:t>
      </w:r>
      <w:r w:rsidR="00742D9C">
        <w:t xml:space="preserve">the </w:t>
      </w:r>
      <w:r w:rsidRPr="00207A9C" w:rsidR="00207A9C">
        <w:t xml:space="preserve">lack of information </w:t>
      </w:r>
      <w:r w:rsidR="002B5E39">
        <w:t>concerning</w:t>
      </w:r>
      <w:r w:rsidRPr="00207A9C" w:rsidR="00207A9C">
        <w:t xml:space="preserve"> </w:t>
      </w:r>
      <w:r w:rsidR="002B5E39">
        <w:t xml:space="preserve">the impact of the </w:t>
      </w:r>
      <w:r w:rsidRPr="00207A9C" w:rsidR="00207A9C">
        <w:t xml:space="preserve">SpaceX modification </w:t>
      </w:r>
      <w:r w:rsidR="002B5E39">
        <w:t>on</w:t>
      </w:r>
      <w:r w:rsidRPr="00207A9C" w:rsidR="00207A9C">
        <w:t xml:space="preserve"> the overall radio frequency interference environment</w:t>
      </w:r>
      <w:r w:rsidR="002B5E39">
        <w:t xml:space="preserve">, and </w:t>
      </w:r>
      <w:r w:rsidRPr="002B5E39" w:rsidR="002B5E39">
        <w:t>requests that the Commission impose conditions to prevent SpaceX from worsening the interference environment and to protect the participants of the Ku/Ka-band NGSO processing round</w:t>
      </w:r>
      <w:r w:rsidRPr="00207A9C" w:rsidR="00207A9C">
        <w:t>.</w:t>
      </w:r>
      <w:r>
        <w:rPr>
          <w:vertAlign w:val="superscript"/>
        </w:rPr>
        <w:footnoteReference w:id="37"/>
      </w:r>
      <w:r w:rsidR="00681BB9">
        <w:t xml:space="preserve">  </w:t>
      </w:r>
      <w:r w:rsidR="00297818">
        <w:t>Citing</w:t>
      </w:r>
      <w:r w:rsidR="00724EDA">
        <w:t xml:space="preserve"> SpaceX’s own analysis </w:t>
      </w:r>
      <w:r w:rsidR="00297818">
        <w:t xml:space="preserve">showing </w:t>
      </w:r>
      <w:r w:rsidR="00724EDA">
        <w:t xml:space="preserve">a slight increase in interference to other NGSO operators, and </w:t>
      </w:r>
      <w:r w:rsidR="00EE0150">
        <w:t xml:space="preserve">the lack of any </w:t>
      </w:r>
      <w:r w:rsidR="00724EDA">
        <w:t xml:space="preserve">analysis regarding susceptibility of </w:t>
      </w:r>
      <w:r w:rsidR="00646A98">
        <w:t xml:space="preserve">SpaceX’s </w:t>
      </w:r>
      <w:r w:rsidR="00724EDA">
        <w:t>own satellites to interference</w:t>
      </w:r>
      <w:r w:rsidR="00282AD0">
        <w:t xml:space="preserve">, </w:t>
      </w:r>
      <w:r w:rsidRPr="00646A98" w:rsidR="00646A98">
        <w:t>SES/O3b</w:t>
      </w:r>
      <w:r w:rsidRPr="00646A98" w:rsidR="00646A98">
        <w:t xml:space="preserve"> </w:t>
      </w:r>
      <w:r w:rsidR="00646A98">
        <w:t>argues that</w:t>
      </w:r>
      <w:r>
        <w:t xml:space="preserve"> </w:t>
      </w:r>
      <w:r w:rsidR="00282AD0">
        <w:t>the Commission cannot perform the required analysis to determine if SpaceX’s modification necessitates a new processing round</w:t>
      </w:r>
      <w:r w:rsidR="004701BB">
        <w:t>.  Therefore, SES/O3b argues that the</w:t>
      </w:r>
      <w:r w:rsidR="00724EDA">
        <w:t xml:space="preserve"> Commission </w:t>
      </w:r>
      <w:r w:rsidR="00646A98">
        <w:t xml:space="preserve">require </w:t>
      </w:r>
      <w:r w:rsidR="00F61201">
        <w:t xml:space="preserve">SpaceX to: (1) alter its proposed operations to eliminate any increase in interference to other NGSO systems resulting from the changes sought in </w:t>
      </w:r>
      <w:r w:rsidR="00854D51">
        <w:t>the present modification</w:t>
      </w:r>
      <w:r w:rsidR="00F61201">
        <w:t xml:space="preserve"> and (2) accept any additional interference from other NGSO networks due to SpaceX’s multiple revisions of the constellation design the Commission approved in the </w:t>
      </w:r>
      <w:r w:rsidRPr="00755BE6" w:rsidR="00F61201">
        <w:rPr>
          <w:i/>
        </w:rPr>
        <w:t>SpaceX Authorization</w:t>
      </w:r>
      <w:r w:rsidR="00F61201">
        <w:t>.</w:t>
      </w:r>
      <w:r>
        <w:rPr>
          <w:rStyle w:val="FootnoteReference"/>
        </w:rPr>
        <w:footnoteReference w:id="38"/>
      </w:r>
    </w:p>
    <w:p w:rsidR="00C8396A" w:rsidRPr="00F61201" w:rsidP="00F61201" w14:paraId="73BF0F12" w14:textId="5F16AAFD">
      <w:pPr>
        <w:pStyle w:val="ParaNum"/>
      </w:pPr>
      <w:r w:rsidRPr="002165F7">
        <w:t>SpaceX opposes the imposition of the conditions suggested by SES/O3</w:t>
      </w:r>
      <w:r w:rsidR="00A12D1D">
        <w:t>b</w:t>
      </w:r>
      <w:r w:rsidRPr="002165F7">
        <w:t>, stating that it agrees with SES/O3</w:t>
      </w:r>
      <w:r w:rsidR="00A12D1D">
        <w:t>b</w:t>
      </w:r>
      <w:r w:rsidRPr="002165F7">
        <w:t xml:space="preserve"> that the appropriate approach for resolving the full range of spectrum sharing issues is through coordination between the parties, and is currently engaged in that process, and that the Commission should not unbalance the scales as SES/O3b requests by imposing conditions only on SpaceX due merely to SpaceX’s redistribution of satellites within orbital planes at its existing authorized altitude.</w:t>
      </w:r>
      <w:r>
        <w:rPr>
          <w:vertAlign w:val="superscript"/>
        </w:rPr>
        <w:footnoteReference w:id="39"/>
      </w:r>
      <w:r w:rsidR="004C079A">
        <w:t xml:space="preserve"> </w:t>
      </w:r>
      <w:r w:rsidRPr="002165F7">
        <w:t xml:space="preserve"> </w:t>
      </w:r>
      <w:r w:rsidRPr="004C079A" w:rsidR="004C079A">
        <w:t xml:space="preserve">SpaceX </w:t>
      </w:r>
      <w:r w:rsidR="004C079A">
        <w:t>argues</w:t>
      </w:r>
      <w:r w:rsidRPr="004C079A" w:rsidR="004C079A">
        <w:t xml:space="preserve"> that its proposed modification will not result in any significant radiofrequency </w:t>
      </w:r>
      <w:r w:rsidRPr="004C079A" w:rsidR="004C079A">
        <w:t>interference, explaining that the analyses conducted in support of its application show that while there may be some instances of increased interference to O3b’s system, most variances in interference caused by its modification would result in a decrease in interference, and on the whole the SpaceX modification in fact slightly lessens interference in the overall environment.</w:t>
      </w:r>
      <w:r>
        <w:rPr>
          <w:vertAlign w:val="superscript"/>
        </w:rPr>
        <w:footnoteReference w:id="40"/>
      </w:r>
      <w:r w:rsidRPr="004C079A" w:rsidR="004C079A">
        <w:t xml:space="preserve"> </w:t>
      </w:r>
      <w:r w:rsidRPr="002165F7">
        <w:t xml:space="preserve"> </w:t>
      </w:r>
      <w:r w:rsidRPr="004C079A" w:rsidR="004C079A">
        <w:t>SES/O3b states that “Maintaining the interference environment … is not a matter of averaging out the pluses and minuses, as the prospect that the risk of interference may be lower at some future time or stage of deployment would not cancel out the adverse effects O3b would experience during times of increased interference</w:t>
      </w:r>
      <w:r w:rsidR="004C079A">
        <w:t>,</w:t>
      </w:r>
      <w:r>
        <w:rPr>
          <w:vertAlign w:val="superscript"/>
        </w:rPr>
        <w:footnoteReference w:id="41"/>
      </w:r>
      <w:r w:rsidR="004C079A">
        <w:t xml:space="preserve"> and </w:t>
      </w:r>
      <w:r w:rsidRPr="002165F7">
        <w:t>that an express condition is preferable to the suggestions proffered in the grant of SpaceX’s first modification, as it will allow SpaceX to implement its proposed changes and conduct its operations while preserving the current interference environment.</w:t>
      </w:r>
      <w:r w:rsidR="00A37932">
        <w:t>”</w:t>
      </w:r>
      <w:r>
        <w:rPr>
          <w:vertAlign w:val="superscript"/>
        </w:rPr>
        <w:footnoteReference w:id="42"/>
      </w:r>
    </w:p>
    <w:p w:rsidR="006B2716" w:rsidP="00A434AB" w14:paraId="7BD2EE25" w14:textId="580C9BA1">
      <w:pPr>
        <w:pStyle w:val="ParaNum"/>
      </w:pPr>
      <w:r>
        <w:t xml:space="preserve">With regard to </w:t>
      </w:r>
      <w:r w:rsidRPr="005573E8" w:rsidR="005573E8">
        <w:t>SES/O3b</w:t>
      </w:r>
      <w:r>
        <w:t xml:space="preserve">’s claim that SpaceX has not provided analysis of any increased susceptibility of its </w:t>
      </w:r>
      <w:r w:rsidR="003A0ED8">
        <w:t xml:space="preserve">own </w:t>
      </w:r>
      <w:r>
        <w:t xml:space="preserve">satellites to interference, SpaceX states </w:t>
      </w:r>
      <w:r w:rsidR="001C19D1">
        <w:t xml:space="preserve">that </w:t>
      </w:r>
      <w:r w:rsidRPr="005573E8" w:rsidR="005573E8">
        <w:t>SES/O3b</w:t>
      </w:r>
      <w:r w:rsidR="001C19D1">
        <w:t xml:space="preserve"> </w:t>
      </w:r>
      <w:r w:rsidR="00854D51">
        <w:t>has</w:t>
      </w:r>
      <w:r w:rsidR="001C19D1">
        <w:t xml:space="preserve"> provided no reason why SpaceX’s satellites would be susceptible to increased interference, given that SpaceX is simply redistributing its satellites among orbital planes and is not modifying the number of satellites or their orbital altitude, inclination, or operational characteristics.</w:t>
      </w:r>
      <w:r>
        <w:rPr>
          <w:rStyle w:val="FootnoteReference"/>
        </w:rPr>
        <w:footnoteReference w:id="43"/>
      </w:r>
      <w:r w:rsidR="001C19D1">
        <w:t xml:space="preserve"> </w:t>
      </w:r>
      <w:r w:rsidR="00A257BF">
        <w:t xml:space="preserve"> </w:t>
      </w:r>
      <w:r>
        <w:t xml:space="preserve"> </w:t>
      </w:r>
    </w:p>
    <w:p w:rsidR="00806C7D" w:rsidP="00153298" w14:paraId="2B2E0E45" w14:textId="2FE03D69">
      <w:pPr>
        <w:pStyle w:val="ParaNum"/>
      </w:pPr>
      <w:r>
        <w:t xml:space="preserve">The </w:t>
      </w:r>
      <w:r>
        <w:rPr>
          <w:i/>
        </w:rPr>
        <w:t xml:space="preserve">SpaceX First </w:t>
      </w:r>
      <w:r w:rsidRPr="00FE1B85">
        <w:rPr>
          <w:i/>
        </w:rPr>
        <w:t>Modification</w:t>
      </w:r>
      <w:r>
        <w:rPr>
          <w:i/>
        </w:rPr>
        <w:t xml:space="preserve"> Order </w:t>
      </w:r>
      <w:r w:rsidRPr="00862F16" w:rsidR="00F44499">
        <w:t>addressed t</w:t>
      </w:r>
      <w:r w:rsidRPr="00862F16" w:rsidR="00F523FB">
        <w:t xml:space="preserve">he matter of whether placing 1,584 </w:t>
      </w:r>
      <w:r w:rsidRPr="00862F16" w:rsidR="00F44499">
        <w:t xml:space="preserve">satellites of the SpaceX constellation at a lower orbit altitude would alter the interference environment vis-à-vis other NGSO systems. </w:t>
      </w:r>
      <w:r w:rsidR="00C23C2A">
        <w:t xml:space="preserve"> </w:t>
      </w:r>
      <w:r w:rsidRPr="00862F16" w:rsidR="00476008">
        <w:t>With respect to any changes to th</w:t>
      </w:r>
      <w:r w:rsidRPr="00862F16" w:rsidR="00A00CCA">
        <w:t>is</w:t>
      </w:r>
      <w:r w:rsidRPr="00862F16" w:rsidR="00476008">
        <w:t xml:space="preserve"> interference</w:t>
      </w:r>
      <w:r w:rsidRPr="00862F16" w:rsidR="00A00CCA">
        <w:t xml:space="preserve"> environment,</w:t>
      </w:r>
      <w:r w:rsidRPr="00862F16" w:rsidR="00476008">
        <w:t xml:space="preserve"> </w:t>
      </w:r>
      <w:r w:rsidRPr="00862F16" w:rsidR="00A00CCA">
        <w:t xml:space="preserve">what </w:t>
      </w:r>
      <w:r w:rsidR="001C0C17">
        <w:t xml:space="preserve">must be </w:t>
      </w:r>
      <w:r w:rsidRPr="00862F16" w:rsidR="00A00CCA">
        <w:t>consider</w:t>
      </w:r>
      <w:r w:rsidR="001C0C17">
        <w:t>ed</w:t>
      </w:r>
      <w:r w:rsidRPr="00862F16" w:rsidR="00A00CCA">
        <w:t xml:space="preserve"> when </w:t>
      </w:r>
      <w:r w:rsidRPr="00862F16" w:rsidR="00F44499">
        <w:t>address</w:t>
      </w:r>
      <w:r w:rsidRPr="00862F16" w:rsidR="00A00CCA">
        <w:t>ing the second SpaceX modification application</w:t>
      </w:r>
      <w:r w:rsidRPr="00862F16" w:rsidR="00F44499">
        <w:t xml:space="preserve"> </w:t>
      </w:r>
      <w:r w:rsidRPr="00862F16" w:rsidR="00A00CCA">
        <w:t xml:space="preserve">is whether increasing the number of planes in which these 1,584 satellites would be deployed alters the interference environment. </w:t>
      </w:r>
      <w:r w:rsidR="00C23C2A">
        <w:t xml:space="preserve"> </w:t>
      </w:r>
      <w:r w:rsidRPr="00862F16" w:rsidR="00A00CCA">
        <w:t xml:space="preserve">Given that there is no change in orbit altitude and in the number of satellites, we conclude there is no material change to the interference environment. </w:t>
      </w:r>
      <w:r w:rsidR="00C23C2A">
        <w:t xml:space="preserve"> </w:t>
      </w:r>
      <w:r w:rsidRPr="00862F16" w:rsidR="00A00CCA">
        <w:t xml:space="preserve">We </w:t>
      </w:r>
      <w:r w:rsidR="001C0C17">
        <w:t>recognize</w:t>
      </w:r>
      <w:r w:rsidRPr="00862F16" w:rsidR="001C0C17">
        <w:t xml:space="preserve"> </w:t>
      </w:r>
      <w:r w:rsidRPr="00862F16" w:rsidR="00A00CCA">
        <w:t>however</w:t>
      </w:r>
      <w:r w:rsidR="00C23C2A">
        <w:t>,</w:t>
      </w:r>
      <w:r w:rsidRPr="00862F16" w:rsidR="00A00CCA">
        <w:t xml:space="preserve"> that there are pending petitions for reconsideration of the </w:t>
      </w:r>
      <w:r>
        <w:rPr>
          <w:i/>
        </w:rPr>
        <w:t>SpaceX First Modification Order,</w:t>
      </w:r>
      <w:r w:rsidR="008154C7">
        <w:t xml:space="preserve"> </w:t>
      </w:r>
      <w:r w:rsidRPr="00862F16" w:rsidR="008F5B0C">
        <w:t>and concerns similar to those expressed by SES/O3b are therein raised.</w:t>
      </w:r>
      <w:r>
        <w:rPr>
          <w:rStyle w:val="FootnoteReference"/>
        </w:rPr>
        <w:footnoteReference w:id="44"/>
      </w:r>
      <w:r w:rsidRPr="00862F16" w:rsidR="008F5B0C">
        <w:t xml:space="preserve"> </w:t>
      </w:r>
      <w:r w:rsidR="00CC1EE5">
        <w:t xml:space="preserve"> </w:t>
      </w:r>
      <w:r w:rsidRPr="00862F16" w:rsidR="008F5B0C">
        <w:t xml:space="preserve">As </w:t>
      </w:r>
      <w:r w:rsidR="00B81054">
        <w:t>stated</w:t>
      </w:r>
      <w:r w:rsidRPr="00862F16" w:rsidR="009543E0">
        <w:t xml:space="preserve"> </w:t>
      </w:r>
      <w:r w:rsidRPr="00862F16" w:rsidR="008F5B0C">
        <w:t>above, petitions for reconsideration of that Order will be addressed separately.</w:t>
      </w:r>
    </w:p>
    <w:p w:rsidR="00A434AB" w:rsidP="00A434AB" w14:paraId="62D152BE" w14:textId="1737AEAE">
      <w:pPr>
        <w:pStyle w:val="ParaNum"/>
      </w:pPr>
      <w:r>
        <w:rPr>
          <w:i/>
        </w:rPr>
        <w:t>Waiver Request.</w:t>
      </w:r>
      <w:r>
        <w:t xml:space="preserve"> </w:t>
      </w:r>
      <w:r w:rsidR="004F611F">
        <w:t xml:space="preserve"> </w:t>
      </w:r>
      <w:r>
        <w:t>As part of our grant, we</w:t>
      </w:r>
      <w:r w:rsidRPr="00FC5A5D">
        <w:t xml:space="preserve"> also address SpaceX’s waiver request</w:t>
      </w:r>
      <w:r>
        <w:t>.</w:t>
      </w:r>
      <w:r>
        <w:rPr>
          <w:rStyle w:val="FootnoteReference"/>
        </w:rPr>
        <w:footnoteReference w:id="45"/>
      </w:r>
      <w:r>
        <w:t xml:space="preserve">  Generally, the Commission may waive any rule for good cause shown.</w:t>
      </w:r>
      <w:r>
        <w:rPr>
          <w:rStyle w:val="FootnoteReference"/>
        </w:rPr>
        <w:footnoteReference w:id="46"/>
      </w:r>
      <w:r>
        <w:t xml:space="preserve">  Waiver is appropriate where the particular facts make strict compliance inconsistent with the public interest.</w:t>
      </w:r>
      <w:r>
        <w:rPr>
          <w:rStyle w:val="FootnoteReference"/>
        </w:rPr>
        <w:footnoteReference w:id="47"/>
      </w:r>
      <w:r>
        <w:t xml:space="preserve">  In making this determination, we may take into account considerations of hardship, equity, or more effective implementation of overall policy on an individual basis.</w:t>
      </w:r>
      <w:r>
        <w:rPr>
          <w:rStyle w:val="FootnoteReference"/>
        </w:rPr>
        <w:footnoteReference w:id="48"/>
      </w:r>
      <w:r>
        <w:t xml:space="preserve">  Waiver is therefore appropriate if special circumstances warrant a deviation from the general rule and such deviation will serve the public interest.</w:t>
      </w:r>
      <w:r>
        <w:rPr>
          <w:rStyle w:val="FootnoteReference"/>
        </w:rPr>
        <w:footnoteReference w:id="49"/>
      </w:r>
    </w:p>
    <w:p w:rsidR="004C0DAD" w:rsidRPr="00862F16" w:rsidP="009C6C5F" w14:paraId="095F0BA9" w14:textId="4193EDB9">
      <w:pPr>
        <w:pStyle w:val="ParaNum"/>
      </w:pPr>
      <w:r w:rsidRPr="00FB6758">
        <w:rPr>
          <w:snapToGrid/>
          <w:kern w:val="0"/>
          <w:szCs w:val="22"/>
        </w:rPr>
        <w:t xml:space="preserve">As required by the Commission’s rules, SpaceX submitted a completed Schedule S for its </w:t>
      </w:r>
      <w:r w:rsidRPr="00FB6758">
        <w:rPr>
          <w:snapToGrid/>
          <w:kern w:val="0"/>
          <w:szCs w:val="22"/>
        </w:rPr>
        <w:t xml:space="preserve">application, which contains certain technical information in a prescribed form.  SpaceX has found that it cannot accurately describe its system in certain respects due to limitations </w:t>
      </w:r>
      <w:r w:rsidRPr="00273921">
        <w:rPr>
          <w:snapToGrid/>
          <w:kern w:val="0"/>
          <w:szCs w:val="22"/>
        </w:rPr>
        <w:t xml:space="preserve">in Schedule S itself.  SpaceX cites </w:t>
      </w:r>
      <w:r>
        <w:rPr>
          <w:snapToGrid/>
          <w:kern w:val="0"/>
          <w:szCs w:val="22"/>
        </w:rPr>
        <w:t>five</w:t>
      </w:r>
      <w:r w:rsidRPr="00273921">
        <w:rPr>
          <w:snapToGrid/>
          <w:kern w:val="0"/>
          <w:szCs w:val="22"/>
        </w:rPr>
        <w:t xml:space="preserve"> limitations in Schedule S that affected how the Schedule S was completed: (1) </w:t>
      </w:r>
      <w:r>
        <w:rPr>
          <w:szCs w:val="22"/>
        </w:rPr>
        <w:t xml:space="preserve">the impracticability of </w:t>
      </w:r>
      <w:r w:rsidRPr="00775FC5">
        <w:rPr>
          <w:szCs w:val="22"/>
        </w:rPr>
        <w:t>submi</w:t>
      </w:r>
      <w:r>
        <w:rPr>
          <w:szCs w:val="22"/>
        </w:rPr>
        <w:t>tting</w:t>
      </w:r>
      <w:r w:rsidRPr="00775FC5">
        <w:rPr>
          <w:szCs w:val="22"/>
        </w:rPr>
        <w:t xml:space="preserve"> complete orbital parameter data for the SpaceX system using the Schedule S web form</w:t>
      </w:r>
      <w:r>
        <w:rPr>
          <w:szCs w:val="22"/>
        </w:rPr>
        <w:t>;</w:t>
      </w:r>
      <w:r w:rsidRPr="00775FC5">
        <w:rPr>
          <w:szCs w:val="22"/>
        </w:rPr>
        <w:t xml:space="preserve"> (2) </w:t>
      </w:r>
      <w:r>
        <w:rPr>
          <w:szCs w:val="22"/>
        </w:rPr>
        <w:t xml:space="preserve">the inability to enter </w:t>
      </w:r>
      <w:r w:rsidRPr="003C2C31">
        <w:rPr>
          <w:szCs w:val="22"/>
        </w:rPr>
        <w:t>“not applicable”</w:t>
      </w:r>
      <w:r>
        <w:rPr>
          <w:szCs w:val="22"/>
        </w:rPr>
        <w:t xml:space="preserve"> for </w:t>
      </w:r>
      <w:r w:rsidR="00884975">
        <w:rPr>
          <w:szCs w:val="22"/>
        </w:rPr>
        <w:t>s</w:t>
      </w:r>
      <w:r w:rsidRPr="00775FC5">
        <w:rPr>
          <w:szCs w:val="22"/>
        </w:rPr>
        <w:t>ection 25.114(c)(4)(v)</w:t>
      </w:r>
      <w:r>
        <w:rPr>
          <w:szCs w:val="22"/>
        </w:rPr>
        <w:t>, which</w:t>
      </w:r>
      <w:r w:rsidRPr="00775FC5">
        <w:rPr>
          <w:szCs w:val="22"/>
        </w:rPr>
        <w:t xml:space="preserve"> requires both the minimum and maximum saturation flux density (SFD) values for each space station receive antenna that is connected to transponders</w:t>
      </w:r>
      <w:r>
        <w:rPr>
          <w:szCs w:val="22"/>
        </w:rPr>
        <w:t>;</w:t>
      </w:r>
      <w:r w:rsidRPr="00775FC5">
        <w:rPr>
          <w:szCs w:val="22"/>
        </w:rPr>
        <w:t xml:space="preserve"> (3) </w:t>
      </w:r>
      <w:r>
        <w:rPr>
          <w:szCs w:val="22"/>
        </w:rPr>
        <w:t xml:space="preserve">the inability to enter a </w:t>
      </w:r>
      <w:r w:rsidRPr="00775FC5">
        <w:rPr>
          <w:szCs w:val="22"/>
        </w:rPr>
        <w:t xml:space="preserve">maximum transmit EIRP value for </w:t>
      </w:r>
      <w:r>
        <w:rPr>
          <w:szCs w:val="22"/>
        </w:rPr>
        <w:t xml:space="preserve">its downlink beams that is </w:t>
      </w:r>
      <w:r w:rsidRPr="00775FC5">
        <w:rPr>
          <w:szCs w:val="22"/>
        </w:rPr>
        <w:t>0 dBW or less</w:t>
      </w:r>
      <w:r>
        <w:rPr>
          <w:szCs w:val="22"/>
        </w:rPr>
        <w:t>;</w:t>
      </w:r>
      <w:r w:rsidRPr="00775FC5">
        <w:rPr>
          <w:szCs w:val="22"/>
        </w:rPr>
        <w:t xml:space="preserve"> (4) </w:t>
      </w:r>
      <w:r>
        <w:rPr>
          <w:szCs w:val="22"/>
        </w:rPr>
        <w:t xml:space="preserve">the inability to enter </w:t>
      </w:r>
      <w:r w:rsidRPr="00775FC5">
        <w:rPr>
          <w:szCs w:val="22"/>
        </w:rPr>
        <w:t>the begin and end angle for the active service arc with respect to the ascending node for each orbital plane</w:t>
      </w:r>
      <w:r>
        <w:rPr>
          <w:szCs w:val="22"/>
        </w:rPr>
        <w:t xml:space="preserve"> if that angle consists of more than two digits;</w:t>
      </w:r>
      <w:r w:rsidRPr="00775FC5">
        <w:rPr>
          <w:szCs w:val="22"/>
        </w:rPr>
        <w:t xml:space="preserve"> </w:t>
      </w:r>
      <w:r>
        <w:rPr>
          <w:szCs w:val="22"/>
        </w:rPr>
        <w:t xml:space="preserve">and </w:t>
      </w:r>
      <w:r w:rsidRPr="00775FC5">
        <w:rPr>
          <w:szCs w:val="22"/>
        </w:rPr>
        <w:t xml:space="preserve">(5) </w:t>
      </w:r>
      <w:r>
        <w:rPr>
          <w:szCs w:val="22"/>
        </w:rPr>
        <w:t xml:space="preserve">the inability to enter the </w:t>
      </w:r>
      <w:r w:rsidRPr="00775FC5">
        <w:rPr>
          <w:szCs w:val="22"/>
        </w:rPr>
        <w:t xml:space="preserve">maximum EIRP for transmit beams </w:t>
      </w:r>
      <w:r>
        <w:rPr>
          <w:szCs w:val="22"/>
        </w:rPr>
        <w:t>for</w:t>
      </w:r>
      <w:r w:rsidRPr="00775FC5">
        <w:rPr>
          <w:szCs w:val="22"/>
        </w:rPr>
        <w:t xml:space="preserve"> values </w:t>
      </w:r>
      <w:r>
        <w:rPr>
          <w:szCs w:val="22"/>
        </w:rPr>
        <w:t>less than</w:t>
      </w:r>
      <w:r w:rsidRPr="00775FC5">
        <w:rPr>
          <w:szCs w:val="22"/>
        </w:rPr>
        <w:t xml:space="preserve"> zero. </w:t>
      </w:r>
      <w:r>
        <w:rPr>
          <w:szCs w:val="22"/>
        </w:rPr>
        <w:t xml:space="preserve"> Given </w:t>
      </w:r>
      <w:r w:rsidRPr="00273921">
        <w:rPr>
          <w:snapToGrid/>
          <w:kern w:val="0"/>
          <w:szCs w:val="22"/>
        </w:rPr>
        <w:t>that SpaceX has implemented a workaround for each of these limitations to allow entry of the required information,</w:t>
      </w:r>
      <w:r>
        <w:rPr>
          <w:rStyle w:val="FootnoteReference"/>
          <w:snapToGrid/>
          <w:kern w:val="0"/>
          <w:szCs w:val="22"/>
        </w:rPr>
        <w:footnoteReference w:id="50"/>
      </w:r>
      <w:r w:rsidRPr="00273921">
        <w:rPr>
          <w:snapToGrid/>
          <w:kern w:val="0"/>
          <w:szCs w:val="22"/>
        </w:rPr>
        <w:t xml:space="preserve"> we find that a waiver of the requirement to complete certain aspects or fields of Schedule S is warranted.</w:t>
      </w:r>
    </w:p>
    <w:p w:rsidR="00356BA2" w:rsidP="008B187A" w14:paraId="0C398386" w14:textId="77777777">
      <w:pPr>
        <w:pStyle w:val="Heading1"/>
        <w:keepNext w:val="0"/>
        <w:widowControl/>
        <w:suppressAutoHyphens w:val="0"/>
      </w:pPr>
      <w:r w:rsidRPr="00454517">
        <w:t>ordering clauses</w:t>
      </w:r>
    </w:p>
    <w:p w:rsidR="00AA31B2" w:rsidP="008B187A" w14:paraId="15776D05" w14:textId="6313AE98">
      <w:pPr>
        <w:pStyle w:val="ParaNum"/>
        <w:widowControl/>
      </w:pPr>
      <w:r w:rsidRPr="006A5BE7">
        <w:t xml:space="preserve">Accordingly, IT IS ORDERED, that the </w:t>
      </w:r>
      <w:r w:rsidR="00884975">
        <w:t xml:space="preserve">Second </w:t>
      </w:r>
      <w:r w:rsidR="00890FA5">
        <w:t>Modification</w:t>
      </w:r>
      <w:r w:rsidR="00073502">
        <w:t xml:space="preserve"> Application</w:t>
      </w:r>
      <w:r w:rsidRPr="006A5BE7" w:rsidR="003F5085">
        <w:t xml:space="preserve"> </w:t>
      </w:r>
      <w:r w:rsidRPr="006A5BE7">
        <w:t>filed by Space Exploration Holdings, LLC</w:t>
      </w:r>
      <w:r w:rsidR="00AD4E77">
        <w:t xml:space="preserve"> (SpaceX)</w:t>
      </w:r>
      <w:r w:rsidR="00C36DE5">
        <w:t xml:space="preserve"> </w:t>
      </w:r>
      <w:r w:rsidR="00356BA2">
        <w:t>and accepted for filing</w:t>
      </w:r>
      <w:r w:rsidR="00884975">
        <w:t>,</w:t>
      </w:r>
      <w:r w:rsidR="00356BA2">
        <w:t xml:space="preserve"> </w:t>
      </w:r>
      <w:r w:rsidR="00890FA5">
        <w:t>IS</w:t>
      </w:r>
      <w:r w:rsidR="003C1D41">
        <w:t xml:space="preserve"> </w:t>
      </w:r>
      <w:r w:rsidR="00C36DE5">
        <w:t>GRANTED</w:t>
      </w:r>
      <w:r w:rsidR="00AD4E77">
        <w:t xml:space="preserve">, </w:t>
      </w:r>
      <w:r w:rsidR="00336375">
        <w:t>as set forth in this Order</w:t>
      </w:r>
      <w:r w:rsidR="005D4BB5">
        <w:t xml:space="preserve"> and Authorization</w:t>
      </w:r>
      <w:r w:rsidR="00336375">
        <w:t xml:space="preserve">, </w:t>
      </w:r>
      <w:r w:rsidRPr="006A5BE7">
        <w:t xml:space="preserve">pursuant to </w:t>
      </w:r>
      <w:r w:rsidR="00884975">
        <w:t>s</w:t>
      </w:r>
      <w:r w:rsidRPr="006A5BE7">
        <w:t>ection 309</w:t>
      </w:r>
      <w:r w:rsidR="00336375">
        <w:t>(a)</w:t>
      </w:r>
      <w:r w:rsidRPr="006A5BE7">
        <w:t xml:space="preserve"> of the Communications Act of 1934, as amended, 47 U.S.C. § 309</w:t>
      </w:r>
      <w:r w:rsidR="00336375">
        <w:t>(a)</w:t>
      </w:r>
      <w:r w:rsidR="00E05CE4">
        <w:t>.</w:t>
      </w:r>
      <w:r>
        <w:rPr>
          <w:rStyle w:val="FootnoteReference"/>
        </w:rPr>
        <w:footnoteReference w:id="51"/>
      </w:r>
    </w:p>
    <w:p w:rsidR="00F9472C" w:rsidP="008B187A" w14:paraId="219E1B48" w14:textId="77777777">
      <w:pPr>
        <w:pStyle w:val="ParaNum"/>
        <w:widowControl/>
      </w:pPr>
      <w:r w:rsidRPr="00AA31B2">
        <w:t xml:space="preserve">IT IS FURTHER ORDERED that </w:t>
      </w:r>
      <w:r>
        <w:t>this authorization is subject to the following requirements and conditions:</w:t>
      </w:r>
      <w:r w:rsidR="00CB6375">
        <w:t xml:space="preserve"> </w:t>
      </w:r>
    </w:p>
    <w:p w:rsidR="003E70AD" w:rsidRPr="0027327C" w:rsidP="00F61201" w14:paraId="4989510D" w14:textId="77777777">
      <w:pPr>
        <w:pStyle w:val="ParaNum"/>
        <w:widowControl/>
        <w:numPr>
          <w:ilvl w:val="0"/>
          <w:numId w:val="3"/>
        </w:numPr>
        <w:ind w:left="0" w:firstLine="720"/>
        <w:rPr>
          <w:b/>
        </w:rPr>
      </w:pPr>
      <w:r w:rsidRPr="00F9472C">
        <w:t xml:space="preserve">SpaceX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0027327C">
        <w:rPr>
          <w:i/>
        </w:rPr>
        <w:t>See</w:t>
      </w:r>
      <w:r w:rsidRPr="00F9472C">
        <w:t xml:space="preserve"> 47 CFR § 25.111(b).  </w:t>
      </w:r>
      <w:r w:rsidR="00AD4E77">
        <w:t>SpaceX</w:t>
      </w:r>
      <w:r w:rsidRPr="00F9472C" w:rsidR="00AD4E77">
        <w:t xml:space="preserve"> </w:t>
      </w:r>
      <w:r w:rsidRPr="00F9472C">
        <w:t>is responsible for all cost-recovery fees associated with the ITU filings.  47 CFR § 25.111(d).</w:t>
      </w:r>
    </w:p>
    <w:p w:rsidR="003E70AD" w:rsidP="00F61201" w14:paraId="33F74CE5" w14:textId="77777777">
      <w:pPr>
        <w:pStyle w:val="ParaNum"/>
        <w:widowControl/>
        <w:numPr>
          <w:ilvl w:val="0"/>
          <w:numId w:val="3"/>
        </w:numPr>
        <w:ind w:left="0" w:firstLine="720"/>
        <w:rPr>
          <w:snapToGrid/>
          <w:kern w:val="0"/>
          <w:szCs w:val="22"/>
        </w:rPr>
      </w:pPr>
      <w:r>
        <w:rPr>
          <w:snapToGrid/>
          <w:kern w:val="0"/>
          <w:szCs w:val="22"/>
        </w:rPr>
        <w:t xml:space="preserve">Operations </w:t>
      </w:r>
      <w:r w:rsidR="00EE4982">
        <w:rPr>
          <w:snapToGrid/>
          <w:kern w:val="0"/>
          <w:szCs w:val="22"/>
        </w:rPr>
        <w:t>i</w:t>
      </w:r>
      <w:r w:rsidRPr="00191F29">
        <w:rPr>
          <w:snapToGrid/>
          <w:kern w:val="0"/>
          <w:szCs w:val="22"/>
        </w:rPr>
        <w:t xml:space="preserve">n the 10.7-11.7 GHz (space-to-Earth) frequency band </w:t>
      </w:r>
      <w:r w:rsidR="00EE4982">
        <w:rPr>
          <w:snapToGrid/>
          <w:kern w:val="0"/>
          <w:szCs w:val="22"/>
        </w:rPr>
        <w:t>are authorized</w:t>
      </w:r>
      <w:r w:rsidRPr="00191F29">
        <w:rPr>
          <w:snapToGrid/>
          <w:kern w:val="0"/>
          <w:szCs w:val="22"/>
        </w:rPr>
        <w:t xml:space="preserve"> up to the applicable power flux-density limits in 47 CFR § 25.208(b), and up to the equivalent power flux-density requirements of </w:t>
      </w:r>
      <w:r w:rsidRPr="00426012" w:rsidR="00426012">
        <w:rPr>
          <w:snapToGrid/>
          <w:kern w:val="0"/>
          <w:szCs w:val="22"/>
        </w:rPr>
        <w:t xml:space="preserve">Article 22 of the ITU Radio Regulations, as well as Resolution 76 </w:t>
      </w:r>
      <w:r w:rsidRPr="00E44328" w:rsidR="00E44328">
        <w:rPr>
          <w:snapToGrid/>
          <w:kern w:val="0"/>
          <w:szCs w:val="22"/>
        </w:rPr>
        <w:t>(Rev. WRC-15)</w:t>
      </w:r>
      <w:r w:rsidR="00E44328">
        <w:rPr>
          <w:snapToGrid/>
          <w:kern w:val="0"/>
          <w:szCs w:val="22"/>
        </w:rPr>
        <w:t xml:space="preserve"> </w:t>
      </w:r>
      <w:r w:rsidRPr="00426012" w:rsidR="00426012">
        <w:rPr>
          <w:snapToGrid/>
          <w:kern w:val="0"/>
          <w:szCs w:val="22"/>
        </w:rPr>
        <w:t>of the ITU Radio Regulations.</w:t>
      </w:r>
    </w:p>
    <w:p w:rsidR="003E70AD" w:rsidRPr="003E70AD" w:rsidP="00F61201" w14:paraId="314DB99F" w14:textId="540B5BA3">
      <w:pPr>
        <w:pStyle w:val="ParaNum"/>
        <w:widowControl/>
        <w:numPr>
          <w:ilvl w:val="0"/>
          <w:numId w:val="3"/>
        </w:numPr>
        <w:ind w:left="0" w:firstLine="720"/>
      </w:pPr>
      <w:r w:rsidRPr="003E70AD">
        <w:t>In the 10.7-11.7 GHz band, operations must be coordinated with the radio astronomy observatories listed in 47 CFR § 2.106, n.US131, to achieve a mutually acceptable agreement regarding the protection of the radio telescope facilities operating in the 10.6-10.7 GHz band</w:t>
      </w:r>
      <w:r w:rsidR="00DF26EF">
        <w:t>.</w:t>
      </w:r>
      <w:r w:rsidRPr="00E44328" w:rsidR="00E44328">
        <w:t xml:space="preserve">  For the purposes of coordination with these listed facilities or the National Radio Quiet Zone, correspondence should be directed to the National Science Foundation Spectrum Management Unit (Email: </w:t>
      </w:r>
      <w:r w:rsidR="003C6286">
        <w:t xml:space="preserve"> </w:t>
      </w:r>
      <w:hyperlink r:id="rId5" w:history="1">
        <w:r w:rsidRPr="00E44328" w:rsidR="00E44328">
          <w:rPr>
            <w:rStyle w:val="Hyperlink"/>
          </w:rPr>
          <w:t>esm@nsf.gov)</w:t>
        </w:r>
      </w:hyperlink>
      <w:r w:rsidRPr="00E44328" w:rsidR="00E44328">
        <w:t>.</w:t>
      </w:r>
    </w:p>
    <w:p w:rsidR="003E70AD" w:rsidRPr="002738ED" w:rsidP="00F61201" w14:paraId="0DD6C6BB" w14:textId="77777777">
      <w:pPr>
        <w:pStyle w:val="ParaNum"/>
        <w:widowControl/>
        <w:numPr>
          <w:ilvl w:val="0"/>
          <w:numId w:val="3"/>
        </w:numPr>
        <w:ind w:left="0" w:firstLine="720"/>
      </w:pPr>
      <w:r w:rsidRPr="00FF5BF5">
        <w:t>Operations i</w:t>
      </w:r>
      <w:r w:rsidRPr="00FF5BF5">
        <w:t xml:space="preserve">n the 11.7-12.2 GHz (space-to-Earth) frequency band </w:t>
      </w:r>
      <w:r w:rsidRPr="00FF5BF5">
        <w:t>are authorized</w:t>
      </w:r>
      <w:r w:rsidRPr="00FF5BF5">
        <w:t xml:space="preserve"> up to the power flux-density limits in Article 21 of the ITU Radio Regulations, and up to the equivalent power flux-density requirements of </w:t>
      </w:r>
      <w:r w:rsidRPr="000422CE" w:rsidR="000422CE">
        <w:t>Article 22 of the ITU Radio Regulations, as well as Resolution 76</w:t>
      </w:r>
      <w:r w:rsidRPr="005F24AE" w:rsidR="005F24AE">
        <w:t xml:space="preserve"> (Rev. WRC-15) </w:t>
      </w:r>
      <w:r w:rsidRPr="000422CE" w:rsidR="000422CE">
        <w:t>of the ITU Radio Regulations.</w:t>
      </w:r>
    </w:p>
    <w:p w:rsidR="009E64E2" w:rsidRPr="001219D8" w:rsidP="00F61201" w14:paraId="0392AFBB" w14:textId="77777777">
      <w:pPr>
        <w:pStyle w:val="ParaNum"/>
        <w:widowControl/>
        <w:numPr>
          <w:ilvl w:val="0"/>
          <w:numId w:val="3"/>
        </w:numPr>
        <w:ind w:left="0" w:firstLine="720"/>
        <w:rPr>
          <w:snapToGrid/>
          <w:kern w:val="0"/>
          <w:szCs w:val="22"/>
        </w:rPr>
      </w:pPr>
      <w:r w:rsidRPr="001219D8">
        <w:rPr>
          <w:snapToGrid/>
          <w:kern w:val="0"/>
          <w:szCs w:val="22"/>
        </w:rPr>
        <w:t xml:space="preserve">Operations in the 12.2-12.7 GHz (space-to-Earth) frequency band are authorized up to the power flux-density limits in 47 CFR § 25.208(o) and Article 21 of the ITU Radio Regulations, and up to </w:t>
      </w:r>
      <w:r w:rsidRPr="001219D8">
        <w:rPr>
          <w:snapToGrid/>
          <w:kern w:val="0"/>
          <w:szCs w:val="22"/>
        </w:rPr>
        <w:t>the equivalent power flux-density requirements of Article 22 of the ITU Radio Regulations, as well as Resolution 76 (Rev. WRC-15) of the ITU Radio Regulations.</w:t>
      </w:r>
    </w:p>
    <w:p w:rsidR="006548C9" w:rsidRPr="006548C9" w:rsidP="00F61201" w14:paraId="2D6C4A76" w14:textId="77777777">
      <w:pPr>
        <w:pStyle w:val="ParaNum"/>
        <w:widowControl/>
        <w:numPr>
          <w:ilvl w:val="0"/>
          <w:numId w:val="3"/>
        </w:numPr>
        <w:ind w:left="0" w:firstLine="720"/>
        <w:rPr>
          <w:snapToGrid/>
          <w:kern w:val="0"/>
          <w:szCs w:val="22"/>
        </w:rPr>
      </w:pPr>
      <w:r w:rsidRPr="006548C9">
        <w:rPr>
          <w:snapToGrid/>
          <w:kern w:val="0"/>
          <w:szCs w:val="22"/>
        </w:rPr>
        <w:t>Operations in the 12.75-13.25 GHz (Earth-to-space) frequency band must be in accordance with footnote 5.441 to the U.S. Table of Frequency Allocations, 47 CFR § 2.106, n. 5.441, which states that operations in this band are subject to application of the provisions of No. 9.12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Non-geostationary-satellite systems in the fixed-satellite service in the 12.75-13.25 GHz (Earth-to-space) frequency band shall be operated in such a way that any unacceptable interference that may occur during their operation shall be rapidly eliminated.</w:t>
      </w:r>
    </w:p>
    <w:p w:rsidR="00D078A5" w:rsidRPr="00D078A5" w:rsidP="00F61201" w14:paraId="2E716D2E" w14:textId="77777777">
      <w:pPr>
        <w:pStyle w:val="ParaNum"/>
        <w:widowControl/>
        <w:numPr>
          <w:ilvl w:val="0"/>
          <w:numId w:val="3"/>
        </w:numPr>
        <w:ind w:left="0" w:firstLine="720"/>
        <w:rPr>
          <w:snapToGrid/>
          <w:kern w:val="0"/>
          <w:szCs w:val="22"/>
        </w:rPr>
      </w:pPr>
      <w:r w:rsidRPr="00D078A5">
        <w:rPr>
          <w:snapToGrid/>
          <w:kern w:val="0"/>
          <w:szCs w:val="22"/>
        </w:rPr>
        <w:t>Operations of non-geostationary-satellite systems in the 12.75-13.25 GHz (Earth-to-space) frequency band are restricted to individually licensed earth stations in accordance with footnote NG57 to the U.S. Table of Frequency Allocations, 47 CFR § 2.106, NG57.  In the 13.85-14.5 GHz (Earth-to-space) frequency band reception is permitted for levels up to the equivalent power flux-density requirements of Article 22 of the ITU Radio Regulations.</w:t>
      </w:r>
    </w:p>
    <w:p w:rsidR="003E70AD" w:rsidP="00F61201" w14:paraId="50764F28" w14:textId="1D0BFACE">
      <w:pPr>
        <w:pStyle w:val="ParaNum"/>
        <w:widowControl/>
        <w:numPr>
          <w:ilvl w:val="0"/>
          <w:numId w:val="3"/>
        </w:numPr>
        <w:ind w:left="0" w:firstLine="720"/>
        <w:rPr>
          <w:snapToGrid/>
          <w:kern w:val="0"/>
          <w:szCs w:val="22"/>
        </w:rPr>
      </w:pPr>
      <w:r w:rsidRPr="003E70AD">
        <w:rPr>
          <w:snapToGrid/>
          <w:kern w:val="0"/>
          <w:szCs w:val="22"/>
        </w:rPr>
        <w:t>In the 14.47-14.5 GHz band, operations are subject to footnote US342 to the U.S. Table of Frequency Allocations, 47 CFR § 2.106,</w:t>
      </w:r>
      <w:r w:rsidR="006353AD">
        <w:rPr>
          <w:snapToGrid/>
          <w:kern w:val="0"/>
          <w:szCs w:val="22"/>
        </w:rPr>
        <w:t xml:space="preserve"> US342,</w:t>
      </w:r>
      <w:r w:rsidRPr="003E70AD">
        <w:rPr>
          <w:snapToGrid/>
          <w:kern w:val="0"/>
          <w:szCs w:val="22"/>
        </w:rPr>
        <w:t xml:space="preserve"> and all practicable steps must be taken to protect the radio astronomy service from harmful interference.</w:t>
      </w:r>
    </w:p>
    <w:p w:rsidR="001F47B8" w:rsidRPr="001F47B8" w:rsidP="00F61201" w14:paraId="65C79C61" w14:textId="77777777">
      <w:pPr>
        <w:pStyle w:val="ParaNum"/>
        <w:widowControl/>
        <w:numPr>
          <w:ilvl w:val="0"/>
          <w:numId w:val="3"/>
        </w:numPr>
        <w:ind w:left="0" w:firstLine="720"/>
        <w:rPr>
          <w:snapToGrid/>
          <w:kern w:val="0"/>
          <w:szCs w:val="22"/>
        </w:rPr>
      </w:pPr>
      <w:r w:rsidRPr="001F47B8">
        <w:rPr>
          <w:snapToGrid/>
          <w:kern w:val="0"/>
          <w:szCs w:val="22"/>
        </w:rPr>
        <w:t xml:space="preserve">Space-to-Earth operations in the 17.8-18.6 GHz, 18.8-19.3 GHz, and 19.7-20.2 GHz frequency bands must complete coordination with U.S. Federal systems, in accordance with footnote US334 to the United States Table of Frequency Allocations, 47 CFR § 2.106, prior to being used.  The use of space-to-Earth operations in the 17.8-18.6 GHz, 18.8-19.3 GHz, and 19.7-20.2 GHz bands must be in accordance with any signed coordination agreement between SpaceX and U.S. Federal operators.  Two weeks prior to the start of any operations in the 17.8-18.6 GHz, 18.8-19.3 GHz, and 19.7-20.2 GHz bands, SpaceX must provide contact information for a 24/7 point of contact for the resolution of any harmful interference to Jimmy Nguyen, Email: </w:t>
      </w:r>
      <w:hyperlink r:id="rId6" w:history="1">
        <w:r w:rsidRPr="000E1177">
          <w:rPr>
            <w:rStyle w:val="Hyperlink"/>
            <w:snapToGrid/>
            <w:kern w:val="0"/>
            <w:szCs w:val="22"/>
          </w:rPr>
          <w:t>Jimmy.Nguyen@us.af.mil</w:t>
        </w:r>
      </w:hyperlink>
      <w:r w:rsidRPr="001F47B8">
        <w:rPr>
          <w:snapToGrid/>
          <w:kern w:val="0"/>
          <w:szCs w:val="22"/>
        </w:rPr>
        <w:t>.</w:t>
      </w:r>
      <w:r>
        <w:rPr>
          <w:snapToGrid/>
          <w:kern w:val="0"/>
          <w:szCs w:val="22"/>
        </w:rPr>
        <w:t xml:space="preserve"> </w:t>
      </w:r>
    </w:p>
    <w:p w:rsidR="004A1667" w:rsidRPr="004A1667" w:rsidP="00F61201" w14:paraId="35C70FD4" w14:textId="77777777">
      <w:pPr>
        <w:pStyle w:val="ParaNum"/>
        <w:widowControl/>
        <w:numPr>
          <w:ilvl w:val="0"/>
          <w:numId w:val="3"/>
        </w:numPr>
        <w:ind w:left="0" w:firstLine="720"/>
        <w:rPr>
          <w:snapToGrid/>
          <w:kern w:val="0"/>
          <w:szCs w:val="22"/>
        </w:rPr>
      </w:pPr>
      <w:r w:rsidRPr="004A1667">
        <w:rPr>
          <w:snapToGrid/>
          <w:kern w:val="0"/>
          <w:szCs w:val="22"/>
        </w:rPr>
        <w:t>Operations in the 18.8-19.3 GHz (space-to-Earth) frequency band are authorized up to the power flux-density limits in Article 21 of the ITU Radio Regulations.</w:t>
      </w:r>
    </w:p>
    <w:p w:rsidR="003E70AD" w:rsidRPr="003E70AD" w:rsidP="00F61201" w14:paraId="30B702A5" w14:textId="77777777">
      <w:pPr>
        <w:pStyle w:val="ParaNum"/>
        <w:widowControl/>
        <w:numPr>
          <w:ilvl w:val="0"/>
          <w:numId w:val="3"/>
        </w:numPr>
        <w:ind w:left="0" w:firstLine="720"/>
        <w:rPr>
          <w:snapToGrid/>
          <w:kern w:val="0"/>
          <w:szCs w:val="22"/>
        </w:rPr>
      </w:pPr>
      <w:r w:rsidRPr="003E70AD">
        <w:rPr>
          <w:snapToGrid/>
          <w:kern w:val="0"/>
          <w:szCs w:val="22"/>
        </w:rPr>
        <w:t xml:space="preserve">In the 27.5-28.6 GHz and 29.5-30 GHz (Earth-to-space) frequency bands </w:t>
      </w:r>
      <w:r w:rsidR="00EE4982">
        <w:rPr>
          <w:snapToGrid/>
          <w:kern w:val="0"/>
          <w:szCs w:val="22"/>
        </w:rPr>
        <w:t>reception</w:t>
      </w:r>
      <w:r w:rsidRPr="003E70AD">
        <w:rPr>
          <w:snapToGrid/>
          <w:kern w:val="0"/>
          <w:szCs w:val="22"/>
        </w:rPr>
        <w:t xml:space="preserve"> is permitted at levels up to the applicable equivalent power flux-density requirements of Article 22 of the ITU Radio Regulations.</w:t>
      </w:r>
      <w:r w:rsidRPr="003E70AD">
        <w:rPr>
          <w:snapToGrid/>
          <w:kern w:val="0"/>
          <w:szCs w:val="22"/>
          <w:vertAlign w:val="superscript"/>
        </w:rPr>
        <w:t xml:space="preserve"> </w:t>
      </w:r>
    </w:p>
    <w:p w:rsidR="003E70AD" w:rsidRPr="003E70AD" w:rsidP="00F61201" w14:paraId="77ED4A7B" w14:textId="77777777">
      <w:pPr>
        <w:pStyle w:val="ParaNum"/>
        <w:widowControl/>
        <w:numPr>
          <w:ilvl w:val="0"/>
          <w:numId w:val="3"/>
        </w:numPr>
        <w:ind w:left="0" w:firstLine="720"/>
        <w:rPr>
          <w:snapToGrid/>
          <w:kern w:val="0"/>
          <w:szCs w:val="22"/>
        </w:rPr>
      </w:pPr>
      <w:r>
        <w:rPr>
          <w:snapToGrid/>
          <w:kern w:val="0"/>
          <w:szCs w:val="22"/>
        </w:rPr>
        <w:t>Operations</w:t>
      </w:r>
      <w:r w:rsidRPr="003E70AD">
        <w:rPr>
          <w:snapToGrid/>
          <w:kern w:val="0"/>
          <w:szCs w:val="22"/>
        </w:rPr>
        <w:t xml:space="preserve"> in the 27.5-28.35 GHz (Earth-to-space) frequency band are secondary with respect to Upper Microwave Flexible Use Service (UMFUS) operations, except for FSS operations associated with earth stations authorized pursuant to 47 CFR § 25.136 and will comply with any determinations set forth in the Spectrum Frontiers proceeding</w:t>
      </w:r>
      <w:r w:rsidR="00504AC1">
        <w:rPr>
          <w:snapToGrid/>
          <w:kern w:val="0"/>
          <w:szCs w:val="22"/>
        </w:rPr>
        <w:t>.</w:t>
      </w:r>
    </w:p>
    <w:p w:rsidR="003E70AD" w:rsidP="00F61201" w14:paraId="654F4904" w14:textId="77777777">
      <w:pPr>
        <w:pStyle w:val="ParaNum"/>
        <w:widowControl/>
        <w:numPr>
          <w:ilvl w:val="0"/>
          <w:numId w:val="3"/>
        </w:numPr>
        <w:ind w:left="0" w:firstLine="720"/>
        <w:rPr>
          <w:b/>
          <w:snapToGrid/>
          <w:kern w:val="0"/>
          <w:szCs w:val="22"/>
        </w:rPr>
      </w:pPr>
      <w:r>
        <w:rPr>
          <w:snapToGrid/>
          <w:kern w:val="0"/>
          <w:szCs w:val="22"/>
        </w:rPr>
        <w:t>Operations</w:t>
      </w:r>
      <w:r w:rsidRPr="003E70AD">
        <w:rPr>
          <w:snapToGrid/>
          <w:kern w:val="0"/>
          <w:szCs w:val="22"/>
        </w:rPr>
        <w:t xml:space="preserve"> in the 28.35-28.6 GHz and 29.5-30 GHz (Earth-to-space) frequency bands are on a secondary basis with respect to GSO FSS operations.</w:t>
      </w:r>
    </w:p>
    <w:p w:rsidR="00543605" w:rsidRPr="00775FC5" w:rsidP="00F61201" w14:paraId="2DB113DE" w14:textId="77777777">
      <w:pPr>
        <w:pStyle w:val="ParaNum"/>
        <w:widowControl/>
        <w:numPr>
          <w:ilvl w:val="0"/>
          <w:numId w:val="3"/>
        </w:numPr>
        <w:ind w:left="0" w:firstLine="720"/>
        <w:rPr>
          <w:b/>
          <w:snapToGrid/>
          <w:kern w:val="0"/>
          <w:szCs w:val="22"/>
        </w:rPr>
      </w:pPr>
      <w:r w:rsidRPr="00775FC5">
        <w:rPr>
          <w:snapToGrid/>
          <w:kern w:val="0"/>
          <w:szCs w:val="22"/>
        </w:rPr>
        <w:t>U</w:t>
      </w:r>
      <w:r w:rsidRPr="00775FC5" w:rsidR="00402558">
        <w:rPr>
          <w:snapToGrid/>
          <w:kern w:val="0"/>
          <w:szCs w:val="22"/>
        </w:rPr>
        <w:t>nder 47 CFR § 25.146(a)</w:t>
      </w:r>
      <w:r w:rsidRPr="00775FC5">
        <w:rPr>
          <w:snapToGrid/>
          <w:kern w:val="0"/>
          <w:szCs w:val="22"/>
        </w:rPr>
        <w:t xml:space="preserve">, </w:t>
      </w:r>
      <w:r w:rsidRPr="00775FC5">
        <w:rPr>
          <w:snapToGrid/>
          <w:kern w:val="0"/>
          <w:szCs w:val="22"/>
        </w:rPr>
        <w:t xml:space="preserve">SpaceX must receive a favorable or “qualified favorable” finding in accordance with Resolution 85 </w:t>
      </w:r>
      <w:r w:rsidRPr="00775FC5" w:rsidR="00603F6F">
        <w:rPr>
          <w:snapToGrid/>
          <w:kern w:val="0"/>
          <w:szCs w:val="22"/>
        </w:rPr>
        <w:t xml:space="preserve">(WRC-03) </w:t>
      </w:r>
      <w:r w:rsidRPr="00775FC5">
        <w:rPr>
          <w:snapToGrid/>
          <w:kern w:val="0"/>
          <w:szCs w:val="22"/>
        </w:rPr>
        <w:t xml:space="preserve">with respect to its compliance with applicable </w:t>
      </w:r>
      <w:r w:rsidRPr="00775FC5" w:rsidR="003C6286">
        <w:rPr>
          <w:snapToGrid/>
          <w:kern w:val="0"/>
          <w:szCs w:val="22"/>
        </w:rPr>
        <w:t>equivalent power flux-density</w:t>
      </w:r>
      <w:r w:rsidRPr="00775FC5">
        <w:rPr>
          <w:snapToGrid/>
          <w:kern w:val="0"/>
          <w:szCs w:val="22"/>
        </w:rPr>
        <w:t xml:space="preserve"> limits in Article 22 of the ITU Radio Regulations</w:t>
      </w:r>
      <w:r w:rsidRPr="001F47B8" w:rsidR="001F47B8">
        <w:t xml:space="preserve"> </w:t>
      </w:r>
      <w:r w:rsidR="001F47B8">
        <w:t>and, in case of an unfavorable finding, adjust its operation to satisfy the ITU requirements</w:t>
      </w:r>
      <w:r w:rsidRPr="00775FC5">
        <w:rPr>
          <w:snapToGrid/>
          <w:kern w:val="0"/>
          <w:szCs w:val="22"/>
        </w:rPr>
        <w:t>.</w:t>
      </w:r>
      <w:r w:rsidR="00837ECF">
        <w:rPr>
          <w:snapToGrid/>
          <w:kern w:val="0"/>
          <w:szCs w:val="22"/>
        </w:rPr>
        <w:t xml:space="preserve"> </w:t>
      </w:r>
    </w:p>
    <w:p w:rsidR="00E5017A" w:rsidRPr="00E5017A" w:rsidP="00F61201" w14:paraId="68304041" w14:textId="2282B048">
      <w:pPr>
        <w:pStyle w:val="ParaNum"/>
        <w:widowControl/>
        <w:numPr>
          <w:ilvl w:val="0"/>
          <w:numId w:val="3"/>
        </w:numPr>
        <w:ind w:left="0" w:firstLine="720"/>
        <w:rPr>
          <w:b/>
          <w:snapToGrid/>
          <w:kern w:val="0"/>
          <w:szCs w:val="22"/>
        </w:rPr>
      </w:pPr>
      <w:r w:rsidRPr="002738ED">
        <w:rPr>
          <w:snapToGrid/>
          <w:kern w:val="0"/>
          <w:szCs w:val="22"/>
        </w:rPr>
        <w:t xml:space="preserve">SpaceX must cooperate with other NGSO FSS operators </w:t>
      </w:r>
      <w:r w:rsidRPr="00543605">
        <w:rPr>
          <w:snapToGrid/>
          <w:kern w:val="0"/>
          <w:szCs w:val="22"/>
        </w:rPr>
        <w:t xml:space="preserve">in order to ensure that all authorized operations jointly comport with the applicable limits for aggregate </w:t>
      </w:r>
      <w:r w:rsidRPr="003C6286" w:rsidR="003C6286">
        <w:rPr>
          <w:snapToGrid/>
          <w:kern w:val="0"/>
          <w:szCs w:val="22"/>
        </w:rPr>
        <w:t>equivalent power flux-density</w:t>
      </w:r>
      <w:r w:rsidRPr="00543605">
        <w:rPr>
          <w:snapToGrid/>
          <w:kern w:val="0"/>
          <w:szCs w:val="22"/>
        </w:rPr>
        <w:t xml:space="preserve"> in the space-to-Earth direction</w:t>
      </w:r>
      <w:bookmarkStart w:id="17" w:name="_Hlk496269576"/>
      <w:r w:rsidRPr="00543605">
        <w:rPr>
          <w:snapToGrid/>
          <w:kern w:val="0"/>
          <w:szCs w:val="22"/>
        </w:rPr>
        <w:t xml:space="preserve"> </w:t>
      </w:r>
      <w:bookmarkEnd w:id="17"/>
      <w:r w:rsidRPr="00543605">
        <w:rPr>
          <w:snapToGrid/>
          <w:kern w:val="0"/>
          <w:szCs w:val="22"/>
        </w:rPr>
        <w:t xml:space="preserve">contained </w:t>
      </w:r>
      <w:r w:rsidRPr="00543605">
        <w:rPr>
          <w:szCs w:val="22"/>
        </w:rPr>
        <w:t xml:space="preserve">in </w:t>
      </w:r>
      <w:r w:rsidRPr="009269B3" w:rsidR="009269B3">
        <w:rPr>
          <w:szCs w:val="22"/>
        </w:rPr>
        <w:t xml:space="preserve">Article 22 of the ITU Radio Regulations, as well as Resolution 76 </w:t>
      </w:r>
      <w:r w:rsidRPr="00A6596F" w:rsidR="00A6596F">
        <w:rPr>
          <w:szCs w:val="22"/>
        </w:rPr>
        <w:t xml:space="preserve">(WRC-03) </w:t>
      </w:r>
      <w:r w:rsidRPr="009269B3" w:rsidR="009269B3">
        <w:rPr>
          <w:szCs w:val="22"/>
        </w:rPr>
        <w:t>of the ITU Radio Regulations</w:t>
      </w:r>
      <w:r>
        <w:rPr>
          <w:szCs w:val="22"/>
        </w:rPr>
        <w:t xml:space="preserve">. </w:t>
      </w:r>
    </w:p>
    <w:p w:rsidR="00E5017A" w:rsidRPr="00800069" w:rsidP="00F61201" w14:paraId="2CD2DB30" w14:textId="5F32FBCE">
      <w:pPr>
        <w:pStyle w:val="ParaNum"/>
        <w:widowControl/>
        <w:numPr>
          <w:ilvl w:val="0"/>
          <w:numId w:val="3"/>
        </w:numPr>
        <w:ind w:left="0" w:firstLine="720"/>
        <w:rPr>
          <w:snapToGrid/>
          <w:kern w:val="0"/>
          <w:szCs w:val="22"/>
        </w:rPr>
      </w:pPr>
      <w:r w:rsidRPr="00800069">
        <w:rPr>
          <w:snapToGrid/>
          <w:kern w:val="0"/>
          <w:szCs w:val="22"/>
        </w:rPr>
        <w:t>SpaceX must make available to any requesting party the data used as input to the ITU-approved validation software to demonstrate compliance with applicable Equivalent Power Flux Density (EPFD) limits.</w:t>
      </w:r>
    </w:p>
    <w:p w:rsidR="00356BA2" w:rsidRPr="0067701B" w:rsidP="00F61201" w14:paraId="19441687" w14:textId="77777777">
      <w:pPr>
        <w:pStyle w:val="ParaNum"/>
        <w:widowControl/>
        <w:numPr>
          <w:ilvl w:val="0"/>
          <w:numId w:val="3"/>
        </w:numPr>
        <w:ind w:left="0" w:firstLine="720"/>
        <w:rPr>
          <w:snapToGrid/>
          <w:kern w:val="0"/>
          <w:szCs w:val="22"/>
        </w:rPr>
      </w:pPr>
      <w:r w:rsidRPr="00AB4CCC">
        <w:rPr>
          <w:snapToGrid/>
          <w:kern w:val="0"/>
          <w:szCs w:val="22"/>
        </w:rPr>
        <w:t xml:space="preserve">Upon finalization of its space station design and prior </w:t>
      </w:r>
      <w:r w:rsidRPr="00AB4CCC" w:rsidR="00196009">
        <w:rPr>
          <w:snapToGrid/>
          <w:kern w:val="0"/>
          <w:szCs w:val="22"/>
        </w:rPr>
        <w:t>to initiation of service, SpaceX</w:t>
      </w:r>
      <w:r w:rsidRPr="00AB4CCC">
        <w:rPr>
          <w:snapToGrid/>
          <w:kern w:val="0"/>
          <w:szCs w:val="22"/>
        </w:rPr>
        <w:t xml:space="preserve"> must seek and obtain the Commission</w:t>
      </w:r>
      <w:r w:rsidRPr="00AB4CCC" w:rsidR="00196009">
        <w:rPr>
          <w:snapToGrid/>
          <w:kern w:val="0"/>
          <w:szCs w:val="22"/>
        </w:rPr>
        <w:t>’s approval of a modification containing</w:t>
      </w:r>
      <w:r w:rsidRPr="00AB4CCC" w:rsidR="00196009">
        <w:t xml:space="preserve"> an </w:t>
      </w:r>
      <w:r w:rsidRPr="00AB4CCC" w:rsidR="00196009">
        <w:rPr>
          <w:snapToGrid/>
          <w:kern w:val="0"/>
          <w:szCs w:val="22"/>
        </w:rPr>
        <w:t>updated description of the orbital debris mitigation plans for its system</w:t>
      </w:r>
      <w:r w:rsidRPr="00AB4CCC" w:rsidR="00CB25E9">
        <w:rPr>
          <w:snapToGrid/>
          <w:kern w:val="0"/>
          <w:szCs w:val="22"/>
        </w:rPr>
        <w:t xml:space="preserve"> for any </w:t>
      </w:r>
      <w:r w:rsidRPr="00AB4CCC" w:rsidR="00CB25E9">
        <w:t>satellites other than those that will be operated at an altitude of 550 km as proposed in this modification</w:t>
      </w:r>
      <w:r w:rsidRPr="0067701B">
        <w:rPr>
          <w:snapToGrid/>
          <w:kern w:val="0"/>
          <w:szCs w:val="22"/>
        </w:rPr>
        <w:t>.</w:t>
      </w:r>
    </w:p>
    <w:p w:rsidR="00543605" w:rsidRPr="0027327C" w:rsidP="00F61201" w14:paraId="6420F7C2" w14:textId="77777777">
      <w:pPr>
        <w:pStyle w:val="ParaNum"/>
        <w:widowControl/>
        <w:numPr>
          <w:ilvl w:val="0"/>
          <w:numId w:val="3"/>
        </w:numPr>
        <w:ind w:left="0" w:firstLine="720"/>
        <w:rPr>
          <w:snapToGrid/>
          <w:kern w:val="0"/>
          <w:szCs w:val="22"/>
        </w:rPr>
      </w:pPr>
      <w:r w:rsidRPr="002738ED">
        <w:rPr>
          <w:snapToGrid/>
          <w:kern w:val="0"/>
          <w:szCs w:val="22"/>
        </w:rPr>
        <w:t xml:space="preserve">This </w:t>
      </w:r>
      <w:r w:rsidRPr="0027327C">
        <w:rPr>
          <w:snapToGrid/>
          <w:kern w:val="0"/>
          <w:szCs w:val="22"/>
        </w:rPr>
        <w:t xml:space="preserve">authorization is subject to modification to bring </w:t>
      </w:r>
      <w:r w:rsidR="00356BA2">
        <w:rPr>
          <w:snapToGrid/>
          <w:kern w:val="0"/>
          <w:szCs w:val="22"/>
        </w:rPr>
        <w:t>it</w:t>
      </w:r>
      <w:r w:rsidRPr="0027327C" w:rsidR="00356BA2">
        <w:rPr>
          <w:snapToGrid/>
          <w:kern w:val="0"/>
          <w:szCs w:val="22"/>
        </w:rPr>
        <w:t xml:space="preserve"> </w:t>
      </w:r>
      <w:r w:rsidRPr="0027327C">
        <w:rPr>
          <w:snapToGrid/>
          <w:kern w:val="0"/>
          <w:szCs w:val="22"/>
        </w:rPr>
        <w:t>into conformance with any rules or policies adopted by the Commission in the future.</w:t>
      </w:r>
    </w:p>
    <w:p w:rsidR="008B187A" w:rsidP="00712EEC" w14:paraId="5FCDA896" w14:textId="34A062EB">
      <w:pPr>
        <w:pStyle w:val="ParaNum"/>
        <w:widowControl/>
      </w:pPr>
      <w:r>
        <w:t xml:space="preserve">IT IS FURTHER ORDERED that SpaceX </w:t>
      </w:r>
      <w:r w:rsidR="004E7FAC">
        <w:t>is</w:t>
      </w:r>
      <w:r>
        <w:t xml:space="preserve"> subject to the rules regarding </w:t>
      </w:r>
      <w:r w:rsidR="00AD4E77">
        <w:t xml:space="preserve">the </w:t>
      </w:r>
      <w:r>
        <w:t xml:space="preserve">sharing of ephemeris data in </w:t>
      </w:r>
      <w:r w:rsidR="00884975">
        <w:t>s</w:t>
      </w:r>
      <w:r>
        <w:t xml:space="preserve">ection </w:t>
      </w:r>
      <w:r w:rsidRPr="00A94A4B" w:rsidR="00A94A4B">
        <w:t>25.146</w:t>
      </w:r>
      <w:r w:rsidR="00A94A4B">
        <w:t>(e)</w:t>
      </w:r>
      <w:r w:rsidRPr="00A94A4B" w:rsidR="00A94A4B">
        <w:t xml:space="preserve"> of the Commission’s rules, 47 CFR § 25.146(e)</w:t>
      </w:r>
      <w:r w:rsidR="00726D35">
        <w:t>.</w:t>
      </w:r>
    </w:p>
    <w:p w:rsidR="00712EEC" w:rsidP="00712EEC" w14:paraId="65516AC0" w14:textId="77777777">
      <w:pPr>
        <w:pStyle w:val="ParaNum"/>
      </w:pPr>
      <w:bookmarkStart w:id="18" w:name="_Hlk27573769"/>
      <w:r>
        <w:t xml:space="preserve">IT IS FURTHER ORDERED that this authorization is also subject to the following requirements: </w:t>
      </w:r>
    </w:p>
    <w:p w:rsidR="00712EEC" w:rsidP="00A37932" w14:paraId="7F794148" w14:textId="0AE1C32C">
      <w:pPr>
        <w:pStyle w:val="ParaNum"/>
        <w:widowControl/>
        <w:numPr>
          <w:ilvl w:val="0"/>
          <w:numId w:val="0"/>
        </w:numPr>
        <w:ind w:left="720"/>
      </w:pPr>
      <w:r>
        <w:t>a.</w:t>
      </w:r>
      <w:r w:rsidR="00A37932">
        <w:tab/>
      </w:r>
      <w:r>
        <w:t xml:space="preserve">SpaceX must post a surety bond in satisfaction of 47 CFR §§ 25.165(a)(1) &amp; (b) no later than </w:t>
      </w:r>
      <w:r>
        <w:rPr>
          <w:b/>
          <w:bCs/>
        </w:rPr>
        <w:t>April 30, 2018</w:t>
      </w:r>
      <w:r>
        <w:t>,</w:t>
      </w:r>
      <w:r>
        <w:rPr>
          <w:rStyle w:val="FootnoteReference"/>
        </w:rPr>
        <w:footnoteReference w:id="52"/>
      </w:r>
      <w:r>
        <w:t xml:space="preserve"> and thereafter maintain on file a surety bond requiring payment in the event of a default in an amount, at minimum, determined according to the formula set forth in 47 CFR § 25.165(a)(1); and</w:t>
      </w:r>
    </w:p>
    <w:bookmarkEnd w:id="18"/>
    <w:p w:rsidR="00712EEC" w:rsidP="00A37932" w14:paraId="016AFCF5" w14:textId="120928C2">
      <w:pPr>
        <w:pStyle w:val="ParaNum"/>
        <w:widowControl/>
        <w:numPr>
          <w:ilvl w:val="0"/>
          <w:numId w:val="0"/>
        </w:numPr>
        <w:ind w:left="720"/>
        <w:rPr>
          <w:sz w:val="13"/>
          <w:szCs w:val="13"/>
        </w:rPr>
      </w:pPr>
      <w:r>
        <w:t>b.</w:t>
      </w:r>
      <w:r w:rsidR="00A37932">
        <w:tab/>
      </w:r>
      <w:r>
        <w:t xml:space="preserve">SpaceX must launch 50 percent of the maximum number of proposed space stations, place them in the assigned orbits, and operate them in accordance with the station authorization no later than </w:t>
      </w:r>
      <w:r>
        <w:rPr>
          <w:b/>
          <w:bCs/>
        </w:rPr>
        <w:t>March 29, 2024</w:t>
      </w:r>
      <w:r>
        <w:t xml:space="preserve">, and SpaceX must launch the remaining space stations necessary to complete its authorized service constellation, place them in their assigned orbits, and operate each </w:t>
      </w:r>
      <w:r>
        <w:rPr>
          <w:szCs w:val="22"/>
        </w:rPr>
        <w:t xml:space="preserve">of them in accordance with the authorization no later than </w:t>
      </w:r>
      <w:r>
        <w:rPr>
          <w:b/>
          <w:bCs/>
          <w:szCs w:val="22"/>
        </w:rPr>
        <w:t>March 29, 2027</w:t>
      </w:r>
      <w:r>
        <w:rPr>
          <w:szCs w:val="22"/>
        </w:rPr>
        <w:t>. 47 CFR § 25.164(b).</w:t>
      </w:r>
      <w:r>
        <w:rPr>
          <w:rStyle w:val="FootnoteReference"/>
          <w:szCs w:val="22"/>
        </w:rPr>
        <w:footnoteReference w:id="53"/>
      </w:r>
    </w:p>
    <w:p w:rsidR="00CD6286" w:rsidRPr="00712EEC" w:rsidP="00A37932" w14:paraId="07FFAD76" w14:textId="690B08F9">
      <w:pPr>
        <w:pStyle w:val="ParaNum"/>
        <w:rPr>
          <w:szCs w:val="22"/>
        </w:rPr>
      </w:pPr>
      <w:r>
        <w:rPr>
          <w:szCs w:val="22"/>
        </w:rPr>
        <w:t xml:space="preserve">Failure to post and maintain a surety bond will render this grant null and void automatically, without further Commission action. Failure to meet the milestone requirements of 47 CFR § 25.164(b) may result in SpaceX’s authorization being reduced to the number of satellites in use on the milestone date. Failure to comply with the milestone requirement of 47 CFR § 25.164(b) will also result in forfeiture of SpaceX’s surety bond. </w:t>
      </w:r>
      <w:r w:rsidR="00E31FD9">
        <w:rPr>
          <w:szCs w:val="22"/>
        </w:rPr>
        <w:t xml:space="preserve"> </w:t>
      </w:r>
      <w:r>
        <w:rPr>
          <w:szCs w:val="22"/>
        </w:rPr>
        <w:t xml:space="preserve">By </w:t>
      </w:r>
      <w:r>
        <w:rPr>
          <w:b/>
          <w:bCs/>
          <w:szCs w:val="22"/>
        </w:rPr>
        <w:t>April 15, 2024</w:t>
      </w:r>
      <w:r>
        <w:rPr>
          <w:szCs w:val="22"/>
        </w:rPr>
        <w:t xml:space="preserve">, SpaceX must either demonstrate compliance with its milestone requirement or notify the Commission in writing that the requirement was not met. 47 CFR § 25.164(f). </w:t>
      </w:r>
    </w:p>
    <w:p w:rsidR="003E70AD" w:rsidRPr="003E70AD" w:rsidP="007C5D5D" w14:paraId="1FEFC09D" w14:textId="64998E94">
      <w:pPr>
        <w:pStyle w:val="ParaNum"/>
        <w:widowControl/>
      </w:pPr>
      <w:r>
        <w:rPr>
          <w:snapToGrid/>
          <w:kern w:val="0"/>
          <w:szCs w:val="22"/>
        </w:rPr>
        <w:t>IT IS FURTHER ORDERED that o</w:t>
      </w:r>
      <w:r w:rsidRPr="003E70AD">
        <w:rPr>
          <w:snapToGrid/>
          <w:kern w:val="0"/>
          <w:szCs w:val="22"/>
        </w:rPr>
        <w:t>perations must comply with spectrum sharing procedures among NGSO FSS space stations specified in 47 CFR § 25.261</w:t>
      </w:r>
      <w:r w:rsidR="00AD4E77">
        <w:rPr>
          <w:snapToGrid/>
          <w:kern w:val="0"/>
          <w:szCs w:val="22"/>
        </w:rPr>
        <w:t xml:space="preserve"> </w:t>
      </w:r>
      <w:r w:rsidRPr="003E70AD">
        <w:rPr>
          <w:snapToGrid/>
          <w:kern w:val="0"/>
          <w:szCs w:val="22"/>
        </w:rPr>
        <w:t>with respect to any NGSO system licensed or granted U.S. market access pursuant to the processing rounds initiated in Public Notice, DA 16-804 and Public Notice, DA 17-524</w:t>
      </w:r>
      <w:r w:rsidR="00B3169A">
        <w:rPr>
          <w:snapToGrid/>
          <w:kern w:val="0"/>
          <w:szCs w:val="22"/>
        </w:rPr>
        <w:t>.</w:t>
      </w:r>
      <w:r w:rsidR="00AB6AB4">
        <w:rPr>
          <w:snapToGrid/>
          <w:kern w:val="0"/>
          <w:szCs w:val="22"/>
        </w:rPr>
        <w:t xml:space="preserve"> </w:t>
      </w:r>
      <w:r w:rsidRPr="00AB6AB4" w:rsidR="00AB6AB4">
        <w:rPr>
          <w:snapToGrid/>
          <w:kern w:val="0"/>
          <w:szCs w:val="22"/>
        </w:rPr>
        <w:t xml:space="preserve"> </w:t>
      </w:r>
      <w:r w:rsidR="00D4030B">
        <w:rPr>
          <w:snapToGrid/>
          <w:kern w:val="0"/>
          <w:szCs w:val="22"/>
        </w:rPr>
        <w:t>Spectrum sharing</w:t>
      </w:r>
      <w:r w:rsidRPr="00D4030B" w:rsidR="00D4030B">
        <w:rPr>
          <w:snapToGrid/>
          <w:kern w:val="0"/>
          <w:szCs w:val="22"/>
        </w:rPr>
        <w:t xml:space="preserve"> between SpaceX’s operations and operations </w:t>
      </w:r>
      <w:r w:rsidR="00855426">
        <w:rPr>
          <w:snapToGrid/>
          <w:kern w:val="0"/>
          <w:szCs w:val="22"/>
        </w:rPr>
        <w:t xml:space="preserve">of </w:t>
      </w:r>
      <w:r w:rsidRPr="00505E74" w:rsidR="00505E74">
        <w:rPr>
          <w:snapToGrid/>
          <w:kern w:val="0"/>
          <w:szCs w:val="22"/>
        </w:rPr>
        <w:t>NGSO system</w:t>
      </w:r>
      <w:r w:rsidR="00855426">
        <w:rPr>
          <w:snapToGrid/>
          <w:kern w:val="0"/>
          <w:szCs w:val="22"/>
        </w:rPr>
        <w:t>s</w:t>
      </w:r>
      <w:r w:rsidRPr="00505E74" w:rsidR="00505E74">
        <w:rPr>
          <w:snapToGrid/>
          <w:kern w:val="0"/>
          <w:szCs w:val="22"/>
        </w:rPr>
        <w:t xml:space="preserve"> granted U.S. market access</w:t>
      </w:r>
      <w:r w:rsidR="0045033D">
        <w:rPr>
          <w:snapToGrid/>
          <w:kern w:val="0"/>
          <w:szCs w:val="22"/>
        </w:rPr>
        <w:t>,</w:t>
      </w:r>
      <w:r w:rsidRPr="00505E74" w:rsidR="00505E74">
        <w:rPr>
          <w:snapToGrid/>
          <w:kern w:val="0"/>
          <w:szCs w:val="22"/>
        </w:rPr>
        <w:t xml:space="preserve"> </w:t>
      </w:r>
      <w:r w:rsidR="0045033D">
        <w:rPr>
          <w:snapToGrid/>
          <w:kern w:val="0"/>
          <w:szCs w:val="22"/>
        </w:rPr>
        <w:t>where such operations</w:t>
      </w:r>
      <w:r w:rsidR="00AB6AB4">
        <w:rPr>
          <w:snapToGrid/>
          <w:kern w:val="0"/>
          <w:szCs w:val="22"/>
        </w:rPr>
        <w:t xml:space="preserve"> </w:t>
      </w:r>
      <w:r w:rsidR="0045033D">
        <w:rPr>
          <w:snapToGrid/>
          <w:kern w:val="0"/>
          <w:szCs w:val="22"/>
        </w:rPr>
        <w:t>do</w:t>
      </w:r>
      <w:r w:rsidR="00AB6AB4">
        <w:rPr>
          <w:snapToGrid/>
          <w:kern w:val="0"/>
          <w:szCs w:val="22"/>
        </w:rPr>
        <w:t xml:space="preserve"> not include </w:t>
      </w:r>
      <w:r w:rsidRPr="00AB6AB4" w:rsidR="00AB6AB4">
        <w:rPr>
          <w:snapToGrid/>
          <w:kern w:val="0"/>
          <w:szCs w:val="22"/>
        </w:rPr>
        <w:t>communications to or from the U.S. territory</w:t>
      </w:r>
      <w:r w:rsidR="0045033D">
        <w:rPr>
          <w:snapToGrid/>
          <w:kern w:val="0"/>
          <w:szCs w:val="22"/>
        </w:rPr>
        <w:t>,</w:t>
      </w:r>
      <w:r w:rsidRPr="00AB6AB4" w:rsidR="00AB6AB4">
        <w:rPr>
          <w:snapToGrid/>
          <w:kern w:val="0"/>
          <w:szCs w:val="22"/>
        </w:rPr>
        <w:t xml:space="preserve"> </w:t>
      </w:r>
      <w:r w:rsidRPr="00D4030B" w:rsidR="00D4030B">
        <w:rPr>
          <w:snapToGrid/>
          <w:kern w:val="0"/>
          <w:szCs w:val="22"/>
        </w:rPr>
        <w:t xml:space="preserve">are governed only by the ITU Radio Regulations and are not subject </w:t>
      </w:r>
      <w:r w:rsidR="00505E74">
        <w:rPr>
          <w:snapToGrid/>
          <w:kern w:val="0"/>
          <w:szCs w:val="22"/>
        </w:rPr>
        <w:t xml:space="preserve">to </w:t>
      </w:r>
      <w:r w:rsidR="00884975">
        <w:rPr>
          <w:snapToGrid/>
          <w:kern w:val="0"/>
          <w:szCs w:val="22"/>
        </w:rPr>
        <w:t>s</w:t>
      </w:r>
      <w:r w:rsidRPr="00D4030B" w:rsidR="00D4030B">
        <w:rPr>
          <w:snapToGrid/>
          <w:kern w:val="0"/>
          <w:szCs w:val="22"/>
        </w:rPr>
        <w:t>ection 25.261</w:t>
      </w:r>
      <w:r w:rsidR="00B3169A">
        <w:rPr>
          <w:snapToGrid/>
          <w:kern w:val="0"/>
          <w:szCs w:val="22"/>
        </w:rPr>
        <w:t>.</w:t>
      </w:r>
    </w:p>
    <w:p w:rsidR="00CB25E9" w:rsidP="00A37932" w14:paraId="4AE89230" w14:textId="77777777">
      <w:pPr>
        <w:pStyle w:val="ParaNum"/>
        <w:widowControl/>
        <w:rPr>
          <w:snapToGrid/>
          <w:kern w:val="0"/>
          <w:szCs w:val="22"/>
        </w:rPr>
      </w:pPr>
      <w:r w:rsidRPr="00F95D3D">
        <w:rPr>
          <w:snapToGrid/>
          <w:kern w:val="0"/>
          <w:szCs w:val="22"/>
        </w:rPr>
        <w:t>IT IS FURTHER ORDERED that the</w:t>
      </w:r>
      <w:r w:rsidRPr="00005CA7" w:rsidR="003C0F0D">
        <w:rPr>
          <w:snapToGrid/>
          <w:kern w:val="0"/>
          <w:szCs w:val="22"/>
        </w:rPr>
        <w:t xml:space="preserve"> request for waiver of </w:t>
      </w:r>
      <w:r w:rsidRPr="000B120F" w:rsidR="000B120F">
        <w:rPr>
          <w:snapToGrid/>
          <w:kern w:val="0"/>
          <w:szCs w:val="22"/>
        </w:rPr>
        <w:t>the requirement to complete certain aspects or fields of Schedule S</w:t>
      </w:r>
      <w:r w:rsidRPr="00005CA7" w:rsidR="003C0F0D">
        <w:rPr>
          <w:snapToGrid/>
          <w:kern w:val="0"/>
          <w:szCs w:val="22"/>
        </w:rPr>
        <w:t xml:space="preserve"> </w:t>
      </w:r>
      <w:r w:rsidR="00230190">
        <w:rPr>
          <w:snapToGrid/>
          <w:kern w:val="0"/>
          <w:szCs w:val="22"/>
        </w:rPr>
        <w:t>IS</w:t>
      </w:r>
      <w:r w:rsidRPr="00005CA7" w:rsidR="003C0F0D">
        <w:rPr>
          <w:snapToGrid/>
          <w:kern w:val="0"/>
          <w:szCs w:val="22"/>
        </w:rPr>
        <w:t xml:space="preserve"> GRANTED</w:t>
      </w:r>
      <w:r w:rsidR="002A5E55">
        <w:rPr>
          <w:snapToGrid/>
          <w:kern w:val="0"/>
          <w:szCs w:val="22"/>
        </w:rPr>
        <w:t xml:space="preserve"> for the reasons set forth herein</w:t>
      </w:r>
      <w:r w:rsidR="00005CA7">
        <w:rPr>
          <w:snapToGrid/>
          <w:kern w:val="0"/>
          <w:szCs w:val="22"/>
        </w:rPr>
        <w:t>.</w:t>
      </w:r>
    </w:p>
    <w:p w:rsidR="00CB25E9" w:rsidRPr="00775FC5" w:rsidP="00A37932" w14:paraId="573D107B" w14:textId="0B77A186">
      <w:pPr>
        <w:pStyle w:val="ParaNum"/>
        <w:widowControl/>
        <w:rPr>
          <w:snapToGrid/>
          <w:kern w:val="0"/>
          <w:szCs w:val="22"/>
        </w:rPr>
      </w:pPr>
      <w:r>
        <w:t>IT IS FURTHER ORDERED that</w:t>
      </w:r>
      <w:r w:rsidR="00250115">
        <w:t xml:space="preserve"> Kepler’s</w:t>
      </w:r>
      <w:r>
        <w:t xml:space="preserve"> Petition to </w:t>
      </w:r>
      <w:r w:rsidR="00D05F08">
        <w:t xml:space="preserve">Defer </w:t>
      </w:r>
      <w:r w:rsidR="00895E2A">
        <w:t xml:space="preserve">or </w:t>
      </w:r>
      <w:r w:rsidRPr="00895E2A" w:rsidR="00895E2A">
        <w:t>Deny</w:t>
      </w:r>
      <w:r w:rsidR="00895E2A">
        <w:t xml:space="preserve"> </w:t>
      </w:r>
      <w:r w:rsidR="00250115">
        <w:t xml:space="preserve">SpaceX’s Second Modification Application </w:t>
      </w:r>
      <w:r w:rsidR="00895E2A">
        <w:t xml:space="preserve">IS </w:t>
      </w:r>
      <w:r>
        <w:t>DENIED.</w:t>
      </w:r>
    </w:p>
    <w:p w:rsidR="002A5E55" w:rsidP="00A37932" w14:paraId="5CAE1EBE" w14:textId="333FD4FB">
      <w:pPr>
        <w:pStyle w:val="ParaNum"/>
        <w:widowControl/>
        <w:rPr>
          <w:snapToGrid/>
          <w:kern w:val="0"/>
          <w:szCs w:val="22"/>
        </w:rPr>
      </w:pPr>
      <w:r w:rsidRPr="00F17352">
        <w:rPr>
          <w:snapToGrid/>
          <w:kern w:val="0"/>
          <w:szCs w:val="22"/>
        </w:rPr>
        <w:t xml:space="preserve">IT IS FURTHER ORDERED that the Petition to </w:t>
      </w:r>
      <w:r>
        <w:rPr>
          <w:snapToGrid/>
          <w:kern w:val="0"/>
          <w:szCs w:val="22"/>
        </w:rPr>
        <w:t>Defer</w:t>
      </w:r>
      <w:r w:rsidRPr="00F17352">
        <w:rPr>
          <w:snapToGrid/>
          <w:kern w:val="0"/>
          <w:szCs w:val="22"/>
        </w:rPr>
        <w:t xml:space="preserve"> of </w:t>
      </w:r>
      <w:r w:rsidR="00CC7627">
        <w:rPr>
          <w:snapToGrid/>
          <w:kern w:val="0"/>
          <w:szCs w:val="22"/>
        </w:rPr>
        <w:t>SES Americom and O3b Limited</w:t>
      </w:r>
      <w:r w:rsidRPr="00A5680F" w:rsidR="00CC7627">
        <w:rPr>
          <w:snapToGrid/>
          <w:kern w:val="0"/>
          <w:szCs w:val="22"/>
        </w:rPr>
        <w:t xml:space="preserve"> </w:t>
      </w:r>
      <w:r w:rsidR="006D2828">
        <w:rPr>
          <w:snapToGrid/>
          <w:kern w:val="0"/>
          <w:szCs w:val="22"/>
        </w:rPr>
        <w:t>IS</w:t>
      </w:r>
      <w:r w:rsidRPr="00F17352" w:rsidR="006D2828">
        <w:rPr>
          <w:snapToGrid/>
          <w:kern w:val="0"/>
          <w:szCs w:val="22"/>
        </w:rPr>
        <w:t xml:space="preserve"> </w:t>
      </w:r>
      <w:r w:rsidRPr="00F17352">
        <w:rPr>
          <w:snapToGrid/>
          <w:kern w:val="0"/>
          <w:szCs w:val="22"/>
        </w:rPr>
        <w:t>DENIED.</w:t>
      </w:r>
    </w:p>
    <w:p w:rsidR="00030F0A" w:rsidRPr="00A37932" w:rsidP="00A37932" w14:paraId="32DA703C" w14:textId="5F58073E">
      <w:pPr>
        <w:pStyle w:val="ParaNum"/>
        <w:widowControl/>
      </w:pPr>
      <w:r w:rsidRPr="00A37932">
        <w:t xml:space="preserve">IT IS FURTHER ORDERED that </w:t>
      </w:r>
      <w:r w:rsidRPr="00A37932" w:rsidR="00417C3A">
        <w:t xml:space="preserve">grant of </w:t>
      </w:r>
      <w:r w:rsidRPr="00A37932" w:rsidR="004E25D2">
        <w:t xml:space="preserve">this </w:t>
      </w:r>
      <w:r w:rsidRPr="00A37932" w:rsidR="00417C3A">
        <w:t xml:space="preserve">Second Modification Application </w:t>
      </w:r>
      <w:r w:rsidRPr="00A37932">
        <w:t xml:space="preserve">is without prejudice to any action we take on the </w:t>
      </w:r>
      <w:r w:rsidRPr="00A37932" w:rsidR="004E25D2">
        <w:t xml:space="preserve">pending </w:t>
      </w:r>
      <w:r w:rsidRPr="00A37932">
        <w:t xml:space="preserve">petitions for reconsideration of the </w:t>
      </w:r>
      <w:r w:rsidRPr="009D4469" w:rsidR="00417C3A">
        <w:rPr>
          <w:i/>
        </w:rPr>
        <w:t>SpaceX First Modification Order</w:t>
      </w:r>
      <w:r w:rsidR="009D4469">
        <w:t xml:space="preserve">.  </w:t>
      </w:r>
      <w:r w:rsidR="00E31FD9">
        <w:t>34 FCC Rcd 2526 (IB 2019)</w:t>
      </w:r>
      <w:r w:rsidR="00A1135D">
        <w:t>.</w:t>
      </w:r>
    </w:p>
    <w:p w:rsidR="00F203F7" w:rsidP="0007638B" w14:paraId="1EDE339F" w14:textId="77777777">
      <w:pPr>
        <w:widowControl/>
        <w:spacing w:after="120"/>
        <w:rPr>
          <w:snapToGrid/>
          <w:kern w:val="0"/>
          <w:szCs w:val="22"/>
        </w:rPr>
      </w:pPr>
    </w:p>
    <w:p w:rsidR="008B187A" w:rsidP="008B187A" w14:paraId="4D6F1102" w14:textId="77777777">
      <w:pPr>
        <w:widowControl/>
      </w:pPr>
      <w:r>
        <w:tab/>
      </w:r>
      <w:r>
        <w:tab/>
      </w:r>
      <w:r>
        <w:tab/>
      </w:r>
      <w:r>
        <w:tab/>
      </w:r>
      <w:r>
        <w:tab/>
      </w:r>
      <w:r>
        <w:tab/>
        <w:t>FEDERAL COMMUNICATIONS COMMISSION</w:t>
      </w:r>
    </w:p>
    <w:p w:rsidR="008B187A" w:rsidP="008B187A" w14:paraId="38EC670C" w14:textId="77777777">
      <w:pPr>
        <w:widowControl/>
      </w:pPr>
    </w:p>
    <w:p w:rsidR="008B187A" w:rsidP="008B187A" w14:paraId="603A11B9" w14:textId="77777777">
      <w:pPr>
        <w:widowControl/>
      </w:pPr>
    </w:p>
    <w:p w:rsidR="008B187A" w:rsidP="008B187A" w14:paraId="2EC6C24C" w14:textId="77777777">
      <w:pPr>
        <w:widowControl/>
      </w:pPr>
    </w:p>
    <w:p w:rsidR="008B187A" w:rsidP="008B187A" w14:paraId="1A189A27" w14:textId="77777777">
      <w:pPr>
        <w:widowControl/>
      </w:pPr>
    </w:p>
    <w:p w:rsidR="008B187A" w:rsidP="008B187A" w14:paraId="3CDE9B04" w14:textId="77777777">
      <w:pPr>
        <w:widowControl/>
      </w:pPr>
      <w:r>
        <w:tab/>
      </w:r>
      <w:r>
        <w:tab/>
      </w:r>
      <w:r>
        <w:tab/>
      </w:r>
      <w:r>
        <w:tab/>
      </w:r>
      <w:r>
        <w:tab/>
      </w:r>
      <w:r>
        <w:tab/>
      </w:r>
      <w:r w:rsidR="00E05CE4">
        <w:t>Thomas Sullivan</w:t>
      </w:r>
    </w:p>
    <w:p w:rsidR="008B187A" w:rsidP="009C1BAC" w14:paraId="42EDC1EB" w14:textId="77777777">
      <w:pPr>
        <w:widowControl/>
        <w:rPr>
          <w:snapToGrid/>
          <w:kern w:val="0"/>
          <w:szCs w:val="22"/>
        </w:rPr>
      </w:pPr>
      <w:r>
        <w:tab/>
      </w:r>
      <w:r>
        <w:tab/>
      </w:r>
      <w:r>
        <w:tab/>
      </w:r>
      <w:r>
        <w:tab/>
      </w:r>
      <w:r>
        <w:tab/>
      </w:r>
      <w:r>
        <w:tab/>
      </w:r>
      <w:r w:rsidR="00E05CE4">
        <w:t>Chief, International Bureau</w:t>
      </w:r>
    </w:p>
    <w:sectPr w:rsidSect="008B187A">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BC0" w:rsidP="0055614C" w14:paraId="60D616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A85BC0" w14:paraId="1017D7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BC0" w14:paraId="7D19F04A" w14:textId="77777777">
    <w:pPr>
      <w:pStyle w:val="Footer"/>
      <w:jc w:val="center"/>
    </w:pPr>
    <w:r>
      <w:fldChar w:fldCharType="begin"/>
    </w:r>
    <w:r>
      <w:instrText xml:space="preserve"> PAGE   \* MERGEFORMAT </w:instrText>
    </w:r>
    <w: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BC0" w14:paraId="52C952F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3C10" w14:paraId="6356C8CD" w14:textId="77777777">
      <w:r>
        <w:separator/>
      </w:r>
    </w:p>
  </w:footnote>
  <w:footnote w:type="continuationSeparator" w:id="1">
    <w:p w:rsidR="00243C10" w:rsidP="00C721AC" w14:paraId="3A979E68" w14:textId="77777777">
      <w:pPr>
        <w:spacing w:before="120"/>
        <w:rPr>
          <w:sz w:val="20"/>
        </w:rPr>
      </w:pPr>
      <w:r>
        <w:rPr>
          <w:sz w:val="20"/>
        </w:rPr>
        <w:t xml:space="preserve">(Continued from previous page)  </w:t>
      </w:r>
      <w:r>
        <w:rPr>
          <w:sz w:val="20"/>
        </w:rPr>
        <w:separator/>
      </w:r>
    </w:p>
  </w:footnote>
  <w:footnote w:type="continuationNotice" w:id="2">
    <w:p w:rsidR="00243C10" w:rsidRPr="00E33725" w:rsidP="00E33725" w14:paraId="7FF482CF" w14:textId="77777777">
      <w:pPr>
        <w:pStyle w:val="Footer"/>
      </w:pPr>
    </w:p>
  </w:footnote>
  <w:footnote w:id="3">
    <w:p w:rsidR="00A012F4" w:rsidRPr="00D420BB" w:rsidP="00A012F4" w14:paraId="18A7113C" w14:textId="77777777">
      <w:pPr>
        <w:pStyle w:val="FootnoteText"/>
      </w:pPr>
      <w:r>
        <w:rPr>
          <w:rStyle w:val="FootnoteReference"/>
        </w:rPr>
        <w:footnoteRef/>
      </w:r>
      <w:r>
        <w:t xml:space="preserve"> </w:t>
      </w:r>
      <w:r w:rsidRPr="00436614">
        <w:rPr>
          <w:i/>
        </w:rPr>
        <w:t>Space Exploration Holdings, LLC,</w:t>
      </w:r>
      <w:r>
        <w:rPr>
          <w:i/>
        </w:rPr>
        <w:t xml:space="preserve"> </w:t>
      </w:r>
      <w:r w:rsidRPr="00436614">
        <w:rPr>
          <w:i/>
        </w:rPr>
        <w:t>Request for Modification of the Authorization for the SpaceX NGSO Satellite System</w:t>
      </w:r>
      <w:r>
        <w:rPr>
          <w:i/>
        </w:rPr>
        <w:t>,</w:t>
      </w:r>
      <w:r w:rsidRPr="00436614">
        <w:rPr>
          <w:snapToGrid w:val="0"/>
          <w:spacing w:val="-2"/>
          <w:kern w:val="28"/>
          <w:sz w:val="22"/>
        </w:rPr>
        <w:t xml:space="preserve"> </w:t>
      </w:r>
      <w:r w:rsidRPr="00436614">
        <w:t xml:space="preserve">IBFS File No. </w:t>
      </w:r>
      <w:r w:rsidRPr="00C524C6">
        <w:t>SAT−MOD−20190830−00087</w:t>
      </w:r>
      <w:r>
        <w:t>, filed August 30, 2019 (</w:t>
      </w:r>
      <w:bookmarkStart w:id="5" w:name="_Hlk5724533"/>
      <w:r w:rsidRPr="00E6024E">
        <w:t xml:space="preserve">SpaceX </w:t>
      </w:r>
      <w:r>
        <w:t xml:space="preserve">Second </w:t>
      </w:r>
      <w:r w:rsidRPr="00E6024E">
        <w:t>Modification Application</w:t>
      </w:r>
      <w:bookmarkEnd w:id="5"/>
      <w:r>
        <w:t>).</w:t>
      </w:r>
    </w:p>
  </w:footnote>
  <w:footnote w:id="4">
    <w:p w:rsidR="00A012F4" w:rsidP="00A012F4" w14:paraId="5C4CD80D" w14:textId="26CC54D0">
      <w:pPr>
        <w:pStyle w:val="FootnoteText"/>
      </w:pPr>
      <w:r>
        <w:rPr>
          <w:rStyle w:val="FootnoteReference"/>
        </w:rPr>
        <w:footnoteRef/>
      </w:r>
      <w:r>
        <w:t xml:space="preserve"> </w:t>
      </w:r>
      <w:bookmarkStart w:id="7" w:name="_Hlk1749141"/>
      <w:bookmarkStart w:id="8" w:name="_Hlk4423759"/>
      <w:r w:rsidRPr="00396988">
        <w:rPr>
          <w:i/>
        </w:rPr>
        <w:t>See</w:t>
      </w:r>
      <w:r>
        <w:t xml:space="preserve"> </w:t>
      </w:r>
      <w:r w:rsidRPr="00EE71D9">
        <w:rPr>
          <w:i/>
        </w:rPr>
        <w:t>Space Exploration Holdings, LLC,</w:t>
      </w:r>
      <w:bookmarkEnd w:id="7"/>
      <w:r w:rsidRPr="00EE71D9">
        <w:rPr>
          <w:i/>
        </w:rPr>
        <w:t xml:space="preserve"> Application for Approval for Orbital Deployment and Operating Authority for the SpaceX NGSO Satellite System</w:t>
      </w:r>
      <w:r>
        <w:t xml:space="preserve">, </w:t>
      </w:r>
      <w:r w:rsidR="006079C0">
        <w:t xml:space="preserve">Memorandum Opinion, Order and Authorization, </w:t>
      </w:r>
      <w:r w:rsidRPr="00916C1C">
        <w:t>33 FCC Rcd 3391</w:t>
      </w:r>
      <w:r>
        <w:t xml:space="preserve"> (2018) (</w:t>
      </w:r>
      <w:r w:rsidRPr="00A700D5">
        <w:rPr>
          <w:i/>
        </w:rPr>
        <w:t>SpaceX Authorization</w:t>
      </w:r>
      <w:r>
        <w:t>).</w:t>
      </w:r>
      <w:bookmarkEnd w:id="8"/>
    </w:p>
  </w:footnote>
  <w:footnote w:id="5">
    <w:p w:rsidR="00A012F4" w:rsidP="00A012F4" w14:paraId="0B095FD7" w14:textId="78A9DA81">
      <w:pPr>
        <w:pStyle w:val="FootnoteText"/>
      </w:pPr>
      <w:r>
        <w:rPr>
          <w:rStyle w:val="FootnoteReference"/>
        </w:rPr>
        <w:footnoteRef/>
      </w:r>
      <w:r>
        <w:t xml:space="preserve"> </w:t>
      </w:r>
      <w:r w:rsidRPr="00017244" w:rsidR="000E6D1F">
        <w:t>Petition to Defer of SES Americom and O3b Limited</w:t>
      </w:r>
      <w:r w:rsidR="000E6D1F">
        <w:t xml:space="preserve"> (filed Oct. 15, 2019) (SES/O3b Petition); </w:t>
      </w:r>
      <w:r w:rsidRPr="00E54D9A">
        <w:t xml:space="preserve">Letter from </w:t>
      </w:r>
      <w:r>
        <w:t>Nickolas G. Spina, Counsel to</w:t>
      </w:r>
      <w:r w:rsidRPr="00FC6688">
        <w:t xml:space="preserve"> Kepler Communications, Inc.</w:t>
      </w:r>
      <w:r>
        <w:t>, to Marlene H. Dortch, Secretary, FCC (filed Oct. 15, 2019)</w:t>
      </w:r>
      <w:r w:rsidR="0030462D">
        <w:t xml:space="preserve"> (Kepler Letter).</w:t>
      </w:r>
      <w:r w:rsidR="006B267D">
        <w:t xml:space="preserve">  </w:t>
      </w:r>
      <w:r w:rsidR="000E6D1F">
        <w:t xml:space="preserve">Kepler’s </w:t>
      </w:r>
      <w:r w:rsidR="00250115">
        <w:t>L</w:t>
      </w:r>
      <w:r w:rsidR="00D166FC">
        <w:t xml:space="preserve">etter </w:t>
      </w:r>
      <w:r w:rsidR="006B267D">
        <w:t>comprises</w:t>
      </w:r>
      <w:r w:rsidR="00D166FC">
        <w:t xml:space="preserve"> (1) a petition for reconsideration of the </w:t>
      </w:r>
      <w:r w:rsidRPr="00D166FC" w:rsidR="00D166FC">
        <w:rPr>
          <w:i/>
        </w:rPr>
        <w:t>SpaceX First Modification Order</w:t>
      </w:r>
      <w:r w:rsidR="00C52A50">
        <w:t xml:space="preserve"> (</w:t>
      </w:r>
      <w:r w:rsidR="00747EC0">
        <w:t xml:space="preserve">as defined in </w:t>
      </w:r>
      <w:r w:rsidR="00C52A50">
        <w:t>n.4 below)</w:t>
      </w:r>
      <w:r w:rsidR="0030462D">
        <w:t xml:space="preserve"> (</w:t>
      </w:r>
      <w:r w:rsidR="002676FA">
        <w:t xml:space="preserve">Kepler Letter, </w:t>
      </w:r>
      <w:r w:rsidR="0030462D">
        <w:t>Recon Petition)</w:t>
      </w:r>
      <w:r w:rsidR="00D166FC">
        <w:t xml:space="preserve"> (2) a petition to defer or deny this </w:t>
      </w:r>
      <w:r w:rsidRPr="00D166FC" w:rsidR="00D166FC">
        <w:t>SpaceX Second Modification Application</w:t>
      </w:r>
      <w:r w:rsidR="006B267D">
        <w:t xml:space="preserve"> </w:t>
      </w:r>
      <w:r w:rsidRPr="006B267D" w:rsidR="006B267D">
        <w:t>(</w:t>
      </w:r>
      <w:r w:rsidR="00250115">
        <w:t>Kepler</w:t>
      </w:r>
      <w:r w:rsidR="002676FA">
        <w:t xml:space="preserve"> Letter,</w:t>
      </w:r>
      <w:r w:rsidR="00250115">
        <w:t xml:space="preserve"> </w:t>
      </w:r>
      <w:r w:rsidR="00BA34ED">
        <w:t xml:space="preserve">Second Mod </w:t>
      </w:r>
      <w:r w:rsidRPr="006B267D" w:rsidR="006B267D">
        <w:t>Petition)</w:t>
      </w:r>
      <w:r w:rsidR="00D166FC">
        <w:t>, and (3) a petition to defer or deny SpaceX’s request for special temporary authority to launch its second tranche of satellites</w:t>
      </w:r>
      <w:r w:rsidR="0030462D">
        <w:t xml:space="preserve"> (</w:t>
      </w:r>
      <w:r w:rsidR="00250115">
        <w:t xml:space="preserve">Kepler </w:t>
      </w:r>
      <w:r w:rsidR="002676FA">
        <w:t xml:space="preserve">Letter, </w:t>
      </w:r>
      <w:r w:rsidR="0030462D">
        <w:t>STA Petition)</w:t>
      </w:r>
      <w:r w:rsidR="00D166FC">
        <w:t>.</w:t>
      </w:r>
    </w:p>
  </w:footnote>
  <w:footnote w:id="6">
    <w:p w:rsidR="00A012F4" w:rsidRPr="00E32902" w:rsidP="00A012F4" w14:paraId="3E1E1C39" w14:textId="784501F5">
      <w:pPr>
        <w:pStyle w:val="FootnoteText"/>
      </w:pPr>
      <w:r>
        <w:rPr>
          <w:rStyle w:val="FootnoteReference"/>
        </w:rPr>
        <w:footnoteRef/>
      </w:r>
      <w:r>
        <w:t xml:space="preserve"> </w:t>
      </w:r>
      <w:r>
        <w:rPr>
          <w:i/>
        </w:rPr>
        <w:t>See</w:t>
      </w:r>
      <w:r>
        <w:t xml:space="preserve"> </w:t>
      </w:r>
      <w:r w:rsidRPr="00895732">
        <w:rPr>
          <w:i/>
        </w:rPr>
        <w:t>Space Exploration Holdings, LLC,</w:t>
      </w:r>
      <w:r w:rsidR="006079C0">
        <w:rPr>
          <w:i/>
        </w:rPr>
        <w:t xml:space="preserve"> Request for Modification of the Authorization for the SpaceX NGSO Satellite System</w:t>
      </w:r>
      <w:r w:rsidR="006079C0">
        <w:t>,</w:t>
      </w:r>
      <w:r w:rsidRPr="00895732">
        <w:rPr>
          <w:i/>
        </w:rPr>
        <w:t xml:space="preserve"> </w:t>
      </w:r>
      <w:r w:rsidRPr="00115E69">
        <w:t>Order and Authorization</w:t>
      </w:r>
      <w:r w:rsidRPr="001926BB">
        <w:t xml:space="preserve">, </w:t>
      </w:r>
      <w:bookmarkStart w:id="10" w:name="_Hlk24970548"/>
      <w:r w:rsidR="009E047F">
        <w:t>34 FCC Rcd 2526 (</w:t>
      </w:r>
      <w:r w:rsidR="001C6C2A">
        <w:t xml:space="preserve">IB </w:t>
      </w:r>
      <w:r w:rsidR="009E047F">
        <w:t>2019</w:t>
      </w:r>
      <w:bookmarkEnd w:id="10"/>
      <w:r w:rsidR="009D4469">
        <w:t>) (</w:t>
      </w:r>
      <w:r>
        <w:rPr>
          <w:i/>
        </w:rPr>
        <w:t>SpaceX First Modification</w:t>
      </w:r>
      <w:r w:rsidR="007F4975">
        <w:rPr>
          <w:i/>
        </w:rPr>
        <w:t xml:space="preserve"> Order</w:t>
      </w:r>
      <w:r>
        <w:rPr>
          <w:i/>
        </w:rPr>
        <w:t>)</w:t>
      </w:r>
      <w:r>
        <w:t>.</w:t>
      </w:r>
      <w:r w:rsidR="00675047">
        <w:t xml:space="preserve">  A number of petitions to </w:t>
      </w:r>
      <w:r w:rsidR="00E32902">
        <w:t xml:space="preserve">reconsider or condition were filed.  </w:t>
      </w:r>
      <w:r w:rsidR="00E32902">
        <w:rPr>
          <w:i/>
        </w:rPr>
        <w:t>See</w:t>
      </w:r>
      <w:r w:rsidR="00E32902">
        <w:t xml:space="preserve"> </w:t>
      </w:r>
      <w:r w:rsidRPr="00E32902" w:rsidR="00E32902">
        <w:t>Petition for Reconsideration and Petition to Condition of WorldVu Satellites Limited, IBFS File Nos. SAT-MOD-20181108-00083, SES-LIC-20190402-00425 through -00427, SES-LIC-20190402-00450, -00451, and -00454 (filed May 28, 2019) and SES-AMD-20190410-00520 through 00525 (filed May 31, 2019</w:t>
      </w:r>
      <w:r w:rsidR="00E32902">
        <w:t>)</w:t>
      </w:r>
      <w:r w:rsidR="00ED3484">
        <w:t xml:space="preserve"> (OneWeb Petition for Reconsideration)</w:t>
      </w:r>
      <w:r w:rsidR="00E32902">
        <w:t xml:space="preserve">; </w:t>
      </w:r>
      <w:r w:rsidRPr="00115E69" w:rsidR="00115E69">
        <w:t xml:space="preserve">Kepler </w:t>
      </w:r>
      <w:r w:rsidR="00BA34ED">
        <w:t xml:space="preserve">Letter, </w:t>
      </w:r>
      <w:r w:rsidR="00FD515C">
        <w:t xml:space="preserve">Recon </w:t>
      </w:r>
      <w:r w:rsidRPr="00115E69" w:rsidR="00115E69">
        <w:t>Petition at 1-2, 5-13.</w:t>
      </w:r>
      <w:r w:rsidR="00115E69">
        <w:t xml:space="preserve">  </w:t>
      </w:r>
      <w:r w:rsidR="00EE3864">
        <w:t>These petitions remain pending.</w:t>
      </w:r>
    </w:p>
  </w:footnote>
  <w:footnote w:id="7">
    <w:p w:rsidR="00A012F4" w:rsidRPr="00A83D3A" w:rsidP="00A012F4" w14:paraId="242D8994" w14:textId="7C6DACD0">
      <w:pPr>
        <w:pStyle w:val="FootnoteText"/>
      </w:pPr>
      <w:r>
        <w:rPr>
          <w:rStyle w:val="FootnoteReference"/>
        </w:rPr>
        <w:footnoteRef/>
      </w:r>
      <w:r>
        <w:t xml:space="preserve"> </w:t>
      </w:r>
      <w:r>
        <w:rPr>
          <w:i/>
        </w:rPr>
        <w:t>See</w:t>
      </w:r>
      <w:r>
        <w:t xml:space="preserve"> SpaceX Second Modification</w:t>
      </w:r>
      <w:r w:rsidR="008D6AD9">
        <w:t xml:space="preserve"> Application</w:t>
      </w:r>
      <w:r>
        <w:t xml:space="preserve">, Legal Narrative at </w:t>
      </w:r>
      <w:r w:rsidR="008D6AD9">
        <w:t>3</w:t>
      </w:r>
      <w:r>
        <w:t>.</w:t>
      </w:r>
    </w:p>
  </w:footnote>
  <w:footnote w:id="8">
    <w:p w:rsidR="00A012F4" w:rsidRPr="00891239" w:rsidP="00A012F4" w14:paraId="0203C890" w14:textId="77777777">
      <w:pPr>
        <w:pStyle w:val="FootnoteText"/>
      </w:pPr>
      <w:r>
        <w:rPr>
          <w:rStyle w:val="FootnoteReference"/>
        </w:rPr>
        <w:footnoteRef/>
      </w:r>
      <w:r>
        <w:t xml:space="preserve"> </w:t>
      </w:r>
      <w:r>
        <w:rPr>
          <w:i/>
        </w:rPr>
        <w:t>See id.</w:t>
      </w:r>
      <w:r>
        <w:t>, Legal Narrative at 1.</w:t>
      </w:r>
    </w:p>
  </w:footnote>
  <w:footnote w:id="9">
    <w:p w:rsidR="00A012F4" w:rsidRPr="00891239" w:rsidP="00A012F4" w14:paraId="6631EEF6" w14:textId="77777777">
      <w:pPr>
        <w:pStyle w:val="FootnoteText"/>
      </w:pPr>
      <w:r>
        <w:rPr>
          <w:rStyle w:val="FootnoteReference"/>
        </w:rPr>
        <w:footnoteRef/>
      </w:r>
      <w:r>
        <w:t xml:space="preserve"> </w:t>
      </w:r>
      <w:r>
        <w:rPr>
          <w:i/>
        </w:rPr>
        <w:t>See id.</w:t>
      </w:r>
      <w:r>
        <w:t xml:space="preserve"> Frequencies Requested at 1.</w:t>
      </w:r>
    </w:p>
  </w:footnote>
  <w:footnote w:id="10">
    <w:p w:rsidR="00A012F4" w:rsidP="00A012F4" w14:paraId="24A94B7B" w14:textId="77777777">
      <w:pPr>
        <w:pStyle w:val="FootnoteText"/>
      </w:pPr>
      <w:r>
        <w:rPr>
          <w:rStyle w:val="FootnoteReference"/>
        </w:rPr>
        <w:footnoteRef/>
      </w:r>
      <w:r>
        <w:t xml:space="preserve"> </w:t>
      </w:r>
      <w:r>
        <w:rPr>
          <w:i/>
        </w:rPr>
        <w:t>See id.</w:t>
      </w:r>
      <w:r>
        <w:t>, Legal Narrative at 1.</w:t>
      </w:r>
    </w:p>
  </w:footnote>
  <w:footnote w:id="11">
    <w:p w:rsidR="00A012F4" w:rsidP="00A012F4" w14:paraId="0DC17EAF" w14:textId="77777777">
      <w:pPr>
        <w:pStyle w:val="FootnoteText"/>
      </w:pPr>
      <w:r>
        <w:rPr>
          <w:rStyle w:val="FootnoteReference"/>
        </w:rPr>
        <w:footnoteRef/>
      </w:r>
      <w:r>
        <w:t xml:space="preserve"> </w:t>
      </w:r>
      <w:r w:rsidRPr="00043A5D">
        <w:t>Policy Branch Information, Space Stations Accepted for Filing, Public Notice, Report No SAT-</w:t>
      </w:r>
      <w:r>
        <w:t>01412</w:t>
      </w:r>
      <w:r w:rsidRPr="00043A5D">
        <w:t xml:space="preserve"> (IB Sat. Div. </w:t>
      </w:r>
      <w:r>
        <w:t>Sept</w:t>
      </w:r>
      <w:r w:rsidRPr="00043A5D">
        <w:t xml:space="preserve">. </w:t>
      </w:r>
      <w:r>
        <w:t>13</w:t>
      </w:r>
      <w:r w:rsidRPr="00043A5D">
        <w:t>, 201</w:t>
      </w:r>
      <w:r>
        <w:t>9</w:t>
      </w:r>
      <w:r w:rsidRPr="00043A5D">
        <w:t>)</w:t>
      </w:r>
      <w:r>
        <w:t>.</w:t>
      </w:r>
    </w:p>
  </w:footnote>
  <w:footnote w:id="12">
    <w:p w:rsidR="00A012F4" w:rsidRPr="00091399" w:rsidP="00A012F4" w14:paraId="5325C09C" w14:textId="1A6A53A6">
      <w:pPr>
        <w:pStyle w:val="FootnoteText"/>
        <w:rPr>
          <w:i/>
        </w:rPr>
      </w:pPr>
      <w:r>
        <w:rPr>
          <w:rStyle w:val="FootnoteReference"/>
        </w:rPr>
        <w:footnoteRef/>
      </w:r>
      <w:r>
        <w:t xml:space="preserve"> </w:t>
      </w:r>
      <w:r w:rsidRPr="00675047">
        <w:t xml:space="preserve">Kepler </w:t>
      </w:r>
      <w:r w:rsidR="00BA34ED">
        <w:t>Letter</w:t>
      </w:r>
      <w:r w:rsidR="002676FA">
        <w:t>,</w:t>
      </w:r>
      <w:r w:rsidR="00BA34ED">
        <w:t xml:space="preserve"> </w:t>
      </w:r>
      <w:r w:rsidR="00250115">
        <w:t>Second Mod</w:t>
      </w:r>
      <w:r w:rsidR="00BA34ED">
        <w:t xml:space="preserve"> </w:t>
      </w:r>
      <w:r w:rsidRPr="00675047">
        <w:t xml:space="preserve">Petition at </w:t>
      </w:r>
      <w:r w:rsidRPr="00675047" w:rsidR="008D6AD9">
        <w:t>14</w:t>
      </w:r>
      <w:r>
        <w:rPr>
          <w:i/>
        </w:rPr>
        <w:t>.</w:t>
      </w:r>
    </w:p>
  </w:footnote>
  <w:footnote w:id="13">
    <w:p w:rsidR="00A012F4" w:rsidRPr="008D6AD9" w:rsidP="00A012F4" w14:paraId="6A5B13FC" w14:textId="7B5863A7">
      <w:pPr>
        <w:pStyle w:val="FootnoteText"/>
      </w:pPr>
      <w:r>
        <w:rPr>
          <w:rStyle w:val="FootnoteReference"/>
        </w:rPr>
        <w:footnoteRef/>
      </w:r>
      <w:r>
        <w:t xml:space="preserve"> </w:t>
      </w:r>
      <w:r>
        <w:rPr>
          <w:i/>
        </w:rPr>
        <w:t xml:space="preserve">See </w:t>
      </w:r>
      <w:r w:rsidR="008D6AD9">
        <w:t>SES/O3B Petition.</w:t>
      </w:r>
    </w:p>
  </w:footnote>
  <w:footnote w:id="14">
    <w:p w:rsidR="00A012F4" w:rsidP="00A012F4" w14:paraId="431A994B" w14:textId="77777777">
      <w:pPr>
        <w:pStyle w:val="FootnoteText"/>
      </w:pPr>
      <w:r>
        <w:rPr>
          <w:rStyle w:val="FootnoteReference"/>
        </w:rPr>
        <w:footnoteRef/>
      </w:r>
      <w:r>
        <w:t xml:space="preserve"> </w:t>
      </w:r>
      <w:r>
        <w:rPr>
          <w:i/>
        </w:rPr>
        <w:t xml:space="preserve">See </w:t>
      </w:r>
      <w:r w:rsidRPr="00017244">
        <w:t>Notice of Written Ex Parte of WorldVu Satellites Limited</w:t>
      </w:r>
      <w:r>
        <w:t xml:space="preserve"> (filed Oct. 17, 2019) (OneWeb Ex Parte).</w:t>
      </w:r>
    </w:p>
  </w:footnote>
  <w:footnote w:id="15">
    <w:p w:rsidR="00A012F4" w:rsidRPr="00683063" w:rsidP="00A012F4" w14:paraId="6E77978D" w14:textId="2353FD5E">
      <w:pPr>
        <w:pStyle w:val="FootnoteText"/>
      </w:pPr>
      <w:r>
        <w:rPr>
          <w:rStyle w:val="FootnoteReference"/>
        </w:rPr>
        <w:footnoteRef/>
      </w:r>
      <w:r>
        <w:t xml:space="preserve"> </w:t>
      </w:r>
      <w:r>
        <w:rPr>
          <w:i/>
        </w:rPr>
        <w:t xml:space="preserve">See </w:t>
      </w:r>
      <w:r w:rsidRPr="00017244">
        <w:t>Letter from the GSO Satellite Operators to Marlene H. Dortch, Secretary, FCC</w:t>
      </w:r>
      <w:r>
        <w:t xml:space="preserve"> (dated Oct. 30, 2019) (GSO Satellite Operators Letter).</w:t>
      </w:r>
    </w:p>
  </w:footnote>
  <w:footnote w:id="16">
    <w:p w:rsidR="00A012F4" w:rsidRPr="00B143F8" w:rsidP="00A012F4" w14:paraId="7CFDFD19" w14:textId="77777777">
      <w:pPr>
        <w:pStyle w:val="FootnoteText"/>
      </w:pPr>
      <w:r>
        <w:rPr>
          <w:rStyle w:val="FootnoteReference"/>
        </w:rPr>
        <w:footnoteRef/>
      </w:r>
      <w:r>
        <w:t xml:space="preserve"> </w:t>
      </w:r>
      <w:r>
        <w:rPr>
          <w:i/>
        </w:rPr>
        <w:t xml:space="preserve">See </w:t>
      </w:r>
      <w:r w:rsidRPr="00017244">
        <w:t xml:space="preserve">Consolidated Opposition </w:t>
      </w:r>
      <w:r>
        <w:t xml:space="preserve">to Petitions </w:t>
      </w:r>
      <w:r w:rsidRPr="00017244">
        <w:t>of SpaceX</w:t>
      </w:r>
      <w:r>
        <w:t>, IBFS File No. SAT-MOD-20190830-00087 (filed Oct. 30, 2019) (SpaceX Consolidated Opposition); Letter from William M. Wiltshire, Counsel to SpaceX, to Marlene H. Dortch, Secretary, FCC, dated Nov 12, 2019.</w:t>
      </w:r>
    </w:p>
  </w:footnote>
  <w:footnote w:id="17">
    <w:p w:rsidR="00A012F4" w:rsidRPr="005E55E5" w:rsidP="00A012F4" w14:paraId="36E3921B" w14:textId="77777777">
      <w:pPr>
        <w:pStyle w:val="FootnoteText"/>
        <w:rPr>
          <w:i/>
        </w:rPr>
      </w:pPr>
      <w:r>
        <w:rPr>
          <w:rStyle w:val="FootnoteReference"/>
        </w:rPr>
        <w:footnoteRef/>
      </w:r>
      <w:r>
        <w:t xml:space="preserve"> </w:t>
      </w:r>
      <w:r>
        <w:rPr>
          <w:i/>
        </w:rPr>
        <w:t xml:space="preserve">See </w:t>
      </w:r>
      <w:r w:rsidRPr="00017244">
        <w:t>Reply of SES Americom and O3</w:t>
      </w:r>
      <w:r>
        <w:t>b</w:t>
      </w:r>
      <w:r w:rsidRPr="00017244">
        <w:t xml:space="preserve"> Limited, filed Nov 12, 2019</w:t>
      </w:r>
      <w:r>
        <w:t xml:space="preserve"> (</w:t>
      </w:r>
      <w:r w:rsidRPr="00017244">
        <w:t xml:space="preserve">SES/O3b </w:t>
      </w:r>
      <w:r>
        <w:t>Reply)</w:t>
      </w:r>
      <w:r>
        <w:rPr>
          <w:i/>
        </w:rPr>
        <w:t>.</w:t>
      </w:r>
    </w:p>
  </w:footnote>
  <w:footnote w:id="18">
    <w:p w:rsidR="00A012F4" w:rsidRPr="00B20231" w:rsidP="00A012F4" w14:paraId="5368F08C" w14:textId="00218A4F">
      <w:pPr>
        <w:pStyle w:val="FootnoteText"/>
        <w:rPr>
          <w:i/>
        </w:rPr>
      </w:pPr>
      <w:r>
        <w:rPr>
          <w:rStyle w:val="FootnoteReference"/>
        </w:rPr>
        <w:footnoteRef/>
      </w:r>
      <w:r>
        <w:t xml:space="preserve"> </w:t>
      </w:r>
      <w:r>
        <w:rPr>
          <w:i/>
        </w:rPr>
        <w:t xml:space="preserve">See </w:t>
      </w:r>
      <w:r w:rsidRPr="00675047">
        <w:t xml:space="preserve">Kepler </w:t>
      </w:r>
      <w:r w:rsidR="00795907">
        <w:t>Letter</w:t>
      </w:r>
      <w:r w:rsidR="00BA34ED">
        <w:t>, Recon Petition</w:t>
      </w:r>
      <w:r w:rsidRPr="00675047" w:rsidR="00795907">
        <w:t xml:space="preserve"> </w:t>
      </w:r>
      <w:r w:rsidRPr="00675047">
        <w:t>at</w:t>
      </w:r>
      <w:r>
        <w:rPr>
          <w:i/>
        </w:rPr>
        <w:t xml:space="preserve"> </w:t>
      </w:r>
      <w:r w:rsidRPr="009D4469">
        <w:t>5-1</w:t>
      </w:r>
      <w:r w:rsidR="00BA34ED">
        <w:t xml:space="preserve">3, </w:t>
      </w:r>
      <w:r w:rsidR="00250115">
        <w:t xml:space="preserve">Kepler Letter </w:t>
      </w:r>
      <w:r w:rsidR="00BA34ED">
        <w:t>Second Mod Petition at 14</w:t>
      </w:r>
      <w:r>
        <w:rPr>
          <w:i/>
        </w:rPr>
        <w:t>.</w:t>
      </w:r>
    </w:p>
  </w:footnote>
  <w:footnote w:id="19">
    <w:p w:rsidR="00A012F4" w:rsidRPr="00E3290D" w:rsidP="00A012F4" w14:paraId="7BE1036C" w14:textId="44E627AB">
      <w:pPr>
        <w:pStyle w:val="FootnoteText"/>
      </w:pPr>
      <w:r>
        <w:rPr>
          <w:rStyle w:val="FootnoteReference"/>
        </w:rPr>
        <w:footnoteRef/>
      </w:r>
      <w:r>
        <w:t xml:space="preserve"> </w:t>
      </w:r>
      <w:r w:rsidRPr="00D475FA">
        <w:t xml:space="preserve">Kepler </w:t>
      </w:r>
      <w:r w:rsidR="00795907">
        <w:t>Letter</w:t>
      </w:r>
      <w:r w:rsidR="00BA34ED">
        <w:t xml:space="preserve">, Second Mod Petition </w:t>
      </w:r>
      <w:r>
        <w:t xml:space="preserve">at 14.  </w:t>
      </w:r>
      <w:r w:rsidR="00630FF7">
        <w:t xml:space="preserve">OneWeb also filed a petition to reconsider or condition the </w:t>
      </w:r>
      <w:r w:rsidRPr="006F790F" w:rsidR="00630FF7">
        <w:rPr>
          <w:i/>
        </w:rPr>
        <w:t xml:space="preserve">SpaceX’s First Modification </w:t>
      </w:r>
      <w:r w:rsidR="00BA34ED">
        <w:rPr>
          <w:i/>
        </w:rPr>
        <w:t>O</w:t>
      </w:r>
      <w:r w:rsidRPr="006F790F" w:rsidR="00630FF7">
        <w:rPr>
          <w:i/>
        </w:rPr>
        <w:t>rder</w:t>
      </w:r>
      <w:r w:rsidR="00E57FAB">
        <w:rPr>
          <w:i/>
        </w:rPr>
        <w:t>,</w:t>
      </w:r>
      <w:r w:rsidRPr="006F790F" w:rsidR="00630FF7">
        <w:rPr>
          <w:i/>
        </w:rPr>
        <w:t xml:space="preserve"> </w:t>
      </w:r>
      <w:r w:rsidR="00630FF7">
        <w:rPr>
          <w:i/>
        </w:rPr>
        <w:t>s</w:t>
      </w:r>
      <w:r w:rsidRPr="00D7522E" w:rsidR="00630FF7">
        <w:rPr>
          <w:i/>
        </w:rPr>
        <w:t>ee</w:t>
      </w:r>
      <w:r w:rsidRPr="00D7522E" w:rsidR="00630FF7">
        <w:t xml:space="preserve"> </w:t>
      </w:r>
      <w:r w:rsidR="00630FF7">
        <w:t xml:space="preserve">OneWeb Petition for Reconsideration, and </w:t>
      </w:r>
      <w:r>
        <w:t>filed a</w:t>
      </w:r>
      <w:r w:rsidR="00630FF7">
        <w:t xml:space="preserve">n </w:t>
      </w:r>
      <w:r w:rsidRPr="0065406B">
        <w:rPr>
          <w:i/>
        </w:rPr>
        <w:t>ex parte</w:t>
      </w:r>
      <w:r>
        <w:t xml:space="preserve"> </w:t>
      </w:r>
      <w:r w:rsidR="00630FF7">
        <w:t>letter</w:t>
      </w:r>
      <w:r>
        <w:t xml:space="preserve"> </w:t>
      </w:r>
      <w:r w:rsidR="00630FF7">
        <w:t xml:space="preserve">in </w:t>
      </w:r>
      <w:r>
        <w:t>support</w:t>
      </w:r>
      <w:r w:rsidR="00E57FAB">
        <w:t xml:space="preserve"> </w:t>
      </w:r>
      <w:r w:rsidR="00630FF7">
        <w:t>of</w:t>
      </w:r>
      <w:r>
        <w:t xml:space="preserve"> Kepler’s</w:t>
      </w:r>
      <w:r w:rsidR="00630FF7">
        <w:t xml:space="preserve"> Petition.</w:t>
      </w:r>
      <w:r>
        <w:t xml:space="preserve"> </w:t>
      </w:r>
      <w:r w:rsidR="00C6736C">
        <w:t xml:space="preserve"> </w:t>
      </w:r>
      <w:r>
        <w:rPr>
          <w:i/>
        </w:rPr>
        <w:t xml:space="preserve">See </w:t>
      </w:r>
      <w:r w:rsidRPr="00D05F08">
        <w:t>OneWeb Ex Parte</w:t>
      </w:r>
      <w:r w:rsidRPr="003A0800">
        <w:t xml:space="preserve"> </w:t>
      </w:r>
      <w:r>
        <w:t>at 4.</w:t>
      </w:r>
      <w:r w:rsidR="00545586">
        <w:t xml:space="preserve">  </w:t>
      </w:r>
    </w:p>
  </w:footnote>
  <w:footnote w:id="20">
    <w:p w:rsidR="00A012F4" w:rsidRPr="00E54D9A" w:rsidP="00A012F4" w14:paraId="18B8B786" w14:textId="3F5A1AC0">
      <w:pPr>
        <w:pStyle w:val="FootnoteText"/>
      </w:pPr>
      <w:r>
        <w:rPr>
          <w:rStyle w:val="FootnoteReference"/>
        </w:rPr>
        <w:footnoteRef/>
      </w:r>
      <w:r>
        <w:t xml:space="preserve"> </w:t>
      </w:r>
      <w:r>
        <w:rPr>
          <w:i/>
        </w:rPr>
        <w:t xml:space="preserve">See </w:t>
      </w:r>
      <w:r>
        <w:t xml:space="preserve">Kepler </w:t>
      </w:r>
      <w:r w:rsidR="00BA34ED">
        <w:t>Let</w:t>
      </w:r>
      <w:r w:rsidR="00C52A50">
        <w:t>t</w:t>
      </w:r>
      <w:r w:rsidR="00BA34ED">
        <w:t xml:space="preserve">er, Second Mod </w:t>
      </w:r>
      <w:r>
        <w:t>Petition at 14.</w:t>
      </w:r>
    </w:p>
  </w:footnote>
  <w:footnote w:id="21">
    <w:p w:rsidR="00A012F4" w:rsidRPr="00AB7262" w:rsidP="00A012F4" w14:paraId="01655D76" w14:textId="77777777">
      <w:pPr>
        <w:pStyle w:val="FootnoteText"/>
      </w:pPr>
      <w:r>
        <w:rPr>
          <w:rStyle w:val="FootnoteReference"/>
        </w:rPr>
        <w:footnoteRef/>
      </w:r>
      <w:r>
        <w:t xml:space="preserve"> </w:t>
      </w:r>
      <w:r>
        <w:rPr>
          <w:i/>
        </w:rPr>
        <w:t>See</w:t>
      </w:r>
      <w:r>
        <w:t xml:space="preserve"> </w:t>
      </w:r>
      <w:r w:rsidRPr="001B0A4E">
        <w:t>SpaceX Consolidated Opposition</w:t>
      </w:r>
      <w:r>
        <w:t xml:space="preserve"> at 6 (citing </w:t>
      </w:r>
      <w:r>
        <w:rPr>
          <w:i/>
        </w:rPr>
        <w:t>SpaceX First Modification Order</w:t>
      </w:r>
      <w:r>
        <w:t xml:space="preserve"> at para. 32a).</w:t>
      </w:r>
    </w:p>
  </w:footnote>
  <w:footnote w:id="22">
    <w:p w:rsidR="00F238A1" w:rsidRPr="00A37932" w14:paraId="23560A55" w14:textId="22EF3E06">
      <w:pPr>
        <w:pStyle w:val="FootnoteText"/>
        <w:rPr>
          <w:i/>
        </w:rPr>
      </w:pPr>
      <w:r>
        <w:rPr>
          <w:rStyle w:val="FootnoteReference"/>
        </w:rPr>
        <w:footnoteRef/>
      </w:r>
      <w:r>
        <w:t xml:space="preserve"> </w:t>
      </w:r>
      <w:r>
        <w:rPr>
          <w:i/>
        </w:rPr>
        <w:t>See, e.g.,</w:t>
      </w:r>
      <w:r>
        <w:t xml:space="preserve"> </w:t>
      </w:r>
      <w:r w:rsidR="009F358B">
        <w:t>SpaceX First Modification Order</w:t>
      </w:r>
      <w:r w:rsidR="0023005E">
        <w:t>,</w:t>
      </w:r>
      <w:r w:rsidR="00E57FAB">
        <w:t xml:space="preserve"> </w:t>
      </w:r>
      <w:r w:rsidR="0023005E">
        <w:t>p</w:t>
      </w:r>
      <w:r w:rsidR="009F358B">
        <w:t xml:space="preserve">ara. 32a; </w:t>
      </w:r>
      <w:r w:rsidR="0002708C">
        <w:rPr>
          <w:i/>
        </w:rPr>
        <w:t xml:space="preserve">Telesat Canada, </w:t>
      </w:r>
      <w:r w:rsidRPr="006F3A21" w:rsidR="006F3A21">
        <w:t>32 FCC Rcd</w:t>
      </w:r>
      <w:r w:rsidR="0002708C">
        <w:t xml:space="preserve"> </w:t>
      </w:r>
      <w:r w:rsidRPr="006F3A21" w:rsidR="006F3A21">
        <w:t>9663</w:t>
      </w:r>
      <w:r w:rsidR="006F3A21">
        <w:t>, 966</w:t>
      </w:r>
      <w:r w:rsidR="006C4812">
        <w:t>6</w:t>
      </w:r>
      <w:r w:rsidR="008E791F">
        <w:t>-6</w:t>
      </w:r>
      <w:r w:rsidR="006C4812">
        <w:t>7, 9674</w:t>
      </w:r>
      <w:r w:rsidR="006F3A21">
        <w:t xml:space="preserve">, </w:t>
      </w:r>
      <w:r w:rsidR="0002708C">
        <w:t>para</w:t>
      </w:r>
      <w:r w:rsidR="006F3A21">
        <w:t>s</w:t>
      </w:r>
      <w:r w:rsidR="0002708C">
        <w:t xml:space="preserve">. </w:t>
      </w:r>
      <w:r w:rsidR="006C4812">
        <w:t>6, 27a</w:t>
      </w:r>
      <w:r w:rsidR="0002708C">
        <w:t xml:space="preserve">; </w:t>
      </w:r>
      <w:r w:rsidR="006F3A21">
        <w:rPr>
          <w:i/>
        </w:rPr>
        <w:t xml:space="preserve">Space Norway AS, </w:t>
      </w:r>
      <w:bookmarkStart w:id="13" w:name="_Hlk26547628"/>
      <w:r w:rsidRPr="00A37932" w:rsidR="006F3A21">
        <w:t>32 FCC Rcd</w:t>
      </w:r>
      <w:bookmarkEnd w:id="13"/>
      <w:r w:rsidRPr="00A37932" w:rsidR="006F3A21">
        <w:t xml:space="preserve"> 9649</w:t>
      </w:r>
      <w:r w:rsidR="006F3A21">
        <w:t>, 9652,</w:t>
      </w:r>
      <w:r w:rsidR="006C4812">
        <w:t xml:space="preserve"> 9659,</w:t>
      </w:r>
      <w:r w:rsidR="006F3A21">
        <w:t xml:space="preserve"> paras. </w:t>
      </w:r>
      <w:r w:rsidR="009F358B">
        <w:t>6, 2</w:t>
      </w:r>
      <w:r w:rsidR="006C4812">
        <w:t>3</w:t>
      </w:r>
      <w:r w:rsidR="009F358B">
        <w:t>a</w:t>
      </w:r>
      <w:r w:rsidR="005954A4">
        <w:t xml:space="preserve">; </w:t>
      </w:r>
      <w:r w:rsidR="005954A4">
        <w:rPr>
          <w:i/>
        </w:rPr>
        <w:t>see also</w:t>
      </w:r>
      <w:r w:rsidR="005954A4">
        <w:t xml:space="preserve"> 47 CFR § 25.111(b)</w:t>
      </w:r>
      <w:r w:rsidR="006F3A21">
        <w:t>.</w:t>
      </w:r>
    </w:p>
  </w:footnote>
  <w:footnote w:id="23">
    <w:p w:rsidR="00A012F4" w:rsidRPr="00AB7262" w:rsidP="00A012F4" w14:paraId="28BF19D0" w14:textId="77777777">
      <w:pPr>
        <w:pStyle w:val="FootnoteText"/>
      </w:pPr>
      <w:r>
        <w:rPr>
          <w:rStyle w:val="FootnoteReference"/>
        </w:rPr>
        <w:footnoteRef/>
      </w:r>
      <w:r>
        <w:t xml:space="preserve"> </w:t>
      </w:r>
      <w:r>
        <w:rPr>
          <w:i/>
        </w:rPr>
        <w:t xml:space="preserve">See </w:t>
      </w:r>
      <w:r w:rsidRPr="001B0A4E">
        <w:t>SpaceX Consolidat</w:t>
      </w:r>
      <w:r>
        <w:t>ed</w:t>
      </w:r>
      <w:r w:rsidRPr="001B0A4E">
        <w:t xml:space="preserve"> Opposition</w:t>
      </w:r>
      <w:r>
        <w:t xml:space="preserve"> at 8.</w:t>
      </w:r>
    </w:p>
  </w:footnote>
  <w:footnote w:id="24">
    <w:p w:rsidR="00A012F4" w:rsidRPr="00E33D75" w:rsidP="00A012F4" w14:paraId="464DFEE7" w14:textId="77ACBDE2">
      <w:pPr>
        <w:pStyle w:val="FootnoteText"/>
      </w:pPr>
      <w:r>
        <w:rPr>
          <w:rStyle w:val="FootnoteReference"/>
        </w:rPr>
        <w:footnoteRef/>
      </w:r>
      <w:r>
        <w:t xml:space="preserve"> </w:t>
      </w:r>
      <w:r w:rsidRPr="00C20E60" w:rsidR="00C20E60">
        <w:rPr>
          <w:i/>
          <w:iCs/>
        </w:rPr>
        <w:t>Mitigation of Orbital Debris in the New Space Age</w:t>
      </w:r>
      <w:r w:rsidRPr="00C20E60" w:rsidR="00C20E60">
        <w:t>, Notice of Proposed Rulemaking, 33 FCC Rcd 11352, 11361, para. 26 (2018) (noting that current licensing practice has been to consider collision risk to be zero or near zero during the period of time in which the spacecraft is maneuverable, absent contrary information, but also seeking comment on this issue).</w:t>
      </w:r>
    </w:p>
  </w:footnote>
  <w:footnote w:id="25">
    <w:p w:rsidR="00D840FF" w:rsidRPr="00296E7F" w:rsidP="00D840FF" w14:paraId="77F63630" w14:textId="0B0D7E50">
      <w:pPr>
        <w:pStyle w:val="FootnoteText"/>
      </w:pPr>
      <w:r>
        <w:rPr>
          <w:rStyle w:val="FootnoteReference"/>
        </w:rPr>
        <w:footnoteRef/>
      </w:r>
      <w:r>
        <w:t xml:space="preserve"> </w:t>
      </w:r>
      <w:r>
        <w:rPr>
          <w:i/>
        </w:rPr>
        <w:t>See</w:t>
      </w:r>
      <w:r w:rsidR="00D04C51">
        <w:rPr>
          <w:i/>
        </w:rPr>
        <w:t xml:space="preserve"> </w:t>
      </w:r>
      <w:r>
        <w:t>SES/O3</w:t>
      </w:r>
      <w:r w:rsidR="001B0A4E">
        <w:t>b</w:t>
      </w:r>
      <w:r>
        <w:t xml:space="preserve"> Petition.</w:t>
      </w:r>
    </w:p>
  </w:footnote>
  <w:footnote w:id="26">
    <w:p w:rsidR="00925694" w:rsidRPr="00925694" w14:paraId="1D69D6E3" w14:textId="1B1F2AD8">
      <w:pPr>
        <w:pStyle w:val="FootnoteText"/>
      </w:pPr>
      <w:r>
        <w:rPr>
          <w:rStyle w:val="FootnoteReference"/>
        </w:rPr>
        <w:footnoteRef/>
      </w:r>
      <w:r>
        <w:t xml:space="preserve"> </w:t>
      </w:r>
      <w:r>
        <w:rPr>
          <w:i/>
        </w:rPr>
        <w:t>Id</w:t>
      </w:r>
      <w:r w:rsidRPr="00925694">
        <w:rPr>
          <w:i/>
        </w:rPr>
        <w:t>.</w:t>
      </w:r>
      <w:r>
        <w:t xml:space="preserve"> at 2-7.</w:t>
      </w:r>
    </w:p>
  </w:footnote>
  <w:footnote w:id="27">
    <w:p w:rsidR="00925694" w:rsidRPr="00925694" w14:paraId="7D39D327" w14:textId="42C01831">
      <w:pPr>
        <w:pStyle w:val="FootnoteText"/>
      </w:pPr>
      <w:r>
        <w:rPr>
          <w:rStyle w:val="FootnoteReference"/>
        </w:rPr>
        <w:footnoteRef/>
      </w:r>
      <w:r>
        <w:t xml:space="preserve"> </w:t>
      </w:r>
      <w:r>
        <w:rPr>
          <w:i/>
        </w:rPr>
        <w:t>Id.</w:t>
      </w:r>
      <w:r>
        <w:t xml:space="preserve"> at 2-3, 5-6.</w:t>
      </w:r>
    </w:p>
  </w:footnote>
  <w:footnote w:id="28">
    <w:p w:rsidR="006A7FEF" w:rsidRPr="006A7FEF" w14:paraId="6DA62C70" w14:textId="4FB2D54A">
      <w:pPr>
        <w:pStyle w:val="FootnoteText"/>
      </w:pPr>
      <w:r>
        <w:rPr>
          <w:rStyle w:val="FootnoteReference"/>
        </w:rPr>
        <w:footnoteRef/>
      </w:r>
      <w:r>
        <w:t xml:space="preserve"> Id. at 6-7</w:t>
      </w:r>
      <w:r w:rsidR="00466E91">
        <w:t xml:space="preserve">; </w:t>
      </w:r>
      <w:r w:rsidR="00466E91">
        <w:rPr>
          <w:i/>
        </w:rPr>
        <w:t>see also</w:t>
      </w:r>
      <w:r w:rsidR="00466E91">
        <w:t xml:space="preserve"> 47 </w:t>
      </w:r>
      <w:r w:rsidR="00A434AB">
        <w:t>CFR</w:t>
      </w:r>
      <w:r w:rsidR="00466E91">
        <w:t xml:space="preserve"> § 25.146(c)</w:t>
      </w:r>
      <w:r>
        <w:t>.</w:t>
      </w:r>
    </w:p>
  </w:footnote>
  <w:footnote w:id="29">
    <w:p w:rsidR="00D840FF" w:rsidRPr="00683063" w:rsidP="00D840FF" w14:paraId="2EA252EA" w14:textId="57DD823B">
      <w:pPr>
        <w:pStyle w:val="FootnoteText"/>
      </w:pPr>
      <w:r>
        <w:rPr>
          <w:rStyle w:val="FootnoteReference"/>
        </w:rPr>
        <w:footnoteRef/>
      </w:r>
      <w:r>
        <w:t xml:space="preserve"> </w:t>
      </w:r>
      <w:r>
        <w:rPr>
          <w:i/>
        </w:rPr>
        <w:t xml:space="preserve">See </w:t>
      </w:r>
      <w:r>
        <w:t>GSO Satellite Operators Letter</w:t>
      </w:r>
      <w:r w:rsidR="00784A7C">
        <w:t>; OneWeb Ex Parte, at 3-4.</w:t>
      </w:r>
    </w:p>
  </w:footnote>
  <w:footnote w:id="30">
    <w:p w:rsidR="00EC475C" w:rsidRPr="00EC475C" w14:paraId="7858907C" w14:textId="4C8CB2BF">
      <w:pPr>
        <w:pStyle w:val="FootnoteText"/>
      </w:pPr>
      <w:r>
        <w:rPr>
          <w:rStyle w:val="FootnoteReference"/>
        </w:rPr>
        <w:footnoteRef/>
      </w:r>
      <w:r>
        <w:t xml:space="preserve"> </w:t>
      </w:r>
      <w:r w:rsidR="00BA34ED">
        <w:rPr>
          <w:i/>
        </w:rPr>
        <w:t>See</w:t>
      </w:r>
      <w:r w:rsidR="00BA34ED">
        <w:t xml:space="preserve"> GSO Satellite Operators Letter.</w:t>
      </w:r>
    </w:p>
  </w:footnote>
  <w:footnote w:id="31">
    <w:p w:rsidR="005D5A0C" w14:paraId="1189F75A" w14:textId="2E6EDCDE">
      <w:pPr>
        <w:pStyle w:val="FootnoteText"/>
      </w:pPr>
      <w:r>
        <w:rPr>
          <w:rStyle w:val="FootnoteReference"/>
        </w:rPr>
        <w:footnoteRef/>
      </w:r>
      <w:r>
        <w:t xml:space="preserve"> </w:t>
      </w:r>
      <w:r w:rsidRPr="00681BB9">
        <w:rPr>
          <w:i/>
        </w:rPr>
        <w:t xml:space="preserve">See </w:t>
      </w:r>
      <w:r w:rsidRPr="00C23C2A" w:rsidR="00C23C2A">
        <w:t>SpaceX Consolidated Opposition</w:t>
      </w:r>
      <w:r>
        <w:t xml:space="preserve"> at 4-6, n.13</w:t>
      </w:r>
      <w:r w:rsidR="00C23C2A">
        <w:t>.</w:t>
      </w:r>
    </w:p>
  </w:footnote>
  <w:footnote w:id="32">
    <w:p w:rsidR="00D840FF" w:rsidP="00357C01" w14:paraId="0CADF95A" w14:textId="5F16660B">
      <w:pPr>
        <w:pStyle w:val="FootnoteText"/>
      </w:pPr>
      <w:r>
        <w:rPr>
          <w:rStyle w:val="FootnoteReference"/>
        </w:rPr>
        <w:footnoteRef/>
      </w:r>
      <w:r w:rsidR="005D5A0C">
        <w:rPr>
          <w:i/>
        </w:rPr>
        <w:t>S</w:t>
      </w:r>
      <w:r>
        <w:rPr>
          <w:i/>
        </w:rPr>
        <w:t xml:space="preserve">ee </w:t>
      </w:r>
      <w:bookmarkStart w:id="16" w:name="_Hlk24637590"/>
      <w:r w:rsidRPr="00F053CB">
        <w:t>Letter</w:t>
      </w:r>
      <w:r w:rsidRPr="008373C1">
        <w:t xml:space="preserve"> from William M. Wiltshire, Counsel to SpaceX, to </w:t>
      </w:r>
      <w:bookmarkEnd w:id="16"/>
      <w:r w:rsidRPr="008373C1">
        <w:t xml:space="preserve">Suzanne Malloy, Petra Vorwig, and Noah Cherry, Counsel to SES/O3b, </w:t>
      </w:r>
      <w:r w:rsidRPr="008373C1">
        <w:rPr>
          <w:bCs/>
        </w:rPr>
        <w:t>IBFS File No. SAT-MOD-20181108-00083</w:t>
      </w:r>
      <w:r w:rsidRPr="008373C1">
        <w:t xml:space="preserve"> (filed Oct. 30, 2019)</w:t>
      </w:r>
      <w:r w:rsidR="00B51371">
        <w:t>;</w:t>
      </w:r>
      <w:r w:rsidR="00357C01">
        <w:t xml:space="preserve"> </w:t>
      </w:r>
      <w:r w:rsidRPr="00800E3B" w:rsidR="00800E3B">
        <w:t>Letter from William M. Wiltshire, Counsel to SpaceX, to</w:t>
      </w:r>
      <w:r w:rsidR="00800E3B">
        <w:t xml:space="preserve"> </w:t>
      </w:r>
      <w:r w:rsidRPr="00800E3B" w:rsidR="00800E3B">
        <w:t>Marlene H. Dortch</w:t>
      </w:r>
      <w:r w:rsidR="00800E3B">
        <w:t xml:space="preserve">, </w:t>
      </w:r>
      <w:r w:rsidRPr="00800E3B" w:rsidR="00800E3B">
        <w:t>Secretary</w:t>
      </w:r>
      <w:r w:rsidR="00800E3B">
        <w:t>,</w:t>
      </w:r>
      <w:r w:rsidRPr="00800E3B" w:rsidR="00800E3B">
        <w:t xml:space="preserve"> </w:t>
      </w:r>
      <w:r w:rsidR="00800E3B">
        <w:t xml:space="preserve">FCC, (filed Nov. 12, 2019). </w:t>
      </w:r>
      <w:r w:rsidR="00357C01">
        <w:t xml:space="preserve"> </w:t>
      </w:r>
    </w:p>
  </w:footnote>
  <w:footnote w:id="33">
    <w:p w:rsidR="00B51371" w:rsidRPr="00B51371" w14:paraId="6DC547E6" w14:textId="22AEE8B3">
      <w:pPr>
        <w:pStyle w:val="FootnoteText"/>
      </w:pPr>
      <w:r>
        <w:rPr>
          <w:rStyle w:val="FootnoteReference"/>
        </w:rPr>
        <w:footnoteRef/>
      </w:r>
      <w:r>
        <w:t xml:space="preserve"> </w:t>
      </w:r>
      <w:r w:rsidRPr="008D619C" w:rsidR="008D619C">
        <w:rPr>
          <w:i/>
          <w:iCs/>
        </w:rPr>
        <w:t>See</w:t>
      </w:r>
      <w:r w:rsidRPr="008D619C" w:rsidR="008D619C">
        <w:t xml:space="preserve"> Space Exploration Holdings, LLC, Request for Special Temporary Authority, IBFS File No. SAT-STA-20190924-00098 (granted Nov 7, 2019)</w:t>
      </w:r>
      <w:r w:rsidR="00B733D5">
        <w:t>,</w:t>
      </w:r>
      <w:r w:rsidR="001E3848">
        <w:t xml:space="preserve"> </w:t>
      </w:r>
      <w:r>
        <w:t>Condition</w:t>
      </w:r>
      <w:r w:rsidR="00E5017A">
        <w:t xml:space="preserve"> 5.</w:t>
      </w:r>
    </w:p>
  </w:footnote>
  <w:footnote w:id="34">
    <w:p w:rsidR="00FD161D" w:rsidP="00FD161D" w14:paraId="1F52411E" w14:textId="77864734">
      <w:pPr>
        <w:pStyle w:val="FootnoteText"/>
      </w:pPr>
      <w:r>
        <w:rPr>
          <w:rStyle w:val="FootnoteReference"/>
        </w:rPr>
        <w:footnoteRef/>
      </w:r>
      <w:r>
        <w:t xml:space="preserve"> </w:t>
      </w:r>
      <w:r w:rsidRPr="00FD161D">
        <w:t>SpaceX Consolidated Opposition</w:t>
      </w:r>
      <w:r>
        <w:t xml:space="preserve"> at 4 and n.8.</w:t>
      </w:r>
    </w:p>
  </w:footnote>
  <w:footnote w:id="35">
    <w:p w:rsidR="00E155F4" w:rsidRPr="00E155F4" w14:paraId="721C9AC5" w14:textId="66417ECC">
      <w:pPr>
        <w:pStyle w:val="FootnoteText"/>
      </w:pPr>
      <w:r>
        <w:rPr>
          <w:rStyle w:val="FootnoteReference"/>
        </w:rPr>
        <w:footnoteRef/>
      </w:r>
      <w:r>
        <w:t xml:space="preserve"> </w:t>
      </w:r>
      <w:r>
        <w:rPr>
          <w:i/>
        </w:rPr>
        <w:t>See</w:t>
      </w:r>
      <w:r>
        <w:t xml:space="preserve"> SES and O3</w:t>
      </w:r>
      <w:r w:rsidR="008A6E2C">
        <w:t>b</w:t>
      </w:r>
      <w:r w:rsidR="004F611F">
        <w:t xml:space="preserve"> R</w:t>
      </w:r>
      <w:r>
        <w:t>eply, at 5-6.</w:t>
      </w:r>
    </w:p>
  </w:footnote>
  <w:footnote w:id="36">
    <w:p w:rsidR="00E155F4" w:rsidRPr="003301A6" w14:paraId="2AE8ECCB" w14:textId="65004FFF">
      <w:pPr>
        <w:pStyle w:val="FootnoteText"/>
      </w:pPr>
      <w:r>
        <w:rPr>
          <w:rStyle w:val="FootnoteReference"/>
        </w:rPr>
        <w:footnoteRef/>
      </w:r>
      <w:r>
        <w:t xml:space="preserve"> </w:t>
      </w:r>
      <w:r>
        <w:rPr>
          <w:i/>
        </w:rPr>
        <w:t>Id.</w:t>
      </w:r>
      <w:r w:rsidR="003301A6">
        <w:rPr>
          <w:i/>
        </w:rPr>
        <w:t xml:space="preserve"> </w:t>
      </w:r>
      <w:r w:rsidR="003301A6">
        <w:t>(stating that the required personnel are in Egypt attending the World Radiocommunications Conference (WRC) 2019). WRC-2019 concluded on November 22, 2019.</w:t>
      </w:r>
    </w:p>
  </w:footnote>
  <w:footnote w:id="37">
    <w:p w:rsidR="00207A9C" w:rsidRPr="00296E7F" w:rsidP="00207A9C" w14:paraId="2E306E9B" w14:textId="731E77BD">
      <w:pPr>
        <w:pStyle w:val="FootnoteText"/>
      </w:pPr>
      <w:r>
        <w:rPr>
          <w:rStyle w:val="FootnoteReference"/>
        </w:rPr>
        <w:footnoteRef/>
      </w:r>
      <w:r>
        <w:t xml:space="preserve"> </w:t>
      </w:r>
      <w:r>
        <w:rPr>
          <w:i/>
        </w:rPr>
        <w:t xml:space="preserve">See </w:t>
      </w:r>
      <w:r w:rsidR="00B733D5">
        <w:rPr>
          <w:i/>
        </w:rPr>
        <w:t xml:space="preserve">SES/O3B Petition </w:t>
      </w:r>
      <w:r w:rsidR="002B5E39">
        <w:t>at 7-10</w:t>
      </w:r>
      <w:r>
        <w:t>.</w:t>
      </w:r>
    </w:p>
  </w:footnote>
  <w:footnote w:id="38">
    <w:p w:rsidR="00F61201" w:rsidRPr="00F61201" w14:paraId="74F46D5B" w14:textId="41F21989">
      <w:pPr>
        <w:pStyle w:val="FootnoteText"/>
      </w:pPr>
      <w:r w:rsidRPr="004C0DAD">
        <w:rPr>
          <w:rStyle w:val="FootnoteReference"/>
          <w:i/>
        </w:rPr>
        <w:footnoteRef/>
      </w:r>
      <w:r>
        <w:t xml:space="preserve"> </w:t>
      </w:r>
      <w:r w:rsidRPr="00EE0150" w:rsidR="00EE0150">
        <w:rPr>
          <w:i/>
        </w:rPr>
        <w:t xml:space="preserve">See </w:t>
      </w:r>
      <w:r w:rsidR="00B733D5">
        <w:rPr>
          <w:i/>
        </w:rPr>
        <w:t>id.</w:t>
      </w:r>
      <w:r w:rsidRPr="00675047" w:rsidR="00B733D5">
        <w:t xml:space="preserve"> </w:t>
      </w:r>
      <w:r w:rsidRPr="00675047" w:rsidR="00EE0150">
        <w:t>at 7-</w:t>
      </w:r>
      <w:r w:rsidR="00FF4D65">
        <w:t>9</w:t>
      </w:r>
      <w:r w:rsidRPr="00EE0150" w:rsidR="00EE0150">
        <w:rPr>
          <w:i/>
        </w:rPr>
        <w:t xml:space="preserve"> (citing SpaceX First Modification Order </w:t>
      </w:r>
      <w:r w:rsidRPr="00675047" w:rsidR="00EE0150">
        <w:t xml:space="preserve">at </w:t>
      </w:r>
      <w:r w:rsidR="004F611F">
        <w:t>p</w:t>
      </w:r>
      <w:r w:rsidRPr="00675047" w:rsidR="00EE0150">
        <w:t>aras</w:t>
      </w:r>
      <w:r w:rsidRPr="00EE0150" w:rsidR="00EE0150">
        <w:rPr>
          <w:i/>
        </w:rPr>
        <w:t>. 9, 12-15)</w:t>
      </w:r>
      <w:r w:rsidR="00EE0150">
        <w:t>.</w:t>
      </w:r>
    </w:p>
  </w:footnote>
  <w:footnote w:id="39">
    <w:p w:rsidR="002165F7" w:rsidRPr="003E6A1A" w:rsidP="002165F7" w14:paraId="4049FA99" w14:textId="77777777">
      <w:pPr>
        <w:pStyle w:val="FootnoteText"/>
      </w:pPr>
      <w:r>
        <w:rPr>
          <w:rStyle w:val="FootnoteReference"/>
        </w:rPr>
        <w:footnoteRef/>
      </w:r>
      <w:r>
        <w:t xml:space="preserve"> </w:t>
      </w:r>
      <w:r>
        <w:rPr>
          <w:i/>
        </w:rPr>
        <w:t>See</w:t>
      </w:r>
      <w:r>
        <w:t xml:space="preserve"> SpaceX Consolidated Opposition at 8.</w:t>
      </w:r>
    </w:p>
  </w:footnote>
  <w:footnote w:id="40">
    <w:p w:rsidR="004C079A" w:rsidRPr="00846645" w:rsidP="004C079A" w14:paraId="4BEC7821" w14:textId="3F0B76FD">
      <w:pPr>
        <w:pStyle w:val="FootnoteText"/>
        <w:rPr>
          <w:i/>
        </w:rPr>
      </w:pPr>
      <w:r w:rsidRPr="00846645">
        <w:rPr>
          <w:rStyle w:val="FootnoteReference"/>
          <w:i/>
        </w:rPr>
        <w:footnoteRef/>
      </w:r>
      <w:r w:rsidRPr="00846645">
        <w:rPr>
          <w:i/>
        </w:rPr>
        <w:t xml:space="preserve"> </w:t>
      </w:r>
      <w:r w:rsidRPr="00367F51" w:rsidR="00367F51">
        <w:rPr>
          <w:i/>
        </w:rPr>
        <w:t xml:space="preserve">See id. </w:t>
      </w:r>
      <w:r w:rsidRPr="00250115" w:rsidR="00367F51">
        <w:t>at 7-8</w:t>
      </w:r>
      <w:r w:rsidRPr="00367F51" w:rsidR="00367F51">
        <w:rPr>
          <w:i/>
        </w:rPr>
        <w:t>.</w:t>
      </w:r>
    </w:p>
  </w:footnote>
  <w:footnote w:id="41">
    <w:p w:rsidR="004C079A" w:rsidP="004C079A" w14:paraId="3451AC54" w14:textId="0AB1853D">
      <w:pPr>
        <w:pStyle w:val="FootnoteText"/>
      </w:pPr>
      <w:r w:rsidRPr="00846645">
        <w:rPr>
          <w:rStyle w:val="FootnoteReference"/>
          <w:i/>
        </w:rPr>
        <w:footnoteRef/>
      </w:r>
      <w:r w:rsidR="009E0263">
        <w:rPr>
          <w:i/>
        </w:rPr>
        <w:t xml:space="preserve"> </w:t>
      </w:r>
      <w:r w:rsidRPr="009E0263">
        <w:rPr>
          <w:i/>
        </w:rPr>
        <w:t>See</w:t>
      </w:r>
      <w:r w:rsidRPr="00846645">
        <w:rPr>
          <w:i/>
        </w:rPr>
        <w:t xml:space="preserve"> </w:t>
      </w:r>
      <w:r w:rsidRPr="00675047">
        <w:t>S</w:t>
      </w:r>
      <w:r>
        <w:t>ES/O3</w:t>
      </w:r>
      <w:r w:rsidR="00844DDE">
        <w:t>b</w:t>
      </w:r>
      <w:r>
        <w:t xml:space="preserve"> Reply at 3.</w:t>
      </w:r>
    </w:p>
  </w:footnote>
  <w:footnote w:id="42">
    <w:p w:rsidR="002165F7" w:rsidRPr="00153298" w:rsidP="002165F7" w14:paraId="711F8F14" w14:textId="09DA4422">
      <w:pPr>
        <w:pStyle w:val="FootnoteText"/>
      </w:pPr>
      <w:r>
        <w:rPr>
          <w:rStyle w:val="FootnoteReference"/>
        </w:rPr>
        <w:footnoteRef/>
      </w:r>
      <w:r>
        <w:t xml:space="preserve"> </w:t>
      </w:r>
      <w:r w:rsidRPr="009D4469">
        <w:rPr>
          <w:i/>
        </w:rPr>
        <w:t xml:space="preserve">See </w:t>
      </w:r>
      <w:r w:rsidR="00B733D5">
        <w:rPr>
          <w:i/>
        </w:rPr>
        <w:t xml:space="preserve">id. </w:t>
      </w:r>
      <w:r>
        <w:t>at 3-4 (citing SES/O3b Petition at 9).</w:t>
      </w:r>
    </w:p>
  </w:footnote>
  <w:footnote w:id="43">
    <w:p w:rsidR="001C19D1" w:rsidRPr="001C19D1" w14:paraId="3475DACD" w14:textId="3F5B3B52">
      <w:pPr>
        <w:pStyle w:val="FootnoteText"/>
      </w:pPr>
      <w:r>
        <w:rPr>
          <w:rStyle w:val="FootnoteReference"/>
        </w:rPr>
        <w:footnoteRef/>
      </w:r>
      <w:r>
        <w:t xml:space="preserve"> </w:t>
      </w:r>
      <w:r w:rsidRPr="009D4469" w:rsidR="0028718A">
        <w:rPr>
          <w:i/>
        </w:rPr>
        <w:t>See</w:t>
      </w:r>
      <w:r w:rsidR="0028718A">
        <w:t xml:space="preserve"> </w:t>
      </w:r>
      <w:r w:rsidRPr="0028718A" w:rsidR="00F5769E">
        <w:t>SpaceX</w:t>
      </w:r>
      <w:r w:rsidR="00F5769E">
        <w:t xml:space="preserve"> Consolidated Opposition</w:t>
      </w:r>
      <w:r>
        <w:t xml:space="preserve"> at 8.</w:t>
      </w:r>
      <w:r w:rsidR="002B5E39">
        <w:t xml:space="preserve">  </w:t>
      </w:r>
      <w:r w:rsidRPr="002B5E39" w:rsidR="002B5E39">
        <w:t>SES/O3</w:t>
      </w:r>
      <w:r w:rsidR="00844DDE">
        <w:t>b</w:t>
      </w:r>
      <w:r w:rsidRPr="002B5E39" w:rsidR="002B5E39">
        <w:t xml:space="preserve"> replies that it does not need to provide a reason for why SpaceX’s system would be more susceptible to interference, because it is not SES/O3b’s burden to conduct that analysis for SpaceX.</w:t>
      </w:r>
      <w:r w:rsidR="0067701B">
        <w:t xml:space="preserve"> </w:t>
      </w:r>
      <w:r w:rsidR="002B5E39">
        <w:t xml:space="preserve"> </w:t>
      </w:r>
      <w:r w:rsidRPr="002B5E39" w:rsidR="002B5E39">
        <w:rPr>
          <w:i/>
        </w:rPr>
        <w:t>See</w:t>
      </w:r>
      <w:r w:rsidRPr="002B5E39" w:rsidR="002B5E39">
        <w:t xml:space="preserve"> SES/O3</w:t>
      </w:r>
      <w:r w:rsidR="00844DDE">
        <w:t>b</w:t>
      </w:r>
      <w:r w:rsidRPr="002B5E39" w:rsidR="002B5E39">
        <w:t xml:space="preserve"> Reply at 3.</w:t>
      </w:r>
      <w:r w:rsidR="002B5E39">
        <w:t xml:space="preserve"> </w:t>
      </w:r>
    </w:p>
  </w:footnote>
  <w:footnote w:id="44">
    <w:p w:rsidR="008F5B0C" w14:paraId="0AE1E01F" w14:textId="649BD6FE">
      <w:pPr>
        <w:pStyle w:val="FootnoteText"/>
      </w:pPr>
      <w:r>
        <w:rPr>
          <w:rStyle w:val="FootnoteReference"/>
        </w:rPr>
        <w:footnoteRef/>
      </w:r>
      <w:r>
        <w:t xml:space="preserve"> </w:t>
      </w:r>
      <w:r w:rsidR="002C353A">
        <w:rPr>
          <w:i/>
        </w:rPr>
        <w:t>See, e.g.</w:t>
      </w:r>
      <w:r w:rsidR="002C353A">
        <w:t>,</w:t>
      </w:r>
      <w:r w:rsidR="005954A4">
        <w:t xml:space="preserve"> OneWeb Petition for Reconsideration</w:t>
      </w:r>
      <w:r w:rsidRPr="00882343" w:rsidR="00882343">
        <w:t>.</w:t>
      </w:r>
    </w:p>
  </w:footnote>
  <w:footnote w:id="45">
    <w:p w:rsidR="00A434AB" w:rsidP="00A434AB" w14:paraId="6A26119C" w14:textId="77776A8F">
      <w:pPr>
        <w:pStyle w:val="FootnoteText"/>
      </w:pPr>
      <w:r>
        <w:rPr>
          <w:rStyle w:val="FootnoteReference"/>
        </w:rPr>
        <w:footnoteRef/>
      </w:r>
      <w:r>
        <w:t xml:space="preserve"> </w:t>
      </w:r>
      <w:r w:rsidRPr="001B01DC">
        <w:rPr>
          <w:i/>
        </w:rPr>
        <w:t xml:space="preserve">See </w:t>
      </w:r>
      <w:r w:rsidR="004E066E">
        <w:t>SpaceX Second Modification Application, Legal Narrative at 1.</w:t>
      </w:r>
    </w:p>
  </w:footnote>
  <w:footnote w:id="46">
    <w:p w:rsidR="00A434AB" w:rsidP="00A434AB" w14:paraId="517E76A5" w14:textId="77777777">
      <w:pPr>
        <w:pStyle w:val="FootnoteText"/>
      </w:pPr>
      <w:r>
        <w:rPr>
          <w:rStyle w:val="FootnoteReference"/>
        </w:rPr>
        <w:footnoteRef/>
      </w:r>
      <w:r>
        <w:t xml:space="preserve"> 47 CFR § 1.3.</w:t>
      </w:r>
    </w:p>
  </w:footnote>
  <w:footnote w:id="47">
    <w:p w:rsidR="00A434AB" w:rsidP="00A434AB" w14:paraId="7B9A8422" w14:textId="77777777">
      <w:pPr>
        <w:pStyle w:val="FootnoteText"/>
      </w:pPr>
      <w:r>
        <w:rPr>
          <w:rStyle w:val="FootnoteReference"/>
        </w:rPr>
        <w:footnoteRef/>
      </w:r>
      <w:r>
        <w:t xml:space="preserve"> </w:t>
      </w:r>
      <w:r>
        <w:rPr>
          <w:i/>
        </w:rPr>
        <w:t>Northeast Cellular Tel. Co. v. FCC</w:t>
      </w:r>
      <w:r>
        <w:t>, 897 F.2d 1164, 1166 (D.C. Cir. 1990).</w:t>
      </w:r>
    </w:p>
  </w:footnote>
  <w:footnote w:id="48">
    <w:p w:rsidR="00A434AB" w:rsidP="00A434AB" w14:paraId="71CC17A4"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49">
    <w:p w:rsidR="00A434AB" w:rsidP="00A434AB" w14:paraId="3DB3E231" w14:textId="77777777">
      <w:pPr>
        <w:pStyle w:val="FootnoteText"/>
      </w:pPr>
      <w:r>
        <w:rPr>
          <w:rStyle w:val="FootnoteReference"/>
        </w:rPr>
        <w:footnoteRef/>
      </w:r>
      <w:r>
        <w:t xml:space="preserve"> </w:t>
      </w:r>
      <w:r>
        <w:rPr>
          <w:i/>
        </w:rPr>
        <w:t>Northeast Cellular</w:t>
      </w:r>
      <w:r>
        <w:t>, 897 F.2d at 1166.</w:t>
      </w:r>
    </w:p>
  </w:footnote>
  <w:footnote w:id="50">
    <w:p w:rsidR="00A434AB" w:rsidRPr="00BC5ED6" w:rsidP="00A434AB" w14:paraId="38F95621" w14:textId="77777777">
      <w:pPr>
        <w:pStyle w:val="FootnoteText"/>
      </w:pPr>
      <w:r>
        <w:rPr>
          <w:rStyle w:val="FootnoteReference"/>
        </w:rPr>
        <w:footnoteRef/>
      </w:r>
      <w:r>
        <w:t xml:space="preserve"> </w:t>
      </w:r>
      <w:r>
        <w:rPr>
          <w:i/>
        </w:rPr>
        <w:t>See</w:t>
      </w:r>
      <w:r>
        <w:t xml:space="preserve"> </w:t>
      </w:r>
      <w:r w:rsidRPr="00BC5ED6">
        <w:t xml:space="preserve">SpaceX </w:t>
      </w:r>
      <w:r>
        <w:t xml:space="preserve">Second </w:t>
      </w:r>
      <w:r w:rsidRPr="00BC5ED6">
        <w:t>Modification Application</w:t>
      </w:r>
      <w:r>
        <w:t>, Waiver Requests.</w:t>
      </w:r>
    </w:p>
  </w:footnote>
  <w:footnote w:id="51">
    <w:p w:rsidR="001D3856" w14:paraId="0660356A" w14:textId="611936BE">
      <w:pPr>
        <w:pStyle w:val="FootnoteText"/>
      </w:pPr>
      <w:r>
        <w:rPr>
          <w:rStyle w:val="FootnoteReference"/>
        </w:rPr>
        <w:footnoteRef/>
      </w:r>
      <w:r>
        <w:t xml:space="preserve"> </w:t>
      </w:r>
      <w:r w:rsidR="00800069">
        <w:t>As with SpaceX’s earlier modification,</w:t>
      </w:r>
      <w:r w:rsidR="00C13E31">
        <w:t xml:space="preserve"> </w:t>
      </w:r>
      <w:r w:rsidR="00800069">
        <w:t>w</w:t>
      </w:r>
      <w:r w:rsidR="007B2114">
        <w:t>e note that m</w:t>
      </w:r>
      <w:r w:rsidR="00763F8C">
        <w:t>ost</w:t>
      </w:r>
      <w:r w:rsidR="007B2114">
        <w:t xml:space="preserve"> of the conditions </w:t>
      </w:r>
      <w:r w:rsidR="00E05CE4">
        <w:t>outlined below</w:t>
      </w:r>
      <w:r w:rsidR="000D0F9D">
        <w:t xml:space="preserve"> </w:t>
      </w:r>
      <w:r w:rsidR="00763F8C">
        <w:t xml:space="preserve">are included in the </w:t>
      </w:r>
      <w:r w:rsidRPr="009C1BAC" w:rsidR="00763F8C">
        <w:rPr>
          <w:i/>
        </w:rPr>
        <w:t>SpaceX Authorization</w:t>
      </w:r>
      <w:r w:rsidR="00CD2FEE">
        <w:t xml:space="preserve">.  </w:t>
      </w:r>
      <w:r w:rsidR="00763F8C">
        <w:t xml:space="preserve">The International Bureau finds it appropriate to </w:t>
      </w:r>
      <w:r w:rsidR="00A0074B">
        <w:t xml:space="preserve">include </w:t>
      </w:r>
      <w:r w:rsidR="00763F8C">
        <w:t xml:space="preserve">these conditions in SpaceX’s modification order as they continue to </w:t>
      </w:r>
      <w:r w:rsidR="007B2114">
        <w:t xml:space="preserve">apply to </w:t>
      </w:r>
      <w:r w:rsidR="000D0F9D">
        <w:t>SpaceX’s entire constellation.</w:t>
      </w:r>
      <w:r w:rsidR="00CD2FEE">
        <w:t xml:space="preserve">  Certain conditions were modified as needed to reflect changes based on our approval of modified system parameters.</w:t>
      </w:r>
    </w:p>
  </w:footnote>
  <w:footnote w:id="52">
    <w:p w:rsidR="0040070A" w:rsidP="00A7032A" w14:paraId="192A800E" w14:textId="68FB8F79">
      <w:pPr>
        <w:pStyle w:val="FootnoteText"/>
      </w:pPr>
      <w:r>
        <w:rPr>
          <w:rStyle w:val="FootnoteReference"/>
        </w:rPr>
        <w:footnoteRef/>
      </w:r>
      <w:r>
        <w:t xml:space="preserve"> </w:t>
      </w:r>
      <w:bookmarkStart w:id="19" w:name="_Hlk27573818"/>
      <w:r>
        <w:t>We note that SpaceX filed the required bond on April 23, 2018</w:t>
      </w:r>
      <w:r w:rsidR="00A7032A">
        <w:t xml:space="preserve"> and filed a rider to that bond on March 25, 2019 that</w:t>
      </w:r>
      <w:r w:rsidRPr="00A7032A" w:rsidR="00A7032A">
        <w:t xml:space="preserve"> increases the maximum penal sum of the original surety bond</w:t>
      </w:r>
      <w:r w:rsidR="00A7032A">
        <w:t xml:space="preserve"> </w:t>
      </w:r>
      <w:r w:rsidRPr="00A7032A" w:rsidR="00A7032A">
        <w:t>in compliance with the Commission’s rules and the terms of SpaceX’s authorization</w:t>
      </w:r>
      <w:r w:rsidR="00612D4C">
        <w:t>.</w:t>
      </w:r>
      <w:bookmarkEnd w:id="19"/>
    </w:p>
  </w:footnote>
  <w:footnote w:id="53">
    <w:p w:rsidR="00AB328D" w14:paraId="198818B4" w14:textId="473A403F">
      <w:pPr>
        <w:pStyle w:val="FootnoteText"/>
      </w:pPr>
      <w:r>
        <w:rPr>
          <w:rStyle w:val="FootnoteReference"/>
        </w:rPr>
        <w:footnoteRef/>
      </w:r>
      <w:r>
        <w:t xml:space="preserve"> </w:t>
      </w:r>
      <w:r w:rsidRPr="00AB328D">
        <w:t xml:space="preserve">We note that the </w:t>
      </w:r>
      <w:r w:rsidRPr="00AB328D">
        <w:rPr>
          <w:i/>
          <w:iCs/>
        </w:rPr>
        <w:t xml:space="preserve">NGSO FSS Order </w:t>
      </w:r>
      <w:r w:rsidRPr="00AB328D">
        <w:t>modified section 25.164(b) to offer additional flexibility and requires launch and operation of 50 percent of an authorized system within six years of grant and the remaining satellites within nine years of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BC0" w:rsidP="00810B6F" w14:paraId="33EDD8EF" w14:textId="49B82E83">
    <w:pPr>
      <w:pStyle w:val="Header"/>
      <w:rPr>
        <w:b w:val="0"/>
      </w:rPr>
    </w:pPr>
    <w:r>
      <w:tab/>
      <w:t>Federal Communications Commission</w:t>
    </w:r>
    <w:r>
      <w:tab/>
    </w:r>
    <w:r w:rsidR="00E05CE4">
      <w:t>DA 19</w:t>
    </w:r>
    <w:r w:rsidR="008154C7">
      <w:t>-1294</w:t>
    </w:r>
  </w:p>
  <w:p w:rsidR="00A85BC0" w14:paraId="46A80FDB" w14:textId="67BABAF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85BC0" w14:paraId="387525E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5BC0" w:rsidP="00810B6F" w14:paraId="73AB810D" w14:textId="56D9EA8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05CE4">
      <w:rPr>
        <w:spacing w:val="-2"/>
      </w:rPr>
      <w:t>DA 19-</w:t>
    </w:r>
    <w:r w:rsidR="008154C7">
      <w:rPr>
        <w:spacing w:val="-2"/>
      </w:rPr>
      <w:t>1294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C7720A"/>
    <w:multiLevelType w:val="hybridMultilevel"/>
    <w:tmpl w:val="58F87D40"/>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3652FA"/>
    <w:multiLevelType w:val="hybridMultilevel"/>
    <w:tmpl w:val="AF5ACADD"/>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
  </w:num>
  <w:num w:numId="23">
    <w:abstractNumId w:val="8"/>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E0"/>
    <w:rsid w:val="000014A3"/>
    <w:rsid w:val="00001CBB"/>
    <w:rsid w:val="00002D9C"/>
    <w:rsid w:val="00005CA7"/>
    <w:rsid w:val="00006353"/>
    <w:rsid w:val="000071BF"/>
    <w:rsid w:val="00007593"/>
    <w:rsid w:val="00010151"/>
    <w:rsid w:val="00011AF3"/>
    <w:rsid w:val="00012835"/>
    <w:rsid w:val="00012A05"/>
    <w:rsid w:val="00013221"/>
    <w:rsid w:val="00013D38"/>
    <w:rsid w:val="000154AD"/>
    <w:rsid w:val="000158E0"/>
    <w:rsid w:val="00017244"/>
    <w:rsid w:val="00020106"/>
    <w:rsid w:val="0002120F"/>
    <w:rsid w:val="0002463E"/>
    <w:rsid w:val="00025D51"/>
    <w:rsid w:val="0002708C"/>
    <w:rsid w:val="000274CB"/>
    <w:rsid w:val="00027836"/>
    <w:rsid w:val="00027C9B"/>
    <w:rsid w:val="00030F0A"/>
    <w:rsid w:val="0003233E"/>
    <w:rsid w:val="000324C8"/>
    <w:rsid w:val="000330D8"/>
    <w:rsid w:val="00034932"/>
    <w:rsid w:val="00035079"/>
    <w:rsid w:val="00035B43"/>
    <w:rsid w:val="00035CD8"/>
    <w:rsid w:val="00036039"/>
    <w:rsid w:val="000369B7"/>
    <w:rsid w:val="00037735"/>
    <w:rsid w:val="00037973"/>
    <w:rsid w:val="00037F90"/>
    <w:rsid w:val="00040291"/>
    <w:rsid w:val="000422CE"/>
    <w:rsid w:val="00043A5D"/>
    <w:rsid w:val="00044210"/>
    <w:rsid w:val="0004472F"/>
    <w:rsid w:val="00046D0F"/>
    <w:rsid w:val="00050457"/>
    <w:rsid w:val="0005077A"/>
    <w:rsid w:val="00051C39"/>
    <w:rsid w:val="00054B86"/>
    <w:rsid w:val="00054F43"/>
    <w:rsid w:val="00056009"/>
    <w:rsid w:val="00056566"/>
    <w:rsid w:val="00061B89"/>
    <w:rsid w:val="0006220C"/>
    <w:rsid w:val="00064307"/>
    <w:rsid w:val="00064501"/>
    <w:rsid w:val="00066843"/>
    <w:rsid w:val="0007025A"/>
    <w:rsid w:val="00073000"/>
    <w:rsid w:val="00073502"/>
    <w:rsid w:val="00073BD6"/>
    <w:rsid w:val="0007509B"/>
    <w:rsid w:val="00076110"/>
    <w:rsid w:val="0007638B"/>
    <w:rsid w:val="0008059B"/>
    <w:rsid w:val="000807AB"/>
    <w:rsid w:val="00081B9E"/>
    <w:rsid w:val="000827A9"/>
    <w:rsid w:val="0008286A"/>
    <w:rsid w:val="00082999"/>
    <w:rsid w:val="00083C66"/>
    <w:rsid w:val="000868E3"/>
    <w:rsid w:val="00086BB5"/>
    <w:rsid w:val="000875BF"/>
    <w:rsid w:val="00087FDC"/>
    <w:rsid w:val="00091399"/>
    <w:rsid w:val="000916BB"/>
    <w:rsid w:val="00091C88"/>
    <w:rsid w:val="00091ED7"/>
    <w:rsid w:val="00092481"/>
    <w:rsid w:val="000933D6"/>
    <w:rsid w:val="000938F6"/>
    <w:rsid w:val="00094BE6"/>
    <w:rsid w:val="000957BB"/>
    <w:rsid w:val="00096D8C"/>
    <w:rsid w:val="000975EE"/>
    <w:rsid w:val="000A05AD"/>
    <w:rsid w:val="000A427D"/>
    <w:rsid w:val="000A7C04"/>
    <w:rsid w:val="000B0300"/>
    <w:rsid w:val="000B120F"/>
    <w:rsid w:val="000B2C87"/>
    <w:rsid w:val="000B5A75"/>
    <w:rsid w:val="000B7698"/>
    <w:rsid w:val="000B76C5"/>
    <w:rsid w:val="000C0423"/>
    <w:rsid w:val="000C0B65"/>
    <w:rsid w:val="000C0BF0"/>
    <w:rsid w:val="000C10B0"/>
    <w:rsid w:val="000C243C"/>
    <w:rsid w:val="000C2CA4"/>
    <w:rsid w:val="000C3D68"/>
    <w:rsid w:val="000C4282"/>
    <w:rsid w:val="000C455F"/>
    <w:rsid w:val="000C5DF7"/>
    <w:rsid w:val="000D0D7D"/>
    <w:rsid w:val="000D0F9D"/>
    <w:rsid w:val="000D1C62"/>
    <w:rsid w:val="000D23E7"/>
    <w:rsid w:val="000D24FD"/>
    <w:rsid w:val="000D255F"/>
    <w:rsid w:val="000D2DF4"/>
    <w:rsid w:val="000D364D"/>
    <w:rsid w:val="000D411A"/>
    <w:rsid w:val="000D4130"/>
    <w:rsid w:val="000D69BE"/>
    <w:rsid w:val="000D6D4A"/>
    <w:rsid w:val="000E05FE"/>
    <w:rsid w:val="000E1177"/>
    <w:rsid w:val="000E14AD"/>
    <w:rsid w:val="000E272C"/>
    <w:rsid w:val="000E32D0"/>
    <w:rsid w:val="000E38B3"/>
    <w:rsid w:val="000E3D42"/>
    <w:rsid w:val="000E418C"/>
    <w:rsid w:val="000E4E09"/>
    <w:rsid w:val="000E6D1F"/>
    <w:rsid w:val="000F01E7"/>
    <w:rsid w:val="000F0233"/>
    <w:rsid w:val="000F1495"/>
    <w:rsid w:val="000F34FF"/>
    <w:rsid w:val="000F353B"/>
    <w:rsid w:val="000F6DD0"/>
    <w:rsid w:val="000F70F3"/>
    <w:rsid w:val="000F7BC0"/>
    <w:rsid w:val="001000E6"/>
    <w:rsid w:val="00100C7A"/>
    <w:rsid w:val="00104023"/>
    <w:rsid w:val="00104E19"/>
    <w:rsid w:val="00104F86"/>
    <w:rsid w:val="00105567"/>
    <w:rsid w:val="00105A95"/>
    <w:rsid w:val="00105E2C"/>
    <w:rsid w:val="001062FA"/>
    <w:rsid w:val="00107DDA"/>
    <w:rsid w:val="00107F3A"/>
    <w:rsid w:val="00110EE2"/>
    <w:rsid w:val="001118DE"/>
    <w:rsid w:val="00113408"/>
    <w:rsid w:val="00115E69"/>
    <w:rsid w:val="00116CA1"/>
    <w:rsid w:val="00117076"/>
    <w:rsid w:val="00117C65"/>
    <w:rsid w:val="00120EB4"/>
    <w:rsid w:val="001219D8"/>
    <w:rsid w:val="00121E64"/>
    <w:rsid w:val="001227C7"/>
    <w:rsid w:val="00122ADC"/>
    <w:rsid w:val="00122BD5"/>
    <w:rsid w:val="0012332A"/>
    <w:rsid w:val="00124DA6"/>
    <w:rsid w:val="00125421"/>
    <w:rsid w:val="001306D8"/>
    <w:rsid w:val="0013145A"/>
    <w:rsid w:val="00131A81"/>
    <w:rsid w:val="0013271B"/>
    <w:rsid w:val="00133F79"/>
    <w:rsid w:val="0013566A"/>
    <w:rsid w:val="00136233"/>
    <w:rsid w:val="00136D55"/>
    <w:rsid w:val="00142E3E"/>
    <w:rsid w:val="001439D0"/>
    <w:rsid w:val="001462A0"/>
    <w:rsid w:val="00146AB8"/>
    <w:rsid w:val="00147D35"/>
    <w:rsid w:val="00151274"/>
    <w:rsid w:val="001512BF"/>
    <w:rsid w:val="0015295A"/>
    <w:rsid w:val="00153298"/>
    <w:rsid w:val="001542A5"/>
    <w:rsid w:val="00155750"/>
    <w:rsid w:val="00155B5E"/>
    <w:rsid w:val="00155E15"/>
    <w:rsid w:val="00156032"/>
    <w:rsid w:val="0016068E"/>
    <w:rsid w:val="00160FC2"/>
    <w:rsid w:val="00161BA9"/>
    <w:rsid w:val="001624EE"/>
    <w:rsid w:val="00162D9D"/>
    <w:rsid w:val="0016351B"/>
    <w:rsid w:val="00163791"/>
    <w:rsid w:val="00165A50"/>
    <w:rsid w:val="00166737"/>
    <w:rsid w:val="001710DD"/>
    <w:rsid w:val="0017183D"/>
    <w:rsid w:val="001719DB"/>
    <w:rsid w:val="00175C14"/>
    <w:rsid w:val="00176ADD"/>
    <w:rsid w:val="00176D11"/>
    <w:rsid w:val="00176F26"/>
    <w:rsid w:val="00177900"/>
    <w:rsid w:val="00177ED5"/>
    <w:rsid w:val="00177EF9"/>
    <w:rsid w:val="00180F2C"/>
    <w:rsid w:val="001817C9"/>
    <w:rsid w:val="00181DA1"/>
    <w:rsid w:val="001859A3"/>
    <w:rsid w:val="001859F1"/>
    <w:rsid w:val="0018611E"/>
    <w:rsid w:val="001876F8"/>
    <w:rsid w:val="00187E66"/>
    <w:rsid w:val="001919C5"/>
    <w:rsid w:val="00191F29"/>
    <w:rsid w:val="001926BB"/>
    <w:rsid w:val="00194A66"/>
    <w:rsid w:val="00194C28"/>
    <w:rsid w:val="00194F4E"/>
    <w:rsid w:val="00196009"/>
    <w:rsid w:val="001966D2"/>
    <w:rsid w:val="001A0AE7"/>
    <w:rsid w:val="001A1933"/>
    <w:rsid w:val="001A27A1"/>
    <w:rsid w:val="001A2CBB"/>
    <w:rsid w:val="001A38CA"/>
    <w:rsid w:val="001A509D"/>
    <w:rsid w:val="001A5256"/>
    <w:rsid w:val="001A6605"/>
    <w:rsid w:val="001B01DC"/>
    <w:rsid w:val="001B05CF"/>
    <w:rsid w:val="001B0A4E"/>
    <w:rsid w:val="001B0DC5"/>
    <w:rsid w:val="001B159A"/>
    <w:rsid w:val="001B1E7E"/>
    <w:rsid w:val="001B499E"/>
    <w:rsid w:val="001B4FFF"/>
    <w:rsid w:val="001B54EE"/>
    <w:rsid w:val="001B5CA6"/>
    <w:rsid w:val="001B629F"/>
    <w:rsid w:val="001C0C17"/>
    <w:rsid w:val="001C1236"/>
    <w:rsid w:val="001C19D1"/>
    <w:rsid w:val="001C1EEF"/>
    <w:rsid w:val="001C5657"/>
    <w:rsid w:val="001C6586"/>
    <w:rsid w:val="001C6C2A"/>
    <w:rsid w:val="001D154C"/>
    <w:rsid w:val="001D2CA8"/>
    <w:rsid w:val="001D2D18"/>
    <w:rsid w:val="001D3856"/>
    <w:rsid w:val="001D48F0"/>
    <w:rsid w:val="001D5AFD"/>
    <w:rsid w:val="001D5DF6"/>
    <w:rsid w:val="001D6BCF"/>
    <w:rsid w:val="001D73A5"/>
    <w:rsid w:val="001E01CA"/>
    <w:rsid w:val="001E039F"/>
    <w:rsid w:val="001E0FAA"/>
    <w:rsid w:val="001E1544"/>
    <w:rsid w:val="001E1BED"/>
    <w:rsid w:val="001E35BA"/>
    <w:rsid w:val="001E3848"/>
    <w:rsid w:val="001E3B2E"/>
    <w:rsid w:val="001E5C0B"/>
    <w:rsid w:val="001E796E"/>
    <w:rsid w:val="001F0435"/>
    <w:rsid w:val="001F0FC4"/>
    <w:rsid w:val="001F4094"/>
    <w:rsid w:val="001F47B8"/>
    <w:rsid w:val="001F52B7"/>
    <w:rsid w:val="002024E2"/>
    <w:rsid w:val="00203C01"/>
    <w:rsid w:val="00203D17"/>
    <w:rsid w:val="00204282"/>
    <w:rsid w:val="00204664"/>
    <w:rsid w:val="00204A63"/>
    <w:rsid w:val="00204FDA"/>
    <w:rsid w:val="00205B7E"/>
    <w:rsid w:val="00206E05"/>
    <w:rsid w:val="00206E9A"/>
    <w:rsid w:val="00207A66"/>
    <w:rsid w:val="00207A9C"/>
    <w:rsid w:val="00213D22"/>
    <w:rsid w:val="00216547"/>
    <w:rsid w:val="002165F7"/>
    <w:rsid w:val="0022153E"/>
    <w:rsid w:val="00221857"/>
    <w:rsid w:val="00222A50"/>
    <w:rsid w:val="00223557"/>
    <w:rsid w:val="00223A61"/>
    <w:rsid w:val="002269E7"/>
    <w:rsid w:val="0023005E"/>
    <w:rsid w:val="00230190"/>
    <w:rsid w:val="00230DA9"/>
    <w:rsid w:val="00231E42"/>
    <w:rsid w:val="00232B3E"/>
    <w:rsid w:val="0023369D"/>
    <w:rsid w:val="00236919"/>
    <w:rsid w:val="00241EED"/>
    <w:rsid w:val="0024238F"/>
    <w:rsid w:val="00243C10"/>
    <w:rsid w:val="00243F0B"/>
    <w:rsid w:val="00244F3F"/>
    <w:rsid w:val="002465F8"/>
    <w:rsid w:val="00246AC1"/>
    <w:rsid w:val="00246C80"/>
    <w:rsid w:val="00246DD3"/>
    <w:rsid w:val="00250115"/>
    <w:rsid w:val="0025238B"/>
    <w:rsid w:val="00253E82"/>
    <w:rsid w:val="00254F85"/>
    <w:rsid w:val="0025528F"/>
    <w:rsid w:val="0025644D"/>
    <w:rsid w:val="0025679E"/>
    <w:rsid w:val="00260D85"/>
    <w:rsid w:val="00261CAA"/>
    <w:rsid w:val="00262D10"/>
    <w:rsid w:val="00262DB8"/>
    <w:rsid w:val="002632D1"/>
    <w:rsid w:val="00265DE0"/>
    <w:rsid w:val="0026611D"/>
    <w:rsid w:val="00266EE6"/>
    <w:rsid w:val="002676FA"/>
    <w:rsid w:val="00267CA9"/>
    <w:rsid w:val="00270000"/>
    <w:rsid w:val="00270BE9"/>
    <w:rsid w:val="00272459"/>
    <w:rsid w:val="0027327C"/>
    <w:rsid w:val="002738ED"/>
    <w:rsid w:val="00273921"/>
    <w:rsid w:val="002739F0"/>
    <w:rsid w:val="00273D83"/>
    <w:rsid w:val="00275CF5"/>
    <w:rsid w:val="002770DA"/>
    <w:rsid w:val="00281AD9"/>
    <w:rsid w:val="00282AD0"/>
    <w:rsid w:val="0028301F"/>
    <w:rsid w:val="0028389B"/>
    <w:rsid w:val="00284EAB"/>
    <w:rsid w:val="00285017"/>
    <w:rsid w:val="00286043"/>
    <w:rsid w:val="002863ED"/>
    <w:rsid w:val="002866EF"/>
    <w:rsid w:val="002870AA"/>
    <w:rsid w:val="0028718A"/>
    <w:rsid w:val="00287F98"/>
    <w:rsid w:val="002919A9"/>
    <w:rsid w:val="002951C7"/>
    <w:rsid w:val="00295792"/>
    <w:rsid w:val="0029690E"/>
    <w:rsid w:val="00296B92"/>
    <w:rsid w:val="00296E7F"/>
    <w:rsid w:val="00297818"/>
    <w:rsid w:val="002A01BA"/>
    <w:rsid w:val="002A0430"/>
    <w:rsid w:val="002A071B"/>
    <w:rsid w:val="002A0894"/>
    <w:rsid w:val="002A2D2E"/>
    <w:rsid w:val="002A54C0"/>
    <w:rsid w:val="002A5AE2"/>
    <w:rsid w:val="002A5E55"/>
    <w:rsid w:val="002B078C"/>
    <w:rsid w:val="002B11A5"/>
    <w:rsid w:val="002B13C2"/>
    <w:rsid w:val="002B5E39"/>
    <w:rsid w:val="002C00E8"/>
    <w:rsid w:val="002C028B"/>
    <w:rsid w:val="002C0BB7"/>
    <w:rsid w:val="002C353A"/>
    <w:rsid w:val="002C5427"/>
    <w:rsid w:val="002C5DDB"/>
    <w:rsid w:val="002C7CF5"/>
    <w:rsid w:val="002C7E87"/>
    <w:rsid w:val="002C7FFD"/>
    <w:rsid w:val="002D1498"/>
    <w:rsid w:val="002D3ABA"/>
    <w:rsid w:val="002D46A0"/>
    <w:rsid w:val="002D70AD"/>
    <w:rsid w:val="002D743C"/>
    <w:rsid w:val="002E1419"/>
    <w:rsid w:val="002E1A4E"/>
    <w:rsid w:val="002E63DB"/>
    <w:rsid w:val="002E6775"/>
    <w:rsid w:val="002E6935"/>
    <w:rsid w:val="002E69F1"/>
    <w:rsid w:val="002E7FFE"/>
    <w:rsid w:val="002F0078"/>
    <w:rsid w:val="002F060C"/>
    <w:rsid w:val="002F18A4"/>
    <w:rsid w:val="002F317B"/>
    <w:rsid w:val="002F328C"/>
    <w:rsid w:val="002F4FCB"/>
    <w:rsid w:val="002F6BA9"/>
    <w:rsid w:val="002F6E66"/>
    <w:rsid w:val="002F70C9"/>
    <w:rsid w:val="002F7590"/>
    <w:rsid w:val="002F7724"/>
    <w:rsid w:val="00301C45"/>
    <w:rsid w:val="00301EE7"/>
    <w:rsid w:val="0030462D"/>
    <w:rsid w:val="003051F3"/>
    <w:rsid w:val="00306A4C"/>
    <w:rsid w:val="00306C34"/>
    <w:rsid w:val="003077C7"/>
    <w:rsid w:val="00307FAB"/>
    <w:rsid w:val="00311191"/>
    <w:rsid w:val="00311C20"/>
    <w:rsid w:val="00312326"/>
    <w:rsid w:val="003130E6"/>
    <w:rsid w:val="00313801"/>
    <w:rsid w:val="003153EA"/>
    <w:rsid w:val="00315B80"/>
    <w:rsid w:val="00316E05"/>
    <w:rsid w:val="003176C2"/>
    <w:rsid w:val="00321C05"/>
    <w:rsid w:val="00322914"/>
    <w:rsid w:val="003236E3"/>
    <w:rsid w:val="003237D2"/>
    <w:rsid w:val="003249B8"/>
    <w:rsid w:val="00326FC9"/>
    <w:rsid w:val="00327D9D"/>
    <w:rsid w:val="0033004A"/>
    <w:rsid w:val="003301A6"/>
    <w:rsid w:val="00331FDE"/>
    <w:rsid w:val="00332C48"/>
    <w:rsid w:val="003346CA"/>
    <w:rsid w:val="003358DA"/>
    <w:rsid w:val="00335CBD"/>
    <w:rsid w:val="003360FA"/>
    <w:rsid w:val="00336375"/>
    <w:rsid w:val="00337A60"/>
    <w:rsid w:val="00343536"/>
    <w:rsid w:val="00343749"/>
    <w:rsid w:val="0034440D"/>
    <w:rsid w:val="00345442"/>
    <w:rsid w:val="00345716"/>
    <w:rsid w:val="00346235"/>
    <w:rsid w:val="00347B4E"/>
    <w:rsid w:val="0035136F"/>
    <w:rsid w:val="0035375F"/>
    <w:rsid w:val="00353A5A"/>
    <w:rsid w:val="003544C6"/>
    <w:rsid w:val="00356BA2"/>
    <w:rsid w:val="003574ED"/>
    <w:rsid w:val="00357907"/>
    <w:rsid w:val="00357C01"/>
    <w:rsid w:val="003612A8"/>
    <w:rsid w:val="0036151C"/>
    <w:rsid w:val="003646F3"/>
    <w:rsid w:val="003655D1"/>
    <w:rsid w:val="003660ED"/>
    <w:rsid w:val="00367F51"/>
    <w:rsid w:val="00370180"/>
    <w:rsid w:val="003701CA"/>
    <w:rsid w:val="00371D31"/>
    <w:rsid w:val="00373AA2"/>
    <w:rsid w:val="00373E49"/>
    <w:rsid w:val="00376EBE"/>
    <w:rsid w:val="003770D6"/>
    <w:rsid w:val="00377856"/>
    <w:rsid w:val="00380387"/>
    <w:rsid w:val="0038050A"/>
    <w:rsid w:val="00381587"/>
    <w:rsid w:val="00382989"/>
    <w:rsid w:val="00384AD5"/>
    <w:rsid w:val="00385D22"/>
    <w:rsid w:val="00385F20"/>
    <w:rsid w:val="00391772"/>
    <w:rsid w:val="00391E46"/>
    <w:rsid w:val="00392822"/>
    <w:rsid w:val="00393503"/>
    <w:rsid w:val="00396539"/>
    <w:rsid w:val="00396988"/>
    <w:rsid w:val="003973E1"/>
    <w:rsid w:val="003A0800"/>
    <w:rsid w:val="003A0ED8"/>
    <w:rsid w:val="003A0F48"/>
    <w:rsid w:val="003A1AB2"/>
    <w:rsid w:val="003A20EC"/>
    <w:rsid w:val="003A2898"/>
    <w:rsid w:val="003A3992"/>
    <w:rsid w:val="003A40BB"/>
    <w:rsid w:val="003A52D6"/>
    <w:rsid w:val="003A720A"/>
    <w:rsid w:val="003A78F9"/>
    <w:rsid w:val="003B012C"/>
    <w:rsid w:val="003B0550"/>
    <w:rsid w:val="003B1E5C"/>
    <w:rsid w:val="003B27BC"/>
    <w:rsid w:val="003B2A4F"/>
    <w:rsid w:val="003B2FBA"/>
    <w:rsid w:val="003B3AEA"/>
    <w:rsid w:val="003B4A5C"/>
    <w:rsid w:val="003B5557"/>
    <w:rsid w:val="003B694F"/>
    <w:rsid w:val="003B70EF"/>
    <w:rsid w:val="003C04C5"/>
    <w:rsid w:val="003C0F0D"/>
    <w:rsid w:val="003C1756"/>
    <w:rsid w:val="003C1D41"/>
    <w:rsid w:val="003C1F57"/>
    <w:rsid w:val="003C2C31"/>
    <w:rsid w:val="003C35A1"/>
    <w:rsid w:val="003C4F76"/>
    <w:rsid w:val="003C533A"/>
    <w:rsid w:val="003C6286"/>
    <w:rsid w:val="003C6C03"/>
    <w:rsid w:val="003D0A8D"/>
    <w:rsid w:val="003D309A"/>
    <w:rsid w:val="003D334C"/>
    <w:rsid w:val="003E0308"/>
    <w:rsid w:val="003E057B"/>
    <w:rsid w:val="003E0A53"/>
    <w:rsid w:val="003E2832"/>
    <w:rsid w:val="003E29F7"/>
    <w:rsid w:val="003E3064"/>
    <w:rsid w:val="003E3D1F"/>
    <w:rsid w:val="003E60C6"/>
    <w:rsid w:val="003E6592"/>
    <w:rsid w:val="003E6A03"/>
    <w:rsid w:val="003E6A1A"/>
    <w:rsid w:val="003E6AD1"/>
    <w:rsid w:val="003E70AD"/>
    <w:rsid w:val="003F0BBF"/>
    <w:rsid w:val="003F171C"/>
    <w:rsid w:val="003F1BA3"/>
    <w:rsid w:val="003F2351"/>
    <w:rsid w:val="003F2CF0"/>
    <w:rsid w:val="003F2E78"/>
    <w:rsid w:val="003F49D5"/>
    <w:rsid w:val="003F5085"/>
    <w:rsid w:val="003F5957"/>
    <w:rsid w:val="003F7C15"/>
    <w:rsid w:val="003F7C27"/>
    <w:rsid w:val="0040070A"/>
    <w:rsid w:val="00401834"/>
    <w:rsid w:val="00402558"/>
    <w:rsid w:val="00403B66"/>
    <w:rsid w:val="00403D55"/>
    <w:rsid w:val="00404B88"/>
    <w:rsid w:val="004062D0"/>
    <w:rsid w:val="004067E8"/>
    <w:rsid w:val="004067F9"/>
    <w:rsid w:val="00406A90"/>
    <w:rsid w:val="004071AA"/>
    <w:rsid w:val="004072B3"/>
    <w:rsid w:val="00407376"/>
    <w:rsid w:val="004100CA"/>
    <w:rsid w:val="00410AD2"/>
    <w:rsid w:val="00410C80"/>
    <w:rsid w:val="0041177B"/>
    <w:rsid w:val="00412143"/>
    <w:rsid w:val="00412935"/>
    <w:rsid w:val="00412960"/>
    <w:rsid w:val="00412FC5"/>
    <w:rsid w:val="00413261"/>
    <w:rsid w:val="00413B8B"/>
    <w:rsid w:val="00414189"/>
    <w:rsid w:val="00414A30"/>
    <w:rsid w:val="00414D55"/>
    <w:rsid w:val="00417C3A"/>
    <w:rsid w:val="00421657"/>
    <w:rsid w:val="00422276"/>
    <w:rsid w:val="00423BAB"/>
    <w:rsid w:val="004242F1"/>
    <w:rsid w:val="00425819"/>
    <w:rsid w:val="004258E9"/>
    <w:rsid w:val="00426012"/>
    <w:rsid w:val="004263BE"/>
    <w:rsid w:val="00426D31"/>
    <w:rsid w:val="00430D4B"/>
    <w:rsid w:val="00430D9C"/>
    <w:rsid w:val="004311DC"/>
    <w:rsid w:val="004354CE"/>
    <w:rsid w:val="00436614"/>
    <w:rsid w:val="0043689C"/>
    <w:rsid w:val="00436A3B"/>
    <w:rsid w:val="00440A46"/>
    <w:rsid w:val="00440CF6"/>
    <w:rsid w:val="00441386"/>
    <w:rsid w:val="0044275B"/>
    <w:rsid w:val="00442DEA"/>
    <w:rsid w:val="00445A00"/>
    <w:rsid w:val="00447B7E"/>
    <w:rsid w:val="0045033D"/>
    <w:rsid w:val="00451B0F"/>
    <w:rsid w:val="00453783"/>
    <w:rsid w:val="004541C4"/>
    <w:rsid w:val="00454517"/>
    <w:rsid w:val="00454D84"/>
    <w:rsid w:val="00456DC9"/>
    <w:rsid w:val="00457DEA"/>
    <w:rsid w:val="004619C2"/>
    <w:rsid w:val="00462620"/>
    <w:rsid w:val="004626E0"/>
    <w:rsid w:val="00466883"/>
    <w:rsid w:val="00466E0D"/>
    <w:rsid w:val="00466E91"/>
    <w:rsid w:val="004701BB"/>
    <w:rsid w:val="004706BA"/>
    <w:rsid w:val="00470DF7"/>
    <w:rsid w:val="00472143"/>
    <w:rsid w:val="00472425"/>
    <w:rsid w:val="00472FF0"/>
    <w:rsid w:val="00474939"/>
    <w:rsid w:val="0047537A"/>
    <w:rsid w:val="00476008"/>
    <w:rsid w:val="004776EC"/>
    <w:rsid w:val="004824C0"/>
    <w:rsid w:val="00483F17"/>
    <w:rsid w:val="00484D92"/>
    <w:rsid w:val="00484F07"/>
    <w:rsid w:val="0048664F"/>
    <w:rsid w:val="00490BD6"/>
    <w:rsid w:val="00491414"/>
    <w:rsid w:val="004927CB"/>
    <w:rsid w:val="004933C8"/>
    <w:rsid w:val="00494EB0"/>
    <w:rsid w:val="00495041"/>
    <w:rsid w:val="00495948"/>
    <w:rsid w:val="00496C5E"/>
    <w:rsid w:val="004971B9"/>
    <w:rsid w:val="004A12E0"/>
    <w:rsid w:val="004A164B"/>
    <w:rsid w:val="004A1667"/>
    <w:rsid w:val="004A2E77"/>
    <w:rsid w:val="004A3B1E"/>
    <w:rsid w:val="004A3DA6"/>
    <w:rsid w:val="004A3EB6"/>
    <w:rsid w:val="004A3EE8"/>
    <w:rsid w:val="004A427A"/>
    <w:rsid w:val="004A5287"/>
    <w:rsid w:val="004A5596"/>
    <w:rsid w:val="004A56B9"/>
    <w:rsid w:val="004B034C"/>
    <w:rsid w:val="004B0A05"/>
    <w:rsid w:val="004B140B"/>
    <w:rsid w:val="004B14B5"/>
    <w:rsid w:val="004B1842"/>
    <w:rsid w:val="004B1B98"/>
    <w:rsid w:val="004B1F41"/>
    <w:rsid w:val="004B2188"/>
    <w:rsid w:val="004B3E70"/>
    <w:rsid w:val="004B46F2"/>
    <w:rsid w:val="004B5EE8"/>
    <w:rsid w:val="004B6127"/>
    <w:rsid w:val="004B62DF"/>
    <w:rsid w:val="004B7FBF"/>
    <w:rsid w:val="004C079A"/>
    <w:rsid w:val="004C0DAD"/>
    <w:rsid w:val="004C2EE3"/>
    <w:rsid w:val="004C589F"/>
    <w:rsid w:val="004C5C3C"/>
    <w:rsid w:val="004C5E0C"/>
    <w:rsid w:val="004D103E"/>
    <w:rsid w:val="004D13C8"/>
    <w:rsid w:val="004D23FC"/>
    <w:rsid w:val="004D7493"/>
    <w:rsid w:val="004D74C1"/>
    <w:rsid w:val="004D7716"/>
    <w:rsid w:val="004D7D39"/>
    <w:rsid w:val="004E066E"/>
    <w:rsid w:val="004E20F9"/>
    <w:rsid w:val="004E23A0"/>
    <w:rsid w:val="004E25D2"/>
    <w:rsid w:val="004E2FCE"/>
    <w:rsid w:val="004E4A22"/>
    <w:rsid w:val="004E617E"/>
    <w:rsid w:val="004E634C"/>
    <w:rsid w:val="004E7CE8"/>
    <w:rsid w:val="004E7FAC"/>
    <w:rsid w:val="004F0760"/>
    <w:rsid w:val="004F07D9"/>
    <w:rsid w:val="004F0D1C"/>
    <w:rsid w:val="004F5E27"/>
    <w:rsid w:val="004F611F"/>
    <w:rsid w:val="00500009"/>
    <w:rsid w:val="005017D9"/>
    <w:rsid w:val="00501B4E"/>
    <w:rsid w:val="00502F8E"/>
    <w:rsid w:val="00504120"/>
    <w:rsid w:val="00504AC1"/>
    <w:rsid w:val="00505E74"/>
    <w:rsid w:val="005068C3"/>
    <w:rsid w:val="00510F9A"/>
    <w:rsid w:val="0051194B"/>
    <w:rsid w:val="00511968"/>
    <w:rsid w:val="005127D6"/>
    <w:rsid w:val="00512A0C"/>
    <w:rsid w:val="00512FC7"/>
    <w:rsid w:val="00513AAA"/>
    <w:rsid w:val="00513D8F"/>
    <w:rsid w:val="00516E8B"/>
    <w:rsid w:val="00520ECD"/>
    <w:rsid w:val="00521025"/>
    <w:rsid w:val="005212F1"/>
    <w:rsid w:val="00523E09"/>
    <w:rsid w:val="005242F3"/>
    <w:rsid w:val="0052435A"/>
    <w:rsid w:val="0052620D"/>
    <w:rsid w:val="0052678F"/>
    <w:rsid w:val="0052798E"/>
    <w:rsid w:val="00527EC4"/>
    <w:rsid w:val="0053185C"/>
    <w:rsid w:val="00534330"/>
    <w:rsid w:val="005345C4"/>
    <w:rsid w:val="00535CB4"/>
    <w:rsid w:val="00535E4E"/>
    <w:rsid w:val="005361A6"/>
    <w:rsid w:val="00537F41"/>
    <w:rsid w:val="005411E5"/>
    <w:rsid w:val="005418E4"/>
    <w:rsid w:val="005424B4"/>
    <w:rsid w:val="00543605"/>
    <w:rsid w:val="00543904"/>
    <w:rsid w:val="00543C12"/>
    <w:rsid w:val="005443C8"/>
    <w:rsid w:val="00545586"/>
    <w:rsid w:val="005460BC"/>
    <w:rsid w:val="00547904"/>
    <w:rsid w:val="00550EF7"/>
    <w:rsid w:val="0055216C"/>
    <w:rsid w:val="0055614C"/>
    <w:rsid w:val="005568EF"/>
    <w:rsid w:val="00556BA9"/>
    <w:rsid w:val="005573E8"/>
    <w:rsid w:val="0056196C"/>
    <w:rsid w:val="00563D9D"/>
    <w:rsid w:val="00564170"/>
    <w:rsid w:val="00564DD0"/>
    <w:rsid w:val="00566ACF"/>
    <w:rsid w:val="00567EAA"/>
    <w:rsid w:val="00570C24"/>
    <w:rsid w:val="00570E08"/>
    <w:rsid w:val="00571853"/>
    <w:rsid w:val="00571A53"/>
    <w:rsid w:val="0057275C"/>
    <w:rsid w:val="005751F2"/>
    <w:rsid w:val="00575BDD"/>
    <w:rsid w:val="00577EBC"/>
    <w:rsid w:val="00580016"/>
    <w:rsid w:val="005834FD"/>
    <w:rsid w:val="00584AD2"/>
    <w:rsid w:val="00584D24"/>
    <w:rsid w:val="00587F30"/>
    <w:rsid w:val="00591FDA"/>
    <w:rsid w:val="005954A4"/>
    <w:rsid w:val="00595757"/>
    <w:rsid w:val="00595C86"/>
    <w:rsid w:val="005A1298"/>
    <w:rsid w:val="005A1588"/>
    <w:rsid w:val="005A1A9D"/>
    <w:rsid w:val="005A2CBF"/>
    <w:rsid w:val="005A2F4C"/>
    <w:rsid w:val="005A31FF"/>
    <w:rsid w:val="005A3C41"/>
    <w:rsid w:val="005A5F70"/>
    <w:rsid w:val="005B36A2"/>
    <w:rsid w:val="005B36AE"/>
    <w:rsid w:val="005B45B0"/>
    <w:rsid w:val="005B6EEA"/>
    <w:rsid w:val="005C09C1"/>
    <w:rsid w:val="005C148B"/>
    <w:rsid w:val="005C197B"/>
    <w:rsid w:val="005C2A33"/>
    <w:rsid w:val="005C3148"/>
    <w:rsid w:val="005C3B67"/>
    <w:rsid w:val="005C5ACB"/>
    <w:rsid w:val="005C6265"/>
    <w:rsid w:val="005C74FC"/>
    <w:rsid w:val="005D043B"/>
    <w:rsid w:val="005D0AD7"/>
    <w:rsid w:val="005D21C4"/>
    <w:rsid w:val="005D359F"/>
    <w:rsid w:val="005D4BB5"/>
    <w:rsid w:val="005D5A0C"/>
    <w:rsid w:val="005D6387"/>
    <w:rsid w:val="005E0928"/>
    <w:rsid w:val="005E14C2"/>
    <w:rsid w:val="005E1875"/>
    <w:rsid w:val="005E324A"/>
    <w:rsid w:val="005E3295"/>
    <w:rsid w:val="005E50F0"/>
    <w:rsid w:val="005E537E"/>
    <w:rsid w:val="005E55E5"/>
    <w:rsid w:val="005F0166"/>
    <w:rsid w:val="005F0E2A"/>
    <w:rsid w:val="005F105C"/>
    <w:rsid w:val="005F24AE"/>
    <w:rsid w:val="005F25EF"/>
    <w:rsid w:val="005F2C69"/>
    <w:rsid w:val="005F3B4A"/>
    <w:rsid w:val="005F4233"/>
    <w:rsid w:val="006001FA"/>
    <w:rsid w:val="006010EB"/>
    <w:rsid w:val="00601974"/>
    <w:rsid w:val="00602A88"/>
    <w:rsid w:val="00603F6F"/>
    <w:rsid w:val="006041C2"/>
    <w:rsid w:val="0060456C"/>
    <w:rsid w:val="006067F3"/>
    <w:rsid w:val="006079C0"/>
    <w:rsid w:val="00607BA5"/>
    <w:rsid w:val="0061180A"/>
    <w:rsid w:val="006127C4"/>
    <w:rsid w:val="00612D4C"/>
    <w:rsid w:val="00614214"/>
    <w:rsid w:val="00616A52"/>
    <w:rsid w:val="006229D1"/>
    <w:rsid w:val="006240A3"/>
    <w:rsid w:val="00626EB6"/>
    <w:rsid w:val="00630FF7"/>
    <w:rsid w:val="00631762"/>
    <w:rsid w:val="006327DD"/>
    <w:rsid w:val="006353AD"/>
    <w:rsid w:val="00635E8D"/>
    <w:rsid w:val="00637965"/>
    <w:rsid w:val="00640D75"/>
    <w:rsid w:val="00641289"/>
    <w:rsid w:val="00641E94"/>
    <w:rsid w:val="006425E5"/>
    <w:rsid w:val="0064304E"/>
    <w:rsid w:val="00643888"/>
    <w:rsid w:val="0064471C"/>
    <w:rsid w:val="0064474A"/>
    <w:rsid w:val="0064556C"/>
    <w:rsid w:val="00645731"/>
    <w:rsid w:val="00645904"/>
    <w:rsid w:val="00645BE4"/>
    <w:rsid w:val="00646A98"/>
    <w:rsid w:val="00646CC8"/>
    <w:rsid w:val="00647FCD"/>
    <w:rsid w:val="00650974"/>
    <w:rsid w:val="00650A3A"/>
    <w:rsid w:val="0065383B"/>
    <w:rsid w:val="0065406B"/>
    <w:rsid w:val="006548C9"/>
    <w:rsid w:val="0065552A"/>
    <w:rsid w:val="006559BE"/>
    <w:rsid w:val="00655C44"/>
    <w:rsid w:val="00655CFB"/>
    <w:rsid w:val="00655D03"/>
    <w:rsid w:val="006562CE"/>
    <w:rsid w:val="00656B1C"/>
    <w:rsid w:val="006579A8"/>
    <w:rsid w:val="006606A1"/>
    <w:rsid w:val="00660C8B"/>
    <w:rsid w:val="006612CB"/>
    <w:rsid w:val="00662288"/>
    <w:rsid w:val="00662CF6"/>
    <w:rsid w:val="006638C6"/>
    <w:rsid w:val="00664985"/>
    <w:rsid w:val="0066687F"/>
    <w:rsid w:val="00666C38"/>
    <w:rsid w:val="00670C8F"/>
    <w:rsid w:val="00672746"/>
    <w:rsid w:val="00672EA5"/>
    <w:rsid w:val="006737B3"/>
    <w:rsid w:val="00675047"/>
    <w:rsid w:val="006765A3"/>
    <w:rsid w:val="0067701B"/>
    <w:rsid w:val="00680E92"/>
    <w:rsid w:val="00681BB9"/>
    <w:rsid w:val="0068207F"/>
    <w:rsid w:val="006822EC"/>
    <w:rsid w:val="00682B9C"/>
    <w:rsid w:val="00683063"/>
    <w:rsid w:val="00683388"/>
    <w:rsid w:val="00683F80"/>
    <w:rsid w:val="00683F84"/>
    <w:rsid w:val="0068454F"/>
    <w:rsid w:val="00686899"/>
    <w:rsid w:val="00687F97"/>
    <w:rsid w:val="006919B3"/>
    <w:rsid w:val="00691FC7"/>
    <w:rsid w:val="00692991"/>
    <w:rsid w:val="0069343F"/>
    <w:rsid w:val="00693650"/>
    <w:rsid w:val="00694E9E"/>
    <w:rsid w:val="00695AC8"/>
    <w:rsid w:val="00695C19"/>
    <w:rsid w:val="00696AA8"/>
    <w:rsid w:val="00696D2F"/>
    <w:rsid w:val="006A083A"/>
    <w:rsid w:val="006A08FD"/>
    <w:rsid w:val="006A0929"/>
    <w:rsid w:val="006A3AF5"/>
    <w:rsid w:val="006A5BE7"/>
    <w:rsid w:val="006A5FBA"/>
    <w:rsid w:val="006A6416"/>
    <w:rsid w:val="006A6A81"/>
    <w:rsid w:val="006A7FEF"/>
    <w:rsid w:val="006B03A2"/>
    <w:rsid w:val="006B2072"/>
    <w:rsid w:val="006B267D"/>
    <w:rsid w:val="006B2716"/>
    <w:rsid w:val="006B3355"/>
    <w:rsid w:val="006B3577"/>
    <w:rsid w:val="006B3D63"/>
    <w:rsid w:val="006B5D0C"/>
    <w:rsid w:val="006B69C7"/>
    <w:rsid w:val="006B6C77"/>
    <w:rsid w:val="006C0231"/>
    <w:rsid w:val="006C02BA"/>
    <w:rsid w:val="006C04A2"/>
    <w:rsid w:val="006C1952"/>
    <w:rsid w:val="006C1E05"/>
    <w:rsid w:val="006C1F7B"/>
    <w:rsid w:val="006C4812"/>
    <w:rsid w:val="006C6245"/>
    <w:rsid w:val="006C677B"/>
    <w:rsid w:val="006C6FC0"/>
    <w:rsid w:val="006D0204"/>
    <w:rsid w:val="006D10D4"/>
    <w:rsid w:val="006D1AFB"/>
    <w:rsid w:val="006D2828"/>
    <w:rsid w:val="006D4B13"/>
    <w:rsid w:val="006D4C4E"/>
    <w:rsid w:val="006D51A5"/>
    <w:rsid w:val="006D5714"/>
    <w:rsid w:val="006D63BD"/>
    <w:rsid w:val="006D6EF4"/>
    <w:rsid w:val="006E03E3"/>
    <w:rsid w:val="006E1CBB"/>
    <w:rsid w:val="006E249F"/>
    <w:rsid w:val="006E5527"/>
    <w:rsid w:val="006E7AB0"/>
    <w:rsid w:val="006E7E6E"/>
    <w:rsid w:val="006F3A21"/>
    <w:rsid w:val="006F4198"/>
    <w:rsid w:val="006F43C7"/>
    <w:rsid w:val="006F7393"/>
    <w:rsid w:val="006F790F"/>
    <w:rsid w:val="00700266"/>
    <w:rsid w:val="007011EF"/>
    <w:rsid w:val="00702196"/>
    <w:rsid w:val="0070224F"/>
    <w:rsid w:val="007032F8"/>
    <w:rsid w:val="007057A4"/>
    <w:rsid w:val="00705A45"/>
    <w:rsid w:val="0070702B"/>
    <w:rsid w:val="00710708"/>
    <w:rsid w:val="00710A20"/>
    <w:rsid w:val="007115F7"/>
    <w:rsid w:val="00712700"/>
    <w:rsid w:val="007129C2"/>
    <w:rsid w:val="00712EEC"/>
    <w:rsid w:val="00713F9E"/>
    <w:rsid w:val="0071566A"/>
    <w:rsid w:val="00716FC8"/>
    <w:rsid w:val="00716FCB"/>
    <w:rsid w:val="00720DB9"/>
    <w:rsid w:val="00720E13"/>
    <w:rsid w:val="00721000"/>
    <w:rsid w:val="00723106"/>
    <w:rsid w:val="00724EDA"/>
    <w:rsid w:val="00726D35"/>
    <w:rsid w:val="00727FD4"/>
    <w:rsid w:val="007305AD"/>
    <w:rsid w:val="00732054"/>
    <w:rsid w:val="00732807"/>
    <w:rsid w:val="007328E4"/>
    <w:rsid w:val="00732D14"/>
    <w:rsid w:val="00736697"/>
    <w:rsid w:val="00736D86"/>
    <w:rsid w:val="007403AD"/>
    <w:rsid w:val="007416D8"/>
    <w:rsid w:val="00742D9C"/>
    <w:rsid w:val="0074347B"/>
    <w:rsid w:val="00744246"/>
    <w:rsid w:val="00744B92"/>
    <w:rsid w:val="00747DAC"/>
    <w:rsid w:val="00747EC0"/>
    <w:rsid w:val="00750E2A"/>
    <w:rsid w:val="00750FAF"/>
    <w:rsid w:val="00751ECA"/>
    <w:rsid w:val="0075292C"/>
    <w:rsid w:val="0075364A"/>
    <w:rsid w:val="007536EC"/>
    <w:rsid w:val="00753BE3"/>
    <w:rsid w:val="00755BE6"/>
    <w:rsid w:val="00756697"/>
    <w:rsid w:val="00756C3D"/>
    <w:rsid w:val="00756E46"/>
    <w:rsid w:val="00757790"/>
    <w:rsid w:val="00763F8C"/>
    <w:rsid w:val="00764DA1"/>
    <w:rsid w:val="00766709"/>
    <w:rsid w:val="00770126"/>
    <w:rsid w:val="00772BE8"/>
    <w:rsid w:val="00773A6D"/>
    <w:rsid w:val="00775FC5"/>
    <w:rsid w:val="00776E5B"/>
    <w:rsid w:val="00777706"/>
    <w:rsid w:val="00781098"/>
    <w:rsid w:val="0078219E"/>
    <w:rsid w:val="00782700"/>
    <w:rsid w:val="007833E3"/>
    <w:rsid w:val="007834EF"/>
    <w:rsid w:val="00783C62"/>
    <w:rsid w:val="00784A7C"/>
    <w:rsid w:val="00785689"/>
    <w:rsid w:val="00785EDB"/>
    <w:rsid w:val="007863D1"/>
    <w:rsid w:val="007864BD"/>
    <w:rsid w:val="00790D28"/>
    <w:rsid w:val="0079458D"/>
    <w:rsid w:val="00794FE6"/>
    <w:rsid w:val="00795907"/>
    <w:rsid w:val="00796044"/>
    <w:rsid w:val="0079754B"/>
    <w:rsid w:val="007A1536"/>
    <w:rsid w:val="007A1E6D"/>
    <w:rsid w:val="007A4DC4"/>
    <w:rsid w:val="007A4EDB"/>
    <w:rsid w:val="007A5CA3"/>
    <w:rsid w:val="007A6505"/>
    <w:rsid w:val="007A7987"/>
    <w:rsid w:val="007B0EB2"/>
    <w:rsid w:val="007B0F75"/>
    <w:rsid w:val="007B1223"/>
    <w:rsid w:val="007B2114"/>
    <w:rsid w:val="007B3B16"/>
    <w:rsid w:val="007B6AA4"/>
    <w:rsid w:val="007B6C31"/>
    <w:rsid w:val="007B71C1"/>
    <w:rsid w:val="007C03D4"/>
    <w:rsid w:val="007C5D5D"/>
    <w:rsid w:val="007C7E23"/>
    <w:rsid w:val="007D1723"/>
    <w:rsid w:val="007D21F8"/>
    <w:rsid w:val="007D4E20"/>
    <w:rsid w:val="007D61F5"/>
    <w:rsid w:val="007D6207"/>
    <w:rsid w:val="007E0906"/>
    <w:rsid w:val="007E1095"/>
    <w:rsid w:val="007E1166"/>
    <w:rsid w:val="007E199E"/>
    <w:rsid w:val="007E1DBC"/>
    <w:rsid w:val="007E2688"/>
    <w:rsid w:val="007E5268"/>
    <w:rsid w:val="007E6653"/>
    <w:rsid w:val="007F07F4"/>
    <w:rsid w:val="007F0BCC"/>
    <w:rsid w:val="007F1CB5"/>
    <w:rsid w:val="007F3F8C"/>
    <w:rsid w:val="007F4975"/>
    <w:rsid w:val="007F5252"/>
    <w:rsid w:val="00800069"/>
    <w:rsid w:val="008008D5"/>
    <w:rsid w:val="00800E3B"/>
    <w:rsid w:val="00801B6D"/>
    <w:rsid w:val="00802E5E"/>
    <w:rsid w:val="008055F9"/>
    <w:rsid w:val="00805949"/>
    <w:rsid w:val="008066F5"/>
    <w:rsid w:val="00806C7D"/>
    <w:rsid w:val="0081013A"/>
    <w:rsid w:val="00810AFC"/>
    <w:rsid w:val="00810B6F"/>
    <w:rsid w:val="00811C02"/>
    <w:rsid w:val="0081297C"/>
    <w:rsid w:val="00813686"/>
    <w:rsid w:val="00813BE5"/>
    <w:rsid w:val="008148B9"/>
    <w:rsid w:val="00815197"/>
    <w:rsid w:val="008154C7"/>
    <w:rsid w:val="00815A0A"/>
    <w:rsid w:val="00817097"/>
    <w:rsid w:val="00820EAF"/>
    <w:rsid w:val="00821607"/>
    <w:rsid w:val="00822BC6"/>
    <w:rsid w:val="00822CE0"/>
    <w:rsid w:val="008230FA"/>
    <w:rsid w:val="00823562"/>
    <w:rsid w:val="0082372A"/>
    <w:rsid w:val="008249D8"/>
    <w:rsid w:val="00826356"/>
    <w:rsid w:val="0082758C"/>
    <w:rsid w:val="00830C7B"/>
    <w:rsid w:val="00831E6A"/>
    <w:rsid w:val="00833549"/>
    <w:rsid w:val="00833C99"/>
    <w:rsid w:val="0083547E"/>
    <w:rsid w:val="00835C6E"/>
    <w:rsid w:val="00835FB3"/>
    <w:rsid w:val="00837095"/>
    <w:rsid w:val="008373C1"/>
    <w:rsid w:val="0083777F"/>
    <w:rsid w:val="0083790F"/>
    <w:rsid w:val="00837ECF"/>
    <w:rsid w:val="00841AB1"/>
    <w:rsid w:val="00842038"/>
    <w:rsid w:val="00843138"/>
    <w:rsid w:val="008432F3"/>
    <w:rsid w:val="0084332F"/>
    <w:rsid w:val="00843E28"/>
    <w:rsid w:val="00844DDE"/>
    <w:rsid w:val="008459A0"/>
    <w:rsid w:val="00846407"/>
    <w:rsid w:val="00846645"/>
    <w:rsid w:val="0085144D"/>
    <w:rsid w:val="0085311E"/>
    <w:rsid w:val="008539A8"/>
    <w:rsid w:val="00853E40"/>
    <w:rsid w:val="0085450F"/>
    <w:rsid w:val="00854D51"/>
    <w:rsid w:val="008551C4"/>
    <w:rsid w:val="00855426"/>
    <w:rsid w:val="00855DEC"/>
    <w:rsid w:val="00856FD4"/>
    <w:rsid w:val="00857453"/>
    <w:rsid w:val="008626EC"/>
    <w:rsid w:val="00862F16"/>
    <w:rsid w:val="008653F8"/>
    <w:rsid w:val="0086566F"/>
    <w:rsid w:val="00866865"/>
    <w:rsid w:val="00867409"/>
    <w:rsid w:val="00871A56"/>
    <w:rsid w:val="00871D43"/>
    <w:rsid w:val="00873387"/>
    <w:rsid w:val="00874A83"/>
    <w:rsid w:val="008764B5"/>
    <w:rsid w:val="00876753"/>
    <w:rsid w:val="00877B20"/>
    <w:rsid w:val="00880569"/>
    <w:rsid w:val="008807A9"/>
    <w:rsid w:val="00882343"/>
    <w:rsid w:val="00883A6B"/>
    <w:rsid w:val="00883B1C"/>
    <w:rsid w:val="00884975"/>
    <w:rsid w:val="00884EEF"/>
    <w:rsid w:val="008859A0"/>
    <w:rsid w:val="0088690F"/>
    <w:rsid w:val="008877D2"/>
    <w:rsid w:val="00890FA5"/>
    <w:rsid w:val="00891239"/>
    <w:rsid w:val="00894600"/>
    <w:rsid w:val="00895732"/>
    <w:rsid w:val="00895E2A"/>
    <w:rsid w:val="00896FF2"/>
    <w:rsid w:val="008979D8"/>
    <w:rsid w:val="008A0200"/>
    <w:rsid w:val="008A213B"/>
    <w:rsid w:val="008A2237"/>
    <w:rsid w:val="008A348D"/>
    <w:rsid w:val="008A34CF"/>
    <w:rsid w:val="008A3A1E"/>
    <w:rsid w:val="008A3DED"/>
    <w:rsid w:val="008A5034"/>
    <w:rsid w:val="008A6224"/>
    <w:rsid w:val="008A6269"/>
    <w:rsid w:val="008A6E2C"/>
    <w:rsid w:val="008B08CB"/>
    <w:rsid w:val="008B093C"/>
    <w:rsid w:val="008B0E47"/>
    <w:rsid w:val="008B187A"/>
    <w:rsid w:val="008B4899"/>
    <w:rsid w:val="008B4DE8"/>
    <w:rsid w:val="008B4EA8"/>
    <w:rsid w:val="008B5BE4"/>
    <w:rsid w:val="008B6502"/>
    <w:rsid w:val="008B6AB4"/>
    <w:rsid w:val="008C057B"/>
    <w:rsid w:val="008C1186"/>
    <w:rsid w:val="008C1D1D"/>
    <w:rsid w:val="008C1F71"/>
    <w:rsid w:val="008C252F"/>
    <w:rsid w:val="008C2E23"/>
    <w:rsid w:val="008C39BA"/>
    <w:rsid w:val="008C3C63"/>
    <w:rsid w:val="008C6576"/>
    <w:rsid w:val="008C68F1"/>
    <w:rsid w:val="008C6E19"/>
    <w:rsid w:val="008C7D9C"/>
    <w:rsid w:val="008D1627"/>
    <w:rsid w:val="008D1C48"/>
    <w:rsid w:val="008D3BC4"/>
    <w:rsid w:val="008D4E3C"/>
    <w:rsid w:val="008D619C"/>
    <w:rsid w:val="008D6900"/>
    <w:rsid w:val="008D6AD9"/>
    <w:rsid w:val="008D6EE1"/>
    <w:rsid w:val="008E10FF"/>
    <w:rsid w:val="008E13A7"/>
    <w:rsid w:val="008E1BC7"/>
    <w:rsid w:val="008E1BF1"/>
    <w:rsid w:val="008E1E55"/>
    <w:rsid w:val="008E268B"/>
    <w:rsid w:val="008E34C2"/>
    <w:rsid w:val="008E3625"/>
    <w:rsid w:val="008E3716"/>
    <w:rsid w:val="008E4B95"/>
    <w:rsid w:val="008E68CD"/>
    <w:rsid w:val="008E6A4A"/>
    <w:rsid w:val="008E791F"/>
    <w:rsid w:val="008E7D43"/>
    <w:rsid w:val="008F03FC"/>
    <w:rsid w:val="008F1000"/>
    <w:rsid w:val="008F19F0"/>
    <w:rsid w:val="008F253F"/>
    <w:rsid w:val="008F348E"/>
    <w:rsid w:val="008F3A49"/>
    <w:rsid w:val="008F4133"/>
    <w:rsid w:val="008F4374"/>
    <w:rsid w:val="008F4574"/>
    <w:rsid w:val="008F46C9"/>
    <w:rsid w:val="008F5B0C"/>
    <w:rsid w:val="008F6B95"/>
    <w:rsid w:val="008F6D66"/>
    <w:rsid w:val="00900B36"/>
    <w:rsid w:val="00901860"/>
    <w:rsid w:val="0090370F"/>
    <w:rsid w:val="00904408"/>
    <w:rsid w:val="00911989"/>
    <w:rsid w:val="00911EDF"/>
    <w:rsid w:val="00912A47"/>
    <w:rsid w:val="00912BBC"/>
    <w:rsid w:val="0091466B"/>
    <w:rsid w:val="00916C1C"/>
    <w:rsid w:val="00920012"/>
    <w:rsid w:val="00921803"/>
    <w:rsid w:val="009222D5"/>
    <w:rsid w:val="00922F16"/>
    <w:rsid w:val="00924FF9"/>
    <w:rsid w:val="00925694"/>
    <w:rsid w:val="00925EFB"/>
    <w:rsid w:val="009262CD"/>
    <w:rsid w:val="009263C9"/>
    <w:rsid w:val="00926503"/>
    <w:rsid w:val="009269B3"/>
    <w:rsid w:val="009273ED"/>
    <w:rsid w:val="009306C9"/>
    <w:rsid w:val="00931EB4"/>
    <w:rsid w:val="0093299C"/>
    <w:rsid w:val="0093466D"/>
    <w:rsid w:val="00934F5A"/>
    <w:rsid w:val="00934FAE"/>
    <w:rsid w:val="0093588C"/>
    <w:rsid w:val="00940A30"/>
    <w:rsid w:val="009434F2"/>
    <w:rsid w:val="0094539F"/>
    <w:rsid w:val="00947E87"/>
    <w:rsid w:val="00951AAF"/>
    <w:rsid w:val="00952A12"/>
    <w:rsid w:val="00953473"/>
    <w:rsid w:val="009543E0"/>
    <w:rsid w:val="00954EED"/>
    <w:rsid w:val="00961626"/>
    <w:rsid w:val="00961726"/>
    <w:rsid w:val="00962440"/>
    <w:rsid w:val="00963FCC"/>
    <w:rsid w:val="00967425"/>
    <w:rsid w:val="0097067F"/>
    <w:rsid w:val="009714FD"/>
    <w:rsid w:val="009726D8"/>
    <w:rsid w:val="00973843"/>
    <w:rsid w:val="00974FA2"/>
    <w:rsid w:val="00975110"/>
    <w:rsid w:val="00976806"/>
    <w:rsid w:val="00976E06"/>
    <w:rsid w:val="00980C79"/>
    <w:rsid w:val="00982465"/>
    <w:rsid w:val="00983DD1"/>
    <w:rsid w:val="009856D7"/>
    <w:rsid w:val="00985BBE"/>
    <w:rsid w:val="00987354"/>
    <w:rsid w:val="00994D32"/>
    <w:rsid w:val="00994EC2"/>
    <w:rsid w:val="009950C7"/>
    <w:rsid w:val="009A237E"/>
    <w:rsid w:val="009A309C"/>
    <w:rsid w:val="009A56F0"/>
    <w:rsid w:val="009A5D58"/>
    <w:rsid w:val="009A65D5"/>
    <w:rsid w:val="009B1F9B"/>
    <w:rsid w:val="009B231F"/>
    <w:rsid w:val="009B3641"/>
    <w:rsid w:val="009B40C5"/>
    <w:rsid w:val="009B57E9"/>
    <w:rsid w:val="009B6788"/>
    <w:rsid w:val="009B79FB"/>
    <w:rsid w:val="009C12EE"/>
    <w:rsid w:val="009C1BAC"/>
    <w:rsid w:val="009C24FB"/>
    <w:rsid w:val="009C2F8E"/>
    <w:rsid w:val="009C50DA"/>
    <w:rsid w:val="009C6603"/>
    <w:rsid w:val="009C6C5F"/>
    <w:rsid w:val="009C7A9E"/>
    <w:rsid w:val="009D041E"/>
    <w:rsid w:val="009D388F"/>
    <w:rsid w:val="009D4469"/>
    <w:rsid w:val="009D4F6D"/>
    <w:rsid w:val="009D639C"/>
    <w:rsid w:val="009E0263"/>
    <w:rsid w:val="009E047F"/>
    <w:rsid w:val="009E344A"/>
    <w:rsid w:val="009E414C"/>
    <w:rsid w:val="009E47CC"/>
    <w:rsid w:val="009E4C23"/>
    <w:rsid w:val="009E5861"/>
    <w:rsid w:val="009E5C7C"/>
    <w:rsid w:val="009E64E2"/>
    <w:rsid w:val="009E77E8"/>
    <w:rsid w:val="009F1424"/>
    <w:rsid w:val="009F358B"/>
    <w:rsid w:val="009F48A1"/>
    <w:rsid w:val="009F490E"/>
    <w:rsid w:val="009F76DB"/>
    <w:rsid w:val="00A00600"/>
    <w:rsid w:val="00A0074B"/>
    <w:rsid w:val="00A00CCA"/>
    <w:rsid w:val="00A012F4"/>
    <w:rsid w:val="00A013D2"/>
    <w:rsid w:val="00A014D0"/>
    <w:rsid w:val="00A0199D"/>
    <w:rsid w:val="00A02442"/>
    <w:rsid w:val="00A03130"/>
    <w:rsid w:val="00A03950"/>
    <w:rsid w:val="00A03BE3"/>
    <w:rsid w:val="00A05015"/>
    <w:rsid w:val="00A0520F"/>
    <w:rsid w:val="00A11182"/>
    <w:rsid w:val="00A1135D"/>
    <w:rsid w:val="00A1186A"/>
    <w:rsid w:val="00A12D1D"/>
    <w:rsid w:val="00A12FB0"/>
    <w:rsid w:val="00A166A2"/>
    <w:rsid w:val="00A1708C"/>
    <w:rsid w:val="00A1731A"/>
    <w:rsid w:val="00A23D30"/>
    <w:rsid w:val="00A244D0"/>
    <w:rsid w:val="00A2465B"/>
    <w:rsid w:val="00A248B0"/>
    <w:rsid w:val="00A257BF"/>
    <w:rsid w:val="00A272D8"/>
    <w:rsid w:val="00A3007A"/>
    <w:rsid w:val="00A32385"/>
    <w:rsid w:val="00A32C3B"/>
    <w:rsid w:val="00A3307F"/>
    <w:rsid w:val="00A335C0"/>
    <w:rsid w:val="00A35E14"/>
    <w:rsid w:val="00A36A6A"/>
    <w:rsid w:val="00A37932"/>
    <w:rsid w:val="00A4077A"/>
    <w:rsid w:val="00A43395"/>
    <w:rsid w:val="00A434AB"/>
    <w:rsid w:val="00A45F4F"/>
    <w:rsid w:val="00A46431"/>
    <w:rsid w:val="00A50C83"/>
    <w:rsid w:val="00A518A0"/>
    <w:rsid w:val="00A52D28"/>
    <w:rsid w:val="00A5511F"/>
    <w:rsid w:val="00A555CF"/>
    <w:rsid w:val="00A5680F"/>
    <w:rsid w:val="00A5723D"/>
    <w:rsid w:val="00A600A9"/>
    <w:rsid w:val="00A60F6A"/>
    <w:rsid w:val="00A6196E"/>
    <w:rsid w:val="00A62C01"/>
    <w:rsid w:val="00A6373A"/>
    <w:rsid w:val="00A6596F"/>
    <w:rsid w:val="00A65C1E"/>
    <w:rsid w:val="00A65DC0"/>
    <w:rsid w:val="00A66638"/>
    <w:rsid w:val="00A66973"/>
    <w:rsid w:val="00A67096"/>
    <w:rsid w:val="00A67BBC"/>
    <w:rsid w:val="00A67DDF"/>
    <w:rsid w:val="00A700D5"/>
    <w:rsid w:val="00A7032A"/>
    <w:rsid w:val="00A7111F"/>
    <w:rsid w:val="00A721BA"/>
    <w:rsid w:val="00A7300F"/>
    <w:rsid w:val="00A73367"/>
    <w:rsid w:val="00A733BB"/>
    <w:rsid w:val="00A7356D"/>
    <w:rsid w:val="00A73C64"/>
    <w:rsid w:val="00A75F70"/>
    <w:rsid w:val="00A768B0"/>
    <w:rsid w:val="00A7774F"/>
    <w:rsid w:val="00A801DC"/>
    <w:rsid w:val="00A81E4D"/>
    <w:rsid w:val="00A823A6"/>
    <w:rsid w:val="00A82DA1"/>
    <w:rsid w:val="00A83D3A"/>
    <w:rsid w:val="00A84DC2"/>
    <w:rsid w:val="00A85149"/>
    <w:rsid w:val="00A85BC0"/>
    <w:rsid w:val="00A8661C"/>
    <w:rsid w:val="00A94929"/>
    <w:rsid w:val="00A94A4B"/>
    <w:rsid w:val="00A94CBA"/>
    <w:rsid w:val="00A94F71"/>
    <w:rsid w:val="00A956FE"/>
    <w:rsid w:val="00A9626C"/>
    <w:rsid w:val="00A96AAB"/>
    <w:rsid w:val="00AA0F30"/>
    <w:rsid w:val="00AA31B2"/>
    <w:rsid w:val="00AA399D"/>
    <w:rsid w:val="00AA45EC"/>
    <w:rsid w:val="00AA4BE9"/>
    <w:rsid w:val="00AA521E"/>
    <w:rsid w:val="00AA55B7"/>
    <w:rsid w:val="00AA59ED"/>
    <w:rsid w:val="00AA5B9E"/>
    <w:rsid w:val="00AA65FF"/>
    <w:rsid w:val="00AA74C7"/>
    <w:rsid w:val="00AB20D1"/>
    <w:rsid w:val="00AB2407"/>
    <w:rsid w:val="00AB2E75"/>
    <w:rsid w:val="00AB328D"/>
    <w:rsid w:val="00AB3300"/>
    <w:rsid w:val="00AB4695"/>
    <w:rsid w:val="00AB48F5"/>
    <w:rsid w:val="00AB4CCC"/>
    <w:rsid w:val="00AB53DF"/>
    <w:rsid w:val="00AB6A70"/>
    <w:rsid w:val="00AB6AB4"/>
    <w:rsid w:val="00AB7262"/>
    <w:rsid w:val="00AC1FE1"/>
    <w:rsid w:val="00AC3C99"/>
    <w:rsid w:val="00AC4531"/>
    <w:rsid w:val="00AC45BD"/>
    <w:rsid w:val="00AC52E3"/>
    <w:rsid w:val="00AC5BF5"/>
    <w:rsid w:val="00AC653F"/>
    <w:rsid w:val="00AC6D24"/>
    <w:rsid w:val="00AC716D"/>
    <w:rsid w:val="00AD1024"/>
    <w:rsid w:val="00AD4CD0"/>
    <w:rsid w:val="00AD4E77"/>
    <w:rsid w:val="00AD5F0F"/>
    <w:rsid w:val="00AD6B00"/>
    <w:rsid w:val="00AD71F8"/>
    <w:rsid w:val="00AE0FC6"/>
    <w:rsid w:val="00AE2189"/>
    <w:rsid w:val="00AE42A3"/>
    <w:rsid w:val="00AE4A46"/>
    <w:rsid w:val="00AE59BA"/>
    <w:rsid w:val="00AE5FAA"/>
    <w:rsid w:val="00AF0CDE"/>
    <w:rsid w:val="00AF18AA"/>
    <w:rsid w:val="00AF2263"/>
    <w:rsid w:val="00AF3409"/>
    <w:rsid w:val="00AF4F69"/>
    <w:rsid w:val="00AF7CA4"/>
    <w:rsid w:val="00B030CB"/>
    <w:rsid w:val="00B03F77"/>
    <w:rsid w:val="00B04152"/>
    <w:rsid w:val="00B047D3"/>
    <w:rsid w:val="00B05ED7"/>
    <w:rsid w:val="00B07E5C"/>
    <w:rsid w:val="00B11EB4"/>
    <w:rsid w:val="00B12241"/>
    <w:rsid w:val="00B1227E"/>
    <w:rsid w:val="00B1239B"/>
    <w:rsid w:val="00B128D4"/>
    <w:rsid w:val="00B1291F"/>
    <w:rsid w:val="00B143F8"/>
    <w:rsid w:val="00B14D67"/>
    <w:rsid w:val="00B15911"/>
    <w:rsid w:val="00B1661E"/>
    <w:rsid w:val="00B16CFE"/>
    <w:rsid w:val="00B1711D"/>
    <w:rsid w:val="00B171EE"/>
    <w:rsid w:val="00B2014D"/>
    <w:rsid w:val="00B20231"/>
    <w:rsid w:val="00B20244"/>
    <w:rsid w:val="00B25001"/>
    <w:rsid w:val="00B250BD"/>
    <w:rsid w:val="00B25765"/>
    <w:rsid w:val="00B26603"/>
    <w:rsid w:val="00B26A11"/>
    <w:rsid w:val="00B27428"/>
    <w:rsid w:val="00B3169A"/>
    <w:rsid w:val="00B327BC"/>
    <w:rsid w:val="00B3359A"/>
    <w:rsid w:val="00B33A6F"/>
    <w:rsid w:val="00B356D1"/>
    <w:rsid w:val="00B366EE"/>
    <w:rsid w:val="00B40485"/>
    <w:rsid w:val="00B42286"/>
    <w:rsid w:val="00B4378E"/>
    <w:rsid w:val="00B43B94"/>
    <w:rsid w:val="00B43D93"/>
    <w:rsid w:val="00B4527D"/>
    <w:rsid w:val="00B45C8B"/>
    <w:rsid w:val="00B50155"/>
    <w:rsid w:val="00B507BB"/>
    <w:rsid w:val="00B50AD1"/>
    <w:rsid w:val="00B5111F"/>
    <w:rsid w:val="00B51371"/>
    <w:rsid w:val="00B51F7C"/>
    <w:rsid w:val="00B52214"/>
    <w:rsid w:val="00B53A5D"/>
    <w:rsid w:val="00B54B8E"/>
    <w:rsid w:val="00B54DFC"/>
    <w:rsid w:val="00B55250"/>
    <w:rsid w:val="00B6099D"/>
    <w:rsid w:val="00B61F0A"/>
    <w:rsid w:val="00B63962"/>
    <w:rsid w:val="00B63DE5"/>
    <w:rsid w:val="00B63F52"/>
    <w:rsid w:val="00B6439C"/>
    <w:rsid w:val="00B644EF"/>
    <w:rsid w:val="00B64959"/>
    <w:rsid w:val="00B66959"/>
    <w:rsid w:val="00B66EA2"/>
    <w:rsid w:val="00B71139"/>
    <w:rsid w:val="00B722E6"/>
    <w:rsid w:val="00B728D6"/>
    <w:rsid w:val="00B733D5"/>
    <w:rsid w:val="00B736D1"/>
    <w:rsid w:val="00B76291"/>
    <w:rsid w:val="00B76477"/>
    <w:rsid w:val="00B7748E"/>
    <w:rsid w:val="00B81054"/>
    <w:rsid w:val="00B811F7"/>
    <w:rsid w:val="00B81EED"/>
    <w:rsid w:val="00B847BB"/>
    <w:rsid w:val="00B85FC9"/>
    <w:rsid w:val="00B93D20"/>
    <w:rsid w:val="00B953B0"/>
    <w:rsid w:val="00B95E3D"/>
    <w:rsid w:val="00B96FBC"/>
    <w:rsid w:val="00B97112"/>
    <w:rsid w:val="00BA1DF4"/>
    <w:rsid w:val="00BA2835"/>
    <w:rsid w:val="00BA34ED"/>
    <w:rsid w:val="00BA4647"/>
    <w:rsid w:val="00BA5156"/>
    <w:rsid w:val="00BA568A"/>
    <w:rsid w:val="00BA5CE0"/>
    <w:rsid w:val="00BA5DC6"/>
    <w:rsid w:val="00BA6196"/>
    <w:rsid w:val="00BA67BD"/>
    <w:rsid w:val="00BB0DD8"/>
    <w:rsid w:val="00BB0F69"/>
    <w:rsid w:val="00BB3CE3"/>
    <w:rsid w:val="00BB5CD5"/>
    <w:rsid w:val="00BB5D40"/>
    <w:rsid w:val="00BB6B90"/>
    <w:rsid w:val="00BB7F46"/>
    <w:rsid w:val="00BC0694"/>
    <w:rsid w:val="00BC087C"/>
    <w:rsid w:val="00BC1ABC"/>
    <w:rsid w:val="00BC1F44"/>
    <w:rsid w:val="00BC2484"/>
    <w:rsid w:val="00BC3C65"/>
    <w:rsid w:val="00BC5438"/>
    <w:rsid w:val="00BC5A3B"/>
    <w:rsid w:val="00BC5CE1"/>
    <w:rsid w:val="00BC5ED6"/>
    <w:rsid w:val="00BC60F1"/>
    <w:rsid w:val="00BC6679"/>
    <w:rsid w:val="00BC6D8C"/>
    <w:rsid w:val="00BC7C1C"/>
    <w:rsid w:val="00BD07BA"/>
    <w:rsid w:val="00BD0841"/>
    <w:rsid w:val="00BD215D"/>
    <w:rsid w:val="00BD4BCC"/>
    <w:rsid w:val="00BD5AC8"/>
    <w:rsid w:val="00BD7D0A"/>
    <w:rsid w:val="00BE02AF"/>
    <w:rsid w:val="00BE03BD"/>
    <w:rsid w:val="00BE23FF"/>
    <w:rsid w:val="00BE29B8"/>
    <w:rsid w:val="00BE2C68"/>
    <w:rsid w:val="00BE37AE"/>
    <w:rsid w:val="00BE5315"/>
    <w:rsid w:val="00BE6029"/>
    <w:rsid w:val="00BE7DED"/>
    <w:rsid w:val="00BF1D5D"/>
    <w:rsid w:val="00BF3EA8"/>
    <w:rsid w:val="00BF58BD"/>
    <w:rsid w:val="00BF597D"/>
    <w:rsid w:val="00C01F13"/>
    <w:rsid w:val="00C020BC"/>
    <w:rsid w:val="00C027B3"/>
    <w:rsid w:val="00C02F26"/>
    <w:rsid w:val="00C03591"/>
    <w:rsid w:val="00C03ADE"/>
    <w:rsid w:val="00C03ECE"/>
    <w:rsid w:val="00C05623"/>
    <w:rsid w:val="00C06F10"/>
    <w:rsid w:val="00C10791"/>
    <w:rsid w:val="00C13301"/>
    <w:rsid w:val="00C13B15"/>
    <w:rsid w:val="00C13E31"/>
    <w:rsid w:val="00C15A19"/>
    <w:rsid w:val="00C20E60"/>
    <w:rsid w:val="00C217E2"/>
    <w:rsid w:val="00C22B27"/>
    <w:rsid w:val="00C23C2A"/>
    <w:rsid w:val="00C26EF1"/>
    <w:rsid w:val="00C300AE"/>
    <w:rsid w:val="00C32233"/>
    <w:rsid w:val="00C3319D"/>
    <w:rsid w:val="00C34006"/>
    <w:rsid w:val="00C34B31"/>
    <w:rsid w:val="00C36DE5"/>
    <w:rsid w:val="00C375A3"/>
    <w:rsid w:val="00C40BE1"/>
    <w:rsid w:val="00C426B1"/>
    <w:rsid w:val="00C4408A"/>
    <w:rsid w:val="00C4448C"/>
    <w:rsid w:val="00C45893"/>
    <w:rsid w:val="00C45A43"/>
    <w:rsid w:val="00C45F51"/>
    <w:rsid w:val="00C46AA4"/>
    <w:rsid w:val="00C502FF"/>
    <w:rsid w:val="00C510CF"/>
    <w:rsid w:val="00C514AA"/>
    <w:rsid w:val="00C519D9"/>
    <w:rsid w:val="00C524C6"/>
    <w:rsid w:val="00C525F1"/>
    <w:rsid w:val="00C52A50"/>
    <w:rsid w:val="00C5428C"/>
    <w:rsid w:val="00C54813"/>
    <w:rsid w:val="00C55A8D"/>
    <w:rsid w:val="00C57814"/>
    <w:rsid w:val="00C57B38"/>
    <w:rsid w:val="00C604E2"/>
    <w:rsid w:val="00C62068"/>
    <w:rsid w:val="00C62814"/>
    <w:rsid w:val="00C6306F"/>
    <w:rsid w:val="00C65656"/>
    <w:rsid w:val="00C656EA"/>
    <w:rsid w:val="00C658AE"/>
    <w:rsid w:val="00C66160"/>
    <w:rsid w:val="00C66548"/>
    <w:rsid w:val="00C6736C"/>
    <w:rsid w:val="00C70D48"/>
    <w:rsid w:val="00C70E00"/>
    <w:rsid w:val="00C71CEA"/>
    <w:rsid w:val="00C721AC"/>
    <w:rsid w:val="00C7423F"/>
    <w:rsid w:val="00C7746E"/>
    <w:rsid w:val="00C77989"/>
    <w:rsid w:val="00C8032C"/>
    <w:rsid w:val="00C81B0C"/>
    <w:rsid w:val="00C81E3E"/>
    <w:rsid w:val="00C8396A"/>
    <w:rsid w:val="00C857E3"/>
    <w:rsid w:val="00C86571"/>
    <w:rsid w:val="00C86B6D"/>
    <w:rsid w:val="00C876AA"/>
    <w:rsid w:val="00C9009D"/>
    <w:rsid w:val="00C90BF0"/>
    <w:rsid w:val="00C90D6A"/>
    <w:rsid w:val="00C9120B"/>
    <w:rsid w:val="00C92ED7"/>
    <w:rsid w:val="00C94DE5"/>
    <w:rsid w:val="00C9603D"/>
    <w:rsid w:val="00C96CA6"/>
    <w:rsid w:val="00C97A10"/>
    <w:rsid w:val="00CA247E"/>
    <w:rsid w:val="00CA428E"/>
    <w:rsid w:val="00CA54C2"/>
    <w:rsid w:val="00CA5F3C"/>
    <w:rsid w:val="00CA609B"/>
    <w:rsid w:val="00CA662E"/>
    <w:rsid w:val="00CA7C9D"/>
    <w:rsid w:val="00CB1D85"/>
    <w:rsid w:val="00CB25E9"/>
    <w:rsid w:val="00CB52F0"/>
    <w:rsid w:val="00CB6375"/>
    <w:rsid w:val="00CB6D42"/>
    <w:rsid w:val="00CB729F"/>
    <w:rsid w:val="00CB795D"/>
    <w:rsid w:val="00CB7FE9"/>
    <w:rsid w:val="00CC1950"/>
    <w:rsid w:val="00CC1CC5"/>
    <w:rsid w:val="00CC1EE5"/>
    <w:rsid w:val="00CC2DA3"/>
    <w:rsid w:val="00CC2E86"/>
    <w:rsid w:val="00CC40A9"/>
    <w:rsid w:val="00CC458A"/>
    <w:rsid w:val="00CC503C"/>
    <w:rsid w:val="00CC55C4"/>
    <w:rsid w:val="00CC5BAB"/>
    <w:rsid w:val="00CC6544"/>
    <w:rsid w:val="00CC6F08"/>
    <w:rsid w:val="00CC72B6"/>
    <w:rsid w:val="00CC7627"/>
    <w:rsid w:val="00CD018E"/>
    <w:rsid w:val="00CD0D0F"/>
    <w:rsid w:val="00CD2189"/>
    <w:rsid w:val="00CD22B0"/>
    <w:rsid w:val="00CD2FEE"/>
    <w:rsid w:val="00CD5680"/>
    <w:rsid w:val="00CD6286"/>
    <w:rsid w:val="00CD63E4"/>
    <w:rsid w:val="00CD783F"/>
    <w:rsid w:val="00CE0DFA"/>
    <w:rsid w:val="00CE32BD"/>
    <w:rsid w:val="00CE41A2"/>
    <w:rsid w:val="00CE5D75"/>
    <w:rsid w:val="00CE624B"/>
    <w:rsid w:val="00CE68C0"/>
    <w:rsid w:val="00CF4F1D"/>
    <w:rsid w:val="00CF6D86"/>
    <w:rsid w:val="00CF7030"/>
    <w:rsid w:val="00CF7EBB"/>
    <w:rsid w:val="00CF7EC8"/>
    <w:rsid w:val="00D000E6"/>
    <w:rsid w:val="00D008C4"/>
    <w:rsid w:val="00D0218D"/>
    <w:rsid w:val="00D02895"/>
    <w:rsid w:val="00D04C51"/>
    <w:rsid w:val="00D050D6"/>
    <w:rsid w:val="00D05F08"/>
    <w:rsid w:val="00D06C7E"/>
    <w:rsid w:val="00D078A5"/>
    <w:rsid w:val="00D101C2"/>
    <w:rsid w:val="00D10843"/>
    <w:rsid w:val="00D10B47"/>
    <w:rsid w:val="00D166FC"/>
    <w:rsid w:val="00D16DE5"/>
    <w:rsid w:val="00D16E5B"/>
    <w:rsid w:val="00D1710F"/>
    <w:rsid w:val="00D21E31"/>
    <w:rsid w:val="00D2456C"/>
    <w:rsid w:val="00D24E95"/>
    <w:rsid w:val="00D25FB5"/>
    <w:rsid w:val="00D271ED"/>
    <w:rsid w:val="00D2737B"/>
    <w:rsid w:val="00D27A9C"/>
    <w:rsid w:val="00D303E0"/>
    <w:rsid w:val="00D312A6"/>
    <w:rsid w:val="00D31453"/>
    <w:rsid w:val="00D334D7"/>
    <w:rsid w:val="00D3351E"/>
    <w:rsid w:val="00D352B5"/>
    <w:rsid w:val="00D37439"/>
    <w:rsid w:val="00D37B1D"/>
    <w:rsid w:val="00D4030B"/>
    <w:rsid w:val="00D403A0"/>
    <w:rsid w:val="00D4181D"/>
    <w:rsid w:val="00D420BB"/>
    <w:rsid w:val="00D42E69"/>
    <w:rsid w:val="00D4354D"/>
    <w:rsid w:val="00D44223"/>
    <w:rsid w:val="00D46379"/>
    <w:rsid w:val="00D46FDD"/>
    <w:rsid w:val="00D475FA"/>
    <w:rsid w:val="00D47BB2"/>
    <w:rsid w:val="00D50D2F"/>
    <w:rsid w:val="00D515CA"/>
    <w:rsid w:val="00D53628"/>
    <w:rsid w:val="00D53C9F"/>
    <w:rsid w:val="00D53CF6"/>
    <w:rsid w:val="00D545FF"/>
    <w:rsid w:val="00D5654A"/>
    <w:rsid w:val="00D60087"/>
    <w:rsid w:val="00D60685"/>
    <w:rsid w:val="00D61525"/>
    <w:rsid w:val="00D62C28"/>
    <w:rsid w:val="00D62D41"/>
    <w:rsid w:val="00D65B27"/>
    <w:rsid w:val="00D66EFE"/>
    <w:rsid w:val="00D67D66"/>
    <w:rsid w:val="00D67D7D"/>
    <w:rsid w:val="00D67F89"/>
    <w:rsid w:val="00D72558"/>
    <w:rsid w:val="00D730D9"/>
    <w:rsid w:val="00D7522E"/>
    <w:rsid w:val="00D7575A"/>
    <w:rsid w:val="00D80292"/>
    <w:rsid w:val="00D815D5"/>
    <w:rsid w:val="00D82A89"/>
    <w:rsid w:val="00D83646"/>
    <w:rsid w:val="00D840FF"/>
    <w:rsid w:val="00D84128"/>
    <w:rsid w:val="00D84819"/>
    <w:rsid w:val="00D84B5E"/>
    <w:rsid w:val="00D850DD"/>
    <w:rsid w:val="00D867B4"/>
    <w:rsid w:val="00D86A92"/>
    <w:rsid w:val="00D87226"/>
    <w:rsid w:val="00D90FCC"/>
    <w:rsid w:val="00D910A8"/>
    <w:rsid w:val="00D92E45"/>
    <w:rsid w:val="00D94391"/>
    <w:rsid w:val="00D9453F"/>
    <w:rsid w:val="00D94C3C"/>
    <w:rsid w:val="00DA2529"/>
    <w:rsid w:val="00DA2E0B"/>
    <w:rsid w:val="00DA3AB8"/>
    <w:rsid w:val="00DA42EC"/>
    <w:rsid w:val="00DA47B9"/>
    <w:rsid w:val="00DA49C7"/>
    <w:rsid w:val="00DA676E"/>
    <w:rsid w:val="00DA7D22"/>
    <w:rsid w:val="00DA7FE7"/>
    <w:rsid w:val="00DB0391"/>
    <w:rsid w:val="00DB130A"/>
    <w:rsid w:val="00DB2EBB"/>
    <w:rsid w:val="00DB3BD1"/>
    <w:rsid w:val="00DB42D1"/>
    <w:rsid w:val="00DB460A"/>
    <w:rsid w:val="00DB5166"/>
    <w:rsid w:val="00DB54D5"/>
    <w:rsid w:val="00DB6AAB"/>
    <w:rsid w:val="00DB7E00"/>
    <w:rsid w:val="00DC0387"/>
    <w:rsid w:val="00DC10A1"/>
    <w:rsid w:val="00DC2263"/>
    <w:rsid w:val="00DC26AB"/>
    <w:rsid w:val="00DC655F"/>
    <w:rsid w:val="00DC7826"/>
    <w:rsid w:val="00DD090D"/>
    <w:rsid w:val="00DD0B59"/>
    <w:rsid w:val="00DD11FB"/>
    <w:rsid w:val="00DD2D73"/>
    <w:rsid w:val="00DD5310"/>
    <w:rsid w:val="00DD7023"/>
    <w:rsid w:val="00DD76B9"/>
    <w:rsid w:val="00DD7841"/>
    <w:rsid w:val="00DD7EBD"/>
    <w:rsid w:val="00DE1B85"/>
    <w:rsid w:val="00DE2332"/>
    <w:rsid w:val="00DE4409"/>
    <w:rsid w:val="00DE67E4"/>
    <w:rsid w:val="00DE72EE"/>
    <w:rsid w:val="00DE748D"/>
    <w:rsid w:val="00DE7498"/>
    <w:rsid w:val="00DF1733"/>
    <w:rsid w:val="00DF22AD"/>
    <w:rsid w:val="00DF26EF"/>
    <w:rsid w:val="00DF3BB4"/>
    <w:rsid w:val="00DF62B6"/>
    <w:rsid w:val="00E00336"/>
    <w:rsid w:val="00E00DC5"/>
    <w:rsid w:val="00E01150"/>
    <w:rsid w:val="00E01E6C"/>
    <w:rsid w:val="00E04DEC"/>
    <w:rsid w:val="00E05766"/>
    <w:rsid w:val="00E05CE4"/>
    <w:rsid w:val="00E065D2"/>
    <w:rsid w:val="00E07225"/>
    <w:rsid w:val="00E1084E"/>
    <w:rsid w:val="00E108EB"/>
    <w:rsid w:val="00E11256"/>
    <w:rsid w:val="00E11526"/>
    <w:rsid w:val="00E15040"/>
    <w:rsid w:val="00E152A1"/>
    <w:rsid w:val="00E155F4"/>
    <w:rsid w:val="00E15664"/>
    <w:rsid w:val="00E15827"/>
    <w:rsid w:val="00E159A5"/>
    <w:rsid w:val="00E200AF"/>
    <w:rsid w:val="00E20A6A"/>
    <w:rsid w:val="00E212E3"/>
    <w:rsid w:val="00E222E1"/>
    <w:rsid w:val="00E238C8"/>
    <w:rsid w:val="00E23E5E"/>
    <w:rsid w:val="00E24267"/>
    <w:rsid w:val="00E26257"/>
    <w:rsid w:val="00E266C4"/>
    <w:rsid w:val="00E26904"/>
    <w:rsid w:val="00E3031F"/>
    <w:rsid w:val="00E30A9F"/>
    <w:rsid w:val="00E30BC5"/>
    <w:rsid w:val="00E319D6"/>
    <w:rsid w:val="00E31FD9"/>
    <w:rsid w:val="00E32346"/>
    <w:rsid w:val="00E32890"/>
    <w:rsid w:val="00E32902"/>
    <w:rsid w:val="00E3290D"/>
    <w:rsid w:val="00E33725"/>
    <w:rsid w:val="00E33D75"/>
    <w:rsid w:val="00E3542F"/>
    <w:rsid w:val="00E35775"/>
    <w:rsid w:val="00E36EA4"/>
    <w:rsid w:val="00E37720"/>
    <w:rsid w:val="00E37BD6"/>
    <w:rsid w:val="00E43312"/>
    <w:rsid w:val="00E44328"/>
    <w:rsid w:val="00E44894"/>
    <w:rsid w:val="00E45EB7"/>
    <w:rsid w:val="00E47CA9"/>
    <w:rsid w:val="00E500C2"/>
    <w:rsid w:val="00E5017A"/>
    <w:rsid w:val="00E5074F"/>
    <w:rsid w:val="00E5106F"/>
    <w:rsid w:val="00E5205B"/>
    <w:rsid w:val="00E524A9"/>
    <w:rsid w:val="00E52D14"/>
    <w:rsid w:val="00E531CA"/>
    <w:rsid w:val="00E5409F"/>
    <w:rsid w:val="00E54D19"/>
    <w:rsid w:val="00E54D9A"/>
    <w:rsid w:val="00E57FAB"/>
    <w:rsid w:val="00E6024E"/>
    <w:rsid w:val="00E60AE2"/>
    <w:rsid w:val="00E626AB"/>
    <w:rsid w:val="00E631DB"/>
    <w:rsid w:val="00E63433"/>
    <w:rsid w:val="00E6346F"/>
    <w:rsid w:val="00E64A5C"/>
    <w:rsid w:val="00E65D37"/>
    <w:rsid w:val="00E677A4"/>
    <w:rsid w:val="00E70105"/>
    <w:rsid w:val="00E70889"/>
    <w:rsid w:val="00E72751"/>
    <w:rsid w:val="00E73884"/>
    <w:rsid w:val="00E7715D"/>
    <w:rsid w:val="00E776C6"/>
    <w:rsid w:val="00E77A9B"/>
    <w:rsid w:val="00E80E69"/>
    <w:rsid w:val="00E80EE7"/>
    <w:rsid w:val="00E8184B"/>
    <w:rsid w:val="00E824A2"/>
    <w:rsid w:val="00E82DEC"/>
    <w:rsid w:val="00E8367D"/>
    <w:rsid w:val="00E83E66"/>
    <w:rsid w:val="00E84679"/>
    <w:rsid w:val="00E8558D"/>
    <w:rsid w:val="00E85DA1"/>
    <w:rsid w:val="00E87DA3"/>
    <w:rsid w:val="00E909FA"/>
    <w:rsid w:val="00E923F1"/>
    <w:rsid w:val="00E92FF8"/>
    <w:rsid w:val="00E935BB"/>
    <w:rsid w:val="00EA1A71"/>
    <w:rsid w:val="00EA2D54"/>
    <w:rsid w:val="00EB1594"/>
    <w:rsid w:val="00EB23E9"/>
    <w:rsid w:val="00EB4630"/>
    <w:rsid w:val="00EB54D9"/>
    <w:rsid w:val="00EB575C"/>
    <w:rsid w:val="00EB5993"/>
    <w:rsid w:val="00EC0A93"/>
    <w:rsid w:val="00EC1656"/>
    <w:rsid w:val="00EC17A3"/>
    <w:rsid w:val="00EC1AC8"/>
    <w:rsid w:val="00EC2069"/>
    <w:rsid w:val="00EC2F1F"/>
    <w:rsid w:val="00EC30A3"/>
    <w:rsid w:val="00EC475C"/>
    <w:rsid w:val="00EC519C"/>
    <w:rsid w:val="00EC53CC"/>
    <w:rsid w:val="00EC5517"/>
    <w:rsid w:val="00EC5C75"/>
    <w:rsid w:val="00EC5FB0"/>
    <w:rsid w:val="00EC67BF"/>
    <w:rsid w:val="00EC6A48"/>
    <w:rsid w:val="00EC7066"/>
    <w:rsid w:val="00EC7196"/>
    <w:rsid w:val="00ED0B25"/>
    <w:rsid w:val="00ED285E"/>
    <w:rsid w:val="00ED3484"/>
    <w:rsid w:val="00ED35A8"/>
    <w:rsid w:val="00ED4042"/>
    <w:rsid w:val="00ED4D8A"/>
    <w:rsid w:val="00ED4F7D"/>
    <w:rsid w:val="00ED50D5"/>
    <w:rsid w:val="00ED526C"/>
    <w:rsid w:val="00ED7612"/>
    <w:rsid w:val="00EE0150"/>
    <w:rsid w:val="00EE126A"/>
    <w:rsid w:val="00EE3864"/>
    <w:rsid w:val="00EE411E"/>
    <w:rsid w:val="00EE4982"/>
    <w:rsid w:val="00EE4E36"/>
    <w:rsid w:val="00EE596B"/>
    <w:rsid w:val="00EE63ED"/>
    <w:rsid w:val="00EE6488"/>
    <w:rsid w:val="00EE66DF"/>
    <w:rsid w:val="00EE7194"/>
    <w:rsid w:val="00EE71D9"/>
    <w:rsid w:val="00EF0E2A"/>
    <w:rsid w:val="00EF12A9"/>
    <w:rsid w:val="00EF13AB"/>
    <w:rsid w:val="00EF5057"/>
    <w:rsid w:val="00EF528F"/>
    <w:rsid w:val="00EF5492"/>
    <w:rsid w:val="00EF56C4"/>
    <w:rsid w:val="00EF6B96"/>
    <w:rsid w:val="00EF6C68"/>
    <w:rsid w:val="00EF72BC"/>
    <w:rsid w:val="00F00168"/>
    <w:rsid w:val="00F0081C"/>
    <w:rsid w:val="00F00E5E"/>
    <w:rsid w:val="00F021FA"/>
    <w:rsid w:val="00F0249D"/>
    <w:rsid w:val="00F026C6"/>
    <w:rsid w:val="00F02D7E"/>
    <w:rsid w:val="00F03106"/>
    <w:rsid w:val="00F03F59"/>
    <w:rsid w:val="00F04E10"/>
    <w:rsid w:val="00F053CB"/>
    <w:rsid w:val="00F0551A"/>
    <w:rsid w:val="00F05DED"/>
    <w:rsid w:val="00F066A3"/>
    <w:rsid w:val="00F10886"/>
    <w:rsid w:val="00F10B84"/>
    <w:rsid w:val="00F10BED"/>
    <w:rsid w:val="00F115B5"/>
    <w:rsid w:val="00F149A7"/>
    <w:rsid w:val="00F1551C"/>
    <w:rsid w:val="00F15B07"/>
    <w:rsid w:val="00F17352"/>
    <w:rsid w:val="00F173BF"/>
    <w:rsid w:val="00F203F7"/>
    <w:rsid w:val="00F20F50"/>
    <w:rsid w:val="00F222AD"/>
    <w:rsid w:val="00F2363E"/>
    <w:rsid w:val="00F2382C"/>
    <w:rsid w:val="00F238A1"/>
    <w:rsid w:val="00F23D3D"/>
    <w:rsid w:val="00F254D8"/>
    <w:rsid w:val="00F3074B"/>
    <w:rsid w:val="00F3080D"/>
    <w:rsid w:val="00F30B25"/>
    <w:rsid w:val="00F31AA4"/>
    <w:rsid w:val="00F31F42"/>
    <w:rsid w:val="00F32346"/>
    <w:rsid w:val="00F34D0C"/>
    <w:rsid w:val="00F34D50"/>
    <w:rsid w:val="00F40688"/>
    <w:rsid w:val="00F41692"/>
    <w:rsid w:val="00F42EC1"/>
    <w:rsid w:val="00F44499"/>
    <w:rsid w:val="00F44E18"/>
    <w:rsid w:val="00F45F6A"/>
    <w:rsid w:val="00F4718C"/>
    <w:rsid w:val="00F47547"/>
    <w:rsid w:val="00F47CA5"/>
    <w:rsid w:val="00F523FB"/>
    <w:rsid w:val="00F529C0"/>
    <w:rsid w:val="00F52FD9"/>
    <w:rsid w:val="00F549E0"/>
    <w:rsid w:val="00F560DD"/>
    <w:rsid w:val="00F568E3"/>
    <w:rsid w:val="00F5769E"/>
    <w:rsid w:val="00F61201"/>
    <w:rsid w:val="00F613DA"/>
    <w:rsid w:val="00F62E97"/>
    <w:rsid w:val="00F637F0"/>
    <w:rsid w:val="00F64209"/>
    <w:rsid w:val="00F655CE"/>
    <w:rsid w:val="00F65821"/>
    <w:rsid w:val="00F6709D"/>
    <w:rsid w:val="00F671D7"/>
    <w:rsid w:val="00F67954"/>
    <w:rsid w:val="00F70510"/>
    <w:rsid w:val="00F708BB"/>
    <w:rsid w:val="00F70925"/>
    <w:rsid w:val="00F71A29"/>
    <w:rsid w:val="00F71C99"/>
    <w:rsid w:val="00F726C7"/>
    <w:rsid w:val="00F74AE7"/>
    <w:rsid w:val="00F74CDA"/>
    <w:rsid w:val="00F75460"/>
    <w:rsid w:val="00F76CAF"/>
    <w:rsid w:val="00F77668"/>
    <w:rsid w:val="00F77CE6"/>
    <w:rsid w:val="00F80553"/>
    <w:rsid w:val="00F80886"/>
    <w:rsid w:val="00F833F7"/>
    <w:rsid w:val="00F836C3"/>
    <w:rsid w:val="00F842E3"/>
    <w:rsid w:val="00F85F65"/>
    <w:rsid w:val="00F867E3"/>
    <w:rsid w:val="00F86954"/>
    <w:rsid w:val="00F86CCB"/>
    <w:rsid w:val="00F900D3"/>
    <w:rsid w:val="00F92162"/>
    <w:rsid w:val="00F9231E"/>
    <w:rsid w:val="00F9390C"/>
    <w:rsid w:val="00F93BF5"/>
    <w:rsid w:val="00F9472C"/>
    <w:rsid w:val="00F95609"/>
    <w:rsid w:val="00F95D3D"/>
    <w:rsid w:val="00F96083"/>
    <w:rsid w:val="00F96767"/>
    <w:rsid w:val="00F971E8"/>
    <w:rsid w:val="00F97652"/>
    <w:rsid w:val="00F97BE9"/>
    <w:rsid w:val="00FA3991"/>
    <w:rsid w:val="00FA4D0B"/>
    <w:rsid w:val="00FA5092"/>
    <w:rsid w:val="00FA6403"/>
    <w:rsid w:val="00FB02CC"/>
    <w:rsid w:val="00FB321D"/>
    <w:rsid w:val="00FB4068"/>
    <w:rsid w:val="00FB42B6"/>
    <w:rsid w:val="00FB4806"/>
    <w:rsid w:val="00FB5DBB"/>
    <w:rsid w:val="00FB6758"/>
    <w:rsid w:val="00FB778C"/>
    <w:rsid w:val="00FC06E2"/>
    <w:rsid w:val="00FC097B"/>
    <w:rsid w:val="00FC1B43"/>
    <w:rsid w:val="00FC2181"/>
    <w:rsid w:val="00FC2392"/>
    <w:rsid w:val="00FC5A5D"/>
    <w:rsid w:val="00FC5E91"/>
    <w:rsid w:val="00FC6688"/>
    <w:rsid w:val="00FC79B5"/>
    <w:rsid w:val="00FC7E53"/>
    <w:rsid w:val="00FC7F86"/>
    <w:rsid w:val="00FD10B7"/>
    <w:rsid w:val="00FD161D"/>
    <w:rsid w:val="00FD18AC"/>
    <w:rsid w:val="00FD515C"/>
    <w:rsid w:val="00FD5346"/>
    <w:rsid w:val="00FD535F"/>
    <w:rsid w:val="00FD55FB"/>
    <w:rsid w:val="00FD6EF2"/>
    <w:rsid w:val="00FE0B69"/>
    <w:rsid w:val="00FE1B85"/>
    <w:rsid w:val="00FE3A22"/>
    <w:rsid w:val="00FE50DC"/>
    <w:rsid w:val="00FE7935"/>
    <w:rsid w:val="00FF1901"/>
    <w:rsid w:val="00FF2A0A"/>
    <w:rsid w:val="00FF2C45"/>
    <w:rsid w:val="00FF3262"/>
    <w:rsid w:val="00FF341A"/>
    <w:rsid w:val="00FF4D65"/>
    <w:rsid w:val="00FF5094"/>
    <w:rsid w:val="00FF5BF5"/>
    <w:rsid w:val="00FF6545"/>
    <w:rsid w:val="00FF6BB9"/>
    <w:rsid w:val="00FF7122"/>
    <w:rsid w:val="00FF75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C6"/>
    <w:pPr>
      <w:widowControl w:val="0"/>
    </w:pPr>
    <w:rPr>
      <w:snapToGrid w:val="0"/>
      <w:kern w:val="28"/>
      <w:sz w:val="22"/>
    </w:rPr>
  </w:style>
  <w:style w:type="paragraph" w:styleId="Heading1">
    <w:name w:val="heading 1"/>
    <w:basedOn w:val="Normal"/>
    <w:next w:val="ParaNum"/>
    <w:qFormat/>
    <w:rsid w:val="00E776C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76C6"/>
    <w:pPr>
      <w:keepNext/>
      <w:numPr>
        <w:ilvl w:val="1"/>
        <w:numId w:val="2"/>
      </w:numPr>
      <w:spacing w:after="120"/>
      <w:outlineLvl w:val="1"/>
    </w:pPr>
    <w:rPr>
      <w:b/>
    </w:rPr>
  </w:style>
  <w:style w:type="paragraph" w:styleId="Heading3">
    <w:name w:val="heading 3"/>
    <w:basedOn w:val="Normal"/>
    <w:next w:val="ParaNum"/>
    <w:qFormat/>
    <w:rsid w:val="00E776C6"/>
    <w:pPr>
      <w:keepNext/>
      <w:numPr>
        <w:ilvl w:val="2"/>
        <w:numId w:val="2"/>
      </w:numPr>
      <w:tabs>
        <w:tab w:val="left" w:pos="2160"/>
      </w:tabs>
      <w:spacing w:after="120"/>
      <w:outlineLvl w:val="2"/>
    </w:pPr>
    <w:rPr>
      <w:b/>
    </w:rPr>
  </w:style>
  <w:style w:type="paragraph" w:styleId="Heading4">
    <w:name w:val="heading 4"/>
    <w:basedOn w:val="Normal"/>
    <w:next w:val="ParaNum"/>
    <w:qFormat/>
    <w:rsid w:val="00E776C6"/>
    <w:pPr>
      <w:keepNext/>
      <w:numPr>
        <w:ilvl w:val="3"/>
        <w:numId w:val="2"/>
      </w:numPr>
      <w:tabs>
        <w:tab w:val="left" w:pos="2880"/>
      </w:tabs>
      <w:spacing w:after="120"/>
      <w:outlineLvl w:val="3"/>
    </w:pPr>
    <w:rPr>
      <w:b/>
    </w:rPr>
  </w:style>
  <w:style w:type="paragraph" w:styleId="Heading5">
    <w:name w:val="heading 5"/>
    <w:basedOn w:val="Normal"/>
    <w:next w:val="ParaNum"/>
    <w:qFormat/>
    <w:rsid w:val="00E776C6"/>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776C6"/>
    <w:pPr>
      <w:numPr>
        <w:ilvl w:val="5"/>
        <w:numId w:val="2"/>
      </w:numPr>
      <w:tabs>
        <w:tab w:val="left" w:pos="4320"/>
      </w:tabs>
      <w:spacing w:after="120"/>
      <w:outlineLvl w:val="5"/>
    </w:pPr>
    <w:rPr>
      <w:b/>
    </w:rPr>
  </w:style>
  <w:style w:type="paragraph" w:styleId="Heading7">
    <w:name w:val="heading 7"/>
    <w:basedOn w:val="Normal"/>
    <w:next w:val="ParaNum"/>
    <w:qFormat/>
    <w:rsid w:val="00E776C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776C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776C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76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6C6"/>
  </w:style>
  <w:style w:type="paragraph" w:customStyle="1" w:styleId="ParaNum">
    <w:name w:val="ParaNum"/>
    <w:basedOn w:val="Normal"/>
    <w:link w:val="ParaNumChar1"/>
    <w:rsid w:val="00E776C6"/>
    <w:pPr>
      <w:numPr>
        <w:numId w:val="1"/>
      </w:numPr>
      <w:tabs>
        <w:tab w:val="clear" w:pos="1080"/>
        <w:tab w:val="num" w:pos="1440"/>
      </w:tabs>
      <w:spacing w:after="120"/>
    </w:pPr>
  </w:style>
  <w:style w:type="paragraph" w:styleId="EndnoteText">
    <w:name w:val="endnote text"/>
    <w:basedOn w:val="Normal"/>
    <w:semiHidden/>
    <w:rsid w:val="00E776C6"/>
    <w:rPr>
      <w:sz w:val="20"/>
    </w:rPr>
  </w:style>
  <w:style w:type="character" w:styleId="EndnoteReference">
    <w:name w:val="endnote reference"/>
    <w:semiHidden/>
    <w:rsid w:val="00E776C6"/>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n,ft"/>
    <w:link w:val="FootnoteTextChar"/>
    <w:rsid w:val="00E776C6"/>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E776C6"/>
    <w:rPr>
      <w:rFonts w:ascii="Times New Roman" w:hAnsi="Times New Roman"/>
      <w:dstrike w:val="0"/>
      <w:color w:val="auto"/>
      <w:sz w:val="20"/>
      <w:vertAlign w:val="superscript"/>
    </w:rPr>
  </w:style>
  <w:style w:type="paragraph" w:styleId="TOC1">
    <w:name w:val="toc 1"/>
    <w:basedOn w:val="Normal"/>
    <w:next w:val="Normal"/>
    <w:semiHidden/>
    <w:rsid w:val="00E776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76C6"/>
    <w:pPr>
      <w:tabs>
        <w:tab w:val="left" w:pos="720"/>
        <w:tab w:val="right" w:leader="dot" w:pos="9360"/>
      </w:tabs>
      <w:suppressAutoHyphens/>
      <w:ind w:left="720" w:right="720" w:hanging="360"/>
    </w:pPr>
    <w:rPr>
      <w:noProof/>
    </w:rPr>
  </w:style>
  <w:style w:type="paragraph" w:styleId="TOC3">
    <w:name w:val="toc 3"/>
    <w:basedOn w:val="Normal"/>
    <w:next w:val="Normal"/>
    <w:semiHidden/>
    <w:rsid w:val="00E776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76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76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76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76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76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76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76C6"/>
    <w:pPr>
      <w:tabs>
        <w:tab w:val="right" w:pos="9360"/>
      </w:tabs>
      <w:suppressAutoHyphens/>
    </w:pPr>
  </w:style>
  <w:style w:type="character" w:customStyle="1" w:styleId="EquationCaption">
    <w:name w:val="_Equation Caption"/>
    <w:rsid w:val="00E776C6"/>
  </w:style>
  <w:style w:type="paragraph" w:styleId="Header">
    <w:name w:val="header"/>
    <w:basedOn w:val="Normal"/>
    <w:autoRedefine/>
    <w:rsid w:val="00E776C6"/>
    <w:pPr>
      <w:tabs>
        <w:tab w:val="center" w:pos="4680"/>
        <w:tab w:val="right" w:pos="9360"/>
      </w:tabs>
    </w:pPr>
    <w:rPr>
      <w:b/>
    </w:rPr>
  </w:style>
  <w:style w:type="paragraph" w:styleId="Footer">
    <w:name w:val="footer"/>
    <w:basedOn w:val="Normal"/>
    <w:link w:val="FooterChar"/>
    <w:uiPriority w:val="99"/>
    <w:rsid w:val="00E776C6"/>
    <w:pPr>
      <w:tabs>
        <w:tab w:val="center" w:pos="4320"/>
        <w:tab w:val="right" w:pos="8640"/>
      </w:tabs>
    </w:pPr>
  </w:style>
  <w:style w:type="character" w:styleId="PageNumber">
    <w:name w:val="page number"/>
    <w:basedOn w:val="DefaultParagraphFont"/>
    <w:rsid w:val="00E776C6"/>
  </w:style>
  <w:style w:type="paragraph" w:styleId="BlockText">
    <w:name w:val="Block Text"/>
    <w:basedOn w:val="Normal"/>
    <w:rsid w:val="00E776C6"/>
    <w:pPr>
      <w:spacing w:after="240"/>
      <w:ind w:left="1440" w:right="1440"/>
    </w:pPr>
  </w:style>
  <w:style w:type="paragraph" w:customStyle="1" w:styleId="Paratitle">
    <w:name w:val="Para title"/>
    <w:basedOn w:val="Normal"/>
    <w:rsid w:val="00E776C6"/>
    <w:pPr>
      <w:tabs>
        <w:tab w:val="center" w:pos="9270"/>
      </w:tabs>
      <w:spacing w:after="240"/>
    </w:pPr>
    <w:rPr>
      <w:spacing w:val="-2"/>
    </w:rPr>
  </w:style>
  <w:style w:type="paragraph" w:customStyle="1" w:styleId="Bullet">
    <w:name w:val="Bullet"/>
    <w:basedOn w:val="Normal"/>
    <w:rsid w:val="00E776C6"/>
    <w:pPr>
      <w:tabs>
        <w:tab w:val="left" w:pos="2160"/>
      </w:tabs>
      <w:spacing w:after="220"/>
      <w:ind w:left="2160" w:hanging="720"/>
    </w:pPr>
  </w:style>
  <w:style w:type="paragraph" w:customStyle="1" w:styleId="TableFormat">
    <w:name w:val="TableFormat"/>
    <w:basedOn w:val="Bullet"/>
    <w:rsid w:val="00E776C6"/>
    <w:pPr>
      <w:tabs>
        <w:tab w:val="clear" w:pos="2160"/>
        <w:tab w:val="left" w:pos="5040"/>
      </w:tabs>
      <w:ind w:left="5040" w:hanging="3600"/>
    </w:pPr>
  </w:style>
  <w:style w:type="paragraph" w:customStyle="1" w:styleId="TOCTitle">
    <w:name w:val="TOC Title"/>
    <w:basedOn w:val="Normal"/>
    <w:rsid w:val="00E776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76C6"/>
    <w:pPr>
      <w:jc w:val="center"/>
    </w:pPr>
    <w:rPr>
      <w:rFonts w:ascii="Times New Roman Bold" w:hAnsi="Times New Roman Bold"/>
      <w:b/>
      <w:bCs/>
      <w:caps/>
      <w:szCs w:val="22"/>
    </w:rPr>
  </w:style>
  <w:style w:type="character" w:styleId="Hyperlink">
    <w:name w:val="Hyperlink"/>
    <w:rsid w:val="00E776C6"/>
    <w:rPr>
      <w:color w:val="0000FF"/>
      <w:u w:val="single"/>
    </w:rPr>
  </w:style>
  <w:style w:type="character" w:customStyle="1" w:styleId="FootnoteTextChar">
    <w:name w:val="Footnote Text Char"/>
    <w:aliases w:val="Footnote Text Char Char Char Char Char Char1,Footnote Text Char Char Char Char1,Footnote Text Char1 Char Char Char Char Char Char1,Footnote Text Char1 Char Char Char Char1,Footnote Text Char1 Char Char1,Footnote Text Char1 Char1"/>
    <w:link w:val="FootnoteText"/>
    <w:rsid w:val="00BA5CE0"/>
  </w:style>
  <w:style w:type="table" w:styleId="TableGrid">
    <w:name w:val="Table Grid"/>
    <w:basedOn w:val="TableNormal"/>
    <w:rsid w:val="003C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Footnote Text Char Char,Footnote Text Char Char Char Char,Footnote Text Char Char Char Char Char Char,Footnote Text Char1 Char Char,Footnote Text Char1 Char Char Char Char,Footnote Text Char1 Char Char Char Char Char Char,ft Char"/>
    <w:rsid w:val="00C57B38"/>
  </w:style>
  <w:style w:type="paragraph" w:styleId="BalloonText">
    <w:name w:val="Balloon Text"/>
    <w:basedOn w:val="Normal"/>
    <w:link w:val="BalloonTextChar"/>
    <w:rsid w:val="00E500C2"/>
    <w:rPr>
      <w:rFonts w:ascii="Segoe UI" w:hAnsi="Segoe UI" w:cs="Segoe UI"/>
      <w:sz w:val="18"/>
      <w:szCs w:val="18"/>
    </w:rPr>
  </w:style>
  <w:style w:type="character" w:customStyle="1" w:styleId="BalloonTextChar">
    <w:name w:val="Balloon Text Char"/>
    <w:link w:val="BalloonText"/>
    <w:rsid w:val="00E500C2"/>
    <w:rPr>
      <w:rFonts w:ascii="Segoe UI" w:hAnsi="Segoe UI" w:cs="Segoe UI"/>
      <w:snapToGrid w:val="0"/>
      <w:kern w:val="28"/>
      <w:sz w:val="18"/>
      <w:szCs w:val="18"/>
    </w:rPr>
  </w:style>
  <w:style w:type="character" w:styleId="CommentReference">
    <w:name w:val="annotation reference"/>
    <w:rsid w:val="002951C7"/>
    <w:rPr>
      <w:sz w:val="16"/>
      <w:szCs w:val="16"/>
    </w:rPr>
  </w:style>
  <w:style w:type="paragraph" w:styleId="CommentText">
    <w:name w:val="annotation text"/>
    <w:basedOn w:val="Normal"/>
    <w:link w:val="CommentTextChar"/>
    <w:rsid w:val="002951C7"/>
    <w:rPr>
      <w:sz w:val="20"/>
    </w:rPr>
  </w:style>
  <w:style w:type="character" w:customStyle="1" w:styleId="CommentTextChar">
    <w:name w:val="Comment Text Char"/>
    <w:link w:val="CommentText"/>
    <w:rsid w:val="002951C7"/>
    <w:rPr>
      <w:snapToGrid w:val="0"/>
      <w:kern w:val="28"/>
    </w:rPr>
  </w:style>
  <w:style w:type="paragraph" w:styleId="CommentSubject">
    <w:name w:val="annotation subject"/>
    <w:basedOn w:val="CommentText"/>
    <w:next w:val="CommentText"/>
    <w:link w:val="CommentSubjectChar"/>
    <w:rsid w:val="008C1F71"/>
    <w:rPr>
      <w:b/>
      <w:bCs/>
    </w:rPr>
  </w:style>
  <w:style w:type="character" w:customStyle="1" w:styleId="CommentSubjectChar">
    <w:name w:val="Comment Subject Char"/>
    <w:link w:val="CommentSubject"/>
    <w:rsid w:val="008C1F71"/>
    <w:rPr>
      <w:b/>
      <w:bCs/>
      <w:snapToGrid w:val="0"/>
      <w:kern w:val="28"/>
    </w:rPr>
  </w:style>
  <w:style w:type="character" w:customStyle="1" w:styleId="ParaNumChar1">
    <w:name w:val="ParaNum Char1"/>
    <w:link w:val="ParaNum"/>
    <w:rsid w:val="002A5E55"/>
    <w:rPr>
      <w:snapToGrid w:val="0"/>
      <w:kern w:val="28"/>
      <w:sz w:val="22"/>
    </w:rPr>
  </w:style>
  <w:style w:type="paragraph" w:styleId="Revision">
    <w:name w:val="Revision"/>
    <w:hidden/>
    <w:uiPriority w:val="99"/>
    <w:semiHidden/>
    <w:rsid w:val="00815A0A"/>
    <w:rPr>
      <w:snapToGrid w:val="0"/>
      <w:kern w:val="28"/>
      <w:sz w:val="22"/>
    </w:rPr>
  </w:style>
  <w:style w:type="paragraph" w:styleId="ListParagraph">
    <w:name w:val="List Paragraph"/>
    <w:basedOn w:val="Normal"/>
    <w:uiPriority w:val="34"/>
    <w:qFormat/>
    <w:rsid w:val="0005077A"/>
    <w:pPr>
      <w:ind w:left="720"/>
      <w:contextualSpacing/>
    </w:pPr>
  </w:style>
  <w:style w:type="character" w:customStyle="1" w:styleId="FooterChar">
    <w:name w:val="Footer Char"/>
    <w:link w:val="Footer"/>
    <w:uiPriority w:val="99"/>
    <w:rsid w:val="00E776C6"/>
    <w:rPr>
      <w:snapToGrid w:val="0"/>
      <w:kern w:val="28"/>
      <w:sz w:val="22"/>
    </w:rPr>
  </w:style>
  <w:style w:type="paragraph" w:customStyle="1" w:styleId="Default">
    <w:name w:val="Default"/>
    <w:rsid w:val="00FD18AC"/>
    <w:pPr>
      <w:autoSpaceDE w:val="0"/>
      <w:autoSpaceDN w:val="0"/>
      <w:adjustRightInd w:val="0"/>
    </w:pPr>
    <w:rPr>
      <w:color w:val="000000"/>
      <w:sz w:val="24"/>
      <w:szCs w:val="24"/>
    </w:rPr>
  </w:style>
  <w:style w:type="character" w:styleId="Emphasis">
    <w:name w:val="Emphasis"/>
    <w:qFormat/>
    <w:rsid w:val="003F7C15"/>
    <w:rPr>
      <w:i/>
      <w:iCs/>
    </w:rPr>
  </w:style>
  <w:style w:type="character" w:customStyle="1" w:styleId="Heading2Char">
    <w:name w:val="Heading 2 Char"/>
    <w:link w:val="Heading2"/>
    <w:rsid w:val="003249B8"/>
    <w:rPr>
      <w:b/>
      <w:snapToGrid w:val="0"/>
      <w:kern w:val="28"/>
      <w:sz w:val="22"/>
    </w:rPr>
  </w:style>
  <w:style w:type="character" w:customStyle="1" w:styleId="UnresolvedMention">
    <w:name w:val="Unresolved Mention"/>
    <w:uiPriority w:val="99"/>
    <w:semiHidden/>
    <w:unhideWhenUsed/>
    <w:rsid w:val="001F4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yperlink" Target="mailto:Jimmy.Nguyen@us.af.mil"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