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7224B" w:rsidP="0060660F" w14:paraId="17ED974E" w14:textId="77777777">
      <w:pPr>
        <w:spacing w:after="120"/>
        <w:rPr>
          <w:b/>
          <w:sz w:val="24"/>
        </w:rPr>
      </w:pPr>
    </w:p>
    <w:p w:rsidR="00D47505" w:rsidRPr="00A26017" w:rsidP="00A859CF" w14:paraId="10D25957" w14:textId="509F51B4">
      <w:pPr>
        <w:jc w:val="right"/>
        <w:rPr>
          <w:b/>
          <w:sz w:val="24"/>
          <w:szCs w:val="24"/>
        </w:rPr>
      </w:pPr>
      <w:r w:rsidRPr="00A26017">
        <w:rPr>
          <w:b/>
          <w:sz w:val="24"/>
          <w:szCs w:val="24"/>
        </w:rPr>
        <w:t xml:space="preserve">DA </w:t>
      </w:r>
      <w:r w:rsidR="00B2258F">
        <w:rPr>
          <w:b/>
          <w:sz w:val="24"/>
          <w:szCs w:val="24"/>
        </w:rPr>
        <w:t>19-12</w:t>
      </w:r>
    </w:p>
    <w:p w:rsidR="006D10CC" w:rsidRPr="00A26017" w:rsidP="006D10CC" w14:paraId="7780E3C9" w14:textId="4FB62BA1">
      <w:pPr>
        <w:jc w:val="right"/>
        <w:rPr>
          <w:b/>
          <w:sz w:val="24"/>
          <w:szCs w:val="24"/>
        </w:rPr>
      </w:pPr>
      <w:r w:rsidRPr="00A26017">
        <w:rPr>
          <w:b/>
          <w:sz w:val="24"/>
          <w:szCs w:val="24"/>
        </w:rPr>
        <w:t xml:space="preserve">Released:  </w:t>
      </w:r>
      <w:r w:rsidR="00B2258F">
        <w:rPr>
          <w:b/>
          <w:sz w:val="24"/>
          <w:szCs w:val="24"/>
        </w:rPr>
        <w:t>January 3, 2019</w:t>
      </w:r>
    </w:p>
    <w:p w:rsidR="00D47505" w:rsidRPr="00A26017" w:rsidP="00AD6115" w14:paraId="2DD5DB7C" w14:textId="77777777">
      <w:pPr>
        <w:spacing w:after="120"/>
        <w:jc w:val="center"/>
        <w:rPr>
          <w:sz w:val="24"/>
          <w:szCs w:val="24"/>
        </w:rPr>
      </w:pPr>
    </w:p>
    <w:p w:rsidR="00BF3887" w:rsidRPr="00A26017" w:rsidP="00A859CF" w14:paraId="4DAE79F2" w14:textId="715C63C9">
      <w:pPr>
        <w:jc w:val="center"/>
        <w:rPr>
          <w:b/>
          <w:caps/>
          <w:sz w:val="24"/>
          <w:szCs w:val="24"/>
        </w:rPr>
      </w:pPr>
      <w:r>
        <w:rPr>
          <w:b/>
          <w:caps/>
          <w:sz w:val="24"/>
          <w:szCs w:val="24"/>
        </w:rPr>
        <w:t>MEDIA</w:t>
      </w:r>
      <w:r w:rsidRPr="00A26017" w:rsidR="00942573">
        <w:rPr>
          <w:b/>
          <w:caps/>
          <w:sz w:val="24"/>
          <w:szCs w:val="24"/>
        </w:rPr>
        <w:t xml:space="preserve"> bureau </w:t>
      </w:r>
      <w:r w:rsidRPr="00A26017" w:rsidR="00593249">
        <w:rPr>
          <w:b/>
          <w:caps/>
          <w:sz w:val="24"/>
          <w:szCs w:val="24"/>
        </w:rPr>
        <w:t>OPEN</w:t>
      </w:r>
      <w:r w:rsidRPr="00A26017" w:rsidR="008A67FC">
        <w:rPr>
          <w:b/>
          <w:caps/>
          <w:sz w:val="24"/>
          <w:szCs w:val="24"/>
        </w:rPr>
        <w:t>S</w:t>
      </w:r>
      <w:r w:rsidRPr="00A26017" w:rsidR="00593249">
        <w:rPr>
          <w:b/>
          <w:caps/>
          <w:sz w:val="24"/>
          <w:szCs w:val="24"/>
        </w:rPr>
        <w:t xml:space="preserve"> </w:t>
      </w:r>
    </w:p>
    <w:p w:rsidR="00A859CF" w:rsidRPr="00A26017" w:rsidP="00A859CF" w14:paraId="0051DD85" w14:textId="6AFB4A5C">
      <w:pPr>
        <w:jc w:val="center"/>
        <w:rPr>
          <w:b/>
          <w:caps/>
          <w:sz w:val="24"/>
          <w:szCs w:val="24"/>
        </w:rPr>
      </w:pPr>
      <w:r>
        <w:rPr>
          <w:b/>
          <w:caps/>
          <w:sz w:val="24"/>
          <w:szCs w:val="24"/>
        </w:rPr>
        <w:t>MB</w:t>
      </w:r>
      <w:r w:rsidRPr="00A26017" w:rsidR="00942573">
        <w:rPr>
          <w:b/>
          <w:caps/>
          <w:sz w:val="24"/>
          <w:szCs w:val="24"/>
        </w:rPr>
        <w:t xml:space="preserve"> docket no. </w:t>
      </w:r>
      <w:r w:rsidR="00EF3C7F">
        <w:rPr>
          <w:b/>
          <w:caps/>
          <w:sz w:val="24"/>
          <w:szCs w:val="24"/>
        </w:rPr>
        <w:t>19-3</w:t>
      </w:r>
      <w:r w:rsidRPr="00A26017" w:rsidR="0025781C">
        <w:rPr>
          <w:b/>
          <w:caps/>
          <w:sz w:val="24"/>
          <w:szCs w:val="24"/>
        </w:rPr>
        <w:t xml:space="preserve"> </w:t>
      </w:r>
    </w:p>
    <w:p w:rsidR="00A859CF" w:rsidRPr="00A26017" w:rsidP="00A859CF" w14:paraId="5FABF701" w14:textId="77777777">
      <w:pPr>
        <w:spacing w:after="120"/>
        <w:jc w:val="center"/>
        <w:rPr>
          <w:b/>
          <w:caps/>
          <w:sz w:val="24"/>
          <w:szCs w:val="24"/>
        </w:rPr>
      </w:pPr>
    </w:p>
    <w:p w:rsidR="00D47505" w:rsidRPr="006C71B9" w:rsidP="008D5EFD" w14:paraId="632FCA56" w14:textId="498D188E">
      <w:pPr>
        <w:jc w:val="center"/>
        <w:rPr>
          <w:b/>
          <w:sz w:val="24"/>
          <w:szCs w:val="24"/>
        </w:rPr>
      </w:pPr>
      <w:r w:rsidRPr="006C71B9">
        <w:rPr>
          <w:b/>
          <w:sz w:val="24"/>
          <w:szCs w:val="24"/>
        </w:rPr>
        <w:t>MB</w:t>
      </w:r>
      <w:r w:rsidRPr="006C71B9" w:rsidR="0025781C">
        <w:rPr>
          <w:b/>
          <w:sz w:val="24"/>
          <w:szCs w:val="24"/>
        </w:rPr>
        <w:t xml:space="preserve"> </w:t>
      </w:r>
      <w:r w:rsidRPr="006C71B9" w:rsidR="008D5EFD">
        <w:rPr>
          <w:b/>
          <w:sz w:val="24"/>
          <w:szCs w:val="24"/>
        </w:rPr>
        <w:t xml:space="preserve">Docket No. </w:t>
      </w:r>
      <w:r w:rsidR="00B2258F">
        <w:rPr>
          <w:b/>
          <w:sz w:val="24"/>
          <w:szCs w:val="24"/>
        </w:rPr>
        <w:t>19-3</w:t>
      </w:r>
    </w:p>
    <w:p w:rsidR="00A859CF" w:rsidRPr="006C71B9" w:rsidP="00A7224B" w14:paraId="3B723FD3" w14:textId="77777777">
      <w:pPr>
        <w:widowControl/>
        <w:rPr>
          <w:b/>
          <w:snapToGrid/>
          <w:kern w:val="0"/>
        </w:rPr>
      </w:pPr>
    </w:p>
    <w:p w:rsidR="008A67FC" w:rsidRPr="00B2258F" w:rsidP="00A467FE" w14:paraId="0D666D53" w14:textId="53F4612B">
      <w:pPr>
        <w:widowControl/>
        <w:tabs>
          <w:tab w:val="center" w:pos="4680"/>
        </w:tabs>
        <w:suppressAutoHyphens/>
        <w:rPr>
          <w:snapToGrid/>
          <w:spacing w:val="-2"/>
          <w:kern w:val="0"/>
          <w:szCs w:val="22"/>
        </w:rPr>
      </w:pPr>
      <w:r>
        <w:rPr>
          <w:szCs w:val="22"/>
        </w:rPr>
        <w:tab/>
      </w:r>
      <w:r w:rsidRPr="00B2258F">
        <w:rPr>
          <w:szCs w:val="22"/>
        </w:rPr>
        <w:t xml:space="preserve">By this Public Notice, the </w:t>
      </w:r>
      <w:r w:rsidRPr="00B2258F" w:rsidR="00696402">
        <w:rPr>
          <w:szCs w:val="22"/>
        </w:rPr>
        <w:t>Media</w:t>
      </w:r>
      <w:r w:rsidRPr="00B2258F">
        <w:rPr>
          <w:szCs w:val="22"/>
        </w:rPr>
        <w:t xml:space="preserve"> Bureau opens </w:t>
      </w:r>
      <w:r w:rsidRPr="00B2258F" w:rsidR="0040091A">
        <w:rPr>
          <w:szCs w:val="22"/>
        </w:rPr>
        <w:t>MB</w:t>
      </w:r>
      <w:r w:rsidRPr="00B2258F">
        <w:rPr>
          <w:szCs w:val="22"/>
        </w:rPr>
        <w:t xml:space="preserve"> Docket No. </w:t>
      </w:r>
      <w:r w:rsidR="00466266">
        <w:rPr>
          <w:szCs w:val="22"/>
        </w:rPr>
        <w:t>19-3</w:t>
      </w:r>
      <w:bookmarkStart w:id="0" w:name="_GoBack"/>
      <w:bookmarkEnd w:id="0"/>
      <w:r w:rsidRPr="00B2258F">
        <w:rPr>
          <w:szCs w:val="22"/>
        </w:rPr>
        <w:t>, which is captioned “</w:t>
      </w:r>
      <w:r w:rsidRPr="00B2258F" w:rsidR="00B2258F">
        <w:rPr>
          <w:iCs/>
          <w:szCs w:val="22"/>
        </w:rPr>
        <w:t>Reexamination of the Comparative Standards and Procedures for Licensing Noncommercial Educational Broadcast and Low Power FM Stations</w:t>
      </w:r>
      <w:r w:rsidRPr="00B2258F" w:rsidR="002A7A72">
        <w:rPr>
          <w:spacing w:val="-2"/>
          <w:szCs w:val="22"/>
        </w:rPr>
        <w:t>.”</w:t>
      </w:r>
    </w:p>
    <w:p w:rsidR="008A67FC" w:rsidRPr="0059742D" w:rsidP="008A67FC" w14:paraId="2D7CC073" w14:textId="77777777">
      <w:pPr>
        <w:ind w:firstLine="720"/>
        <w:rPr>
          <w:szCs w:val="22"/>
        </w:rPr>
      </w:pPr>
    </w:p>
    <w:p w:rsidR="008A67FC" w:rsidRPr="00DC2B2A" w:rsidP="00A45611" w14:paraId="25EFD791" w14:textId="5035EA03">
      <w:pPr>
        <w:ind w:firstLine="720"/>
        <w:rPr>
          <w:szCs w:val="22"/>
        </w:rPr>
      </w:pPr>
      <w:r w:rsidRPr="0059742D">
        <w:rPr>
          <w:i/>
          <w:szCs w:val="22"/>
        </w:rPr>
        <w:t xml:space="preserve">Ex </w:t>
      </w:r>
      <w:r w:rsidRPr="0059742D">
        <w:rPr>
          <w:i/>
          <w:szCs w:val="22"/>
        </w:rPr>
        <w:t>Parte</w:t>
      </w:r>
      <w:r w:rsidRPr="0059742D">
        <w:rPr>
          <w:i/>
          <w:szCs w:val="22"/>
        </w:rPr>
        <w:t xml:space="preserve"> Rules</w:t>
      </w:r>
      <w:r w:rsidRPr="0059742D">
        <w:rPr>
          <w:szCs w:val="22"/>
        </w:rPr>
        <w:t>.  Presentations</w:t>
      </w:r>
      <w:r w:rsidRPr="0059742D">
        <w:rPr>
          <w:szCs w:val="22"/>
        </w:rPr>
        <w:t xml:space="preserve"> are subject to “permit-but-disclose”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rules.  </w:t>
      </w:r>
      <w:r w:rsidRPr="0059742D">
        <w:rPr>
          <w:i/>
          <w:iCs/>
          <w:szCs w:val="22"/>
        </w:rPr>
        <w:t>See</w:t>
      </w:r>
      <w:r w:rsidRPr="0059742D">
        <w:rPr>
          <w:szCs w:val="22"/>
        </w:rPr>
        <w:t xml:space="preserve"> 47 C.F.R. §§ 1.1206, 1.1200(a).  Persons making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presentations must file a copy of any written </w:t>
      </w:r>
      <w:r w:rsidRPr="00DC2B2A">
        <w:rPr>
          <w:szCs w:val="22"/>
        </w:rPr>
        <w:t xml:space="preserve">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DC2B2A">
        <w:rPr>
          <w:i/>
          <w:iCs/>
          <w:szCs w:val="22"/>
        </w:rPr>
        <w:t xml:space="preserve">ex </w:t>
      </w:r>
      <w:r w:rsidRPr="00DC2B2A">
        <w:rPr>
          <w:i/>
          <w:iCs/>
          <w:szCs w:val="22"/>
        </w:rPr>
        <w:t>parte</w:t>
      </w:r>
      <w:r w:rsidRPr="00DC2B2A">
        <w:rPr>
          <w:i/>
          <w:iCs/>
          <w:szCs w:val="22"/>
        </w:rPr>
        <w:t xml:space="preserve"> </w:t>
      </w:r>
      <w:r w:rsidRPr="00DC2B2A">
        <w:rPr>
          <w:szCs w:val="22"/>
        </w:rPr>
        <w:t>rules.</w:t>
      </w:r>
    </w:p>
    <w:p w:rsidR="00C02D97" w:rsidRPr="00DC2B2A" w:rsidP="00A45611" w14:paraId="36FD5962" w14:textId="77777777">
      <w:pPr>
        <w:ind w:firstLine="720"/>
        <w:rPr>
          <w:szCs w:val="22"/>
        </w:rPr>
      </w:pPr>
    </w:p>
    <w:p w:rsidR="008A67FC" w:rsidRPr="00DC2B2A" w:rsidP="00C02D97" w14:paraId="7D2D9CB4" w14:textId="305AC890">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4"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rsidR="008A67FC" w:rsidRPr="00DC2B2A" w:rsidP="008A67FC" w14:paraId="59E1AD16" w14:textId="51F33DED">
      <w:pPr>
        <w:ind w:firstLine="720"/>
        <w:rPr>
          <w:szCs w:val="22"/>
        </w:rPr>
      </w:pPr>
      <w:r w:rsidRPr="00DC2B2A">
        <w:rPr>
          <w:szCs w:val="22"/>
        </w:rPr>
        <w:t xml:space="preserve">Action by </w:t>
      </w:r>
      <w:r w:rsidR="00696402">
        <w:rPr>
          <w:szCs w:val="22"/>
        </w:rPr>
        <w:t>Chief, Media Bureau</w:t>
      </w:r>
      <w:r w:rsidRPr="00DC2B2A">
        <w:rPr>
          <w:szCs w:val="22"/>
        </w:rPr>
        <w:t>.</w:t>
      </w:r>
    </w:p>
    <w:p w:rsidR="008A67FC" w:rsidRPr="002169E1" w:rsidP="008A67FC" w14:paraId="41B9FD08" w14:textId="77777777">
      <w:pPr>
        <w:ind w:firstLine="720"/>
        <w:jc w:val="right"/>
      </w:pPr>
    </w:p>
    <w:p w:rsidR="006A1F49" w:rsidP="00D47505" w14:paraId="7AE46EBE" w14:textId="77777777">
      <w:pPr>
        <w:spacing w:before="120" w:after="240"/>
        <w:rPr>
          <w:sz w:val="24"/>
        </w:rPr>
      </w:pPr>
    </w:p>
    <w:sectPr w:rsidSect="00DF0810">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05F7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F6B8FC" w14:textId="77777777">
    <w:pPr>
      <w:pStyle w:val="Footer"/>
    </w:pPr>
  </w:p>
  <w:p w:rsidR="003660ED" w14:paraId="1023707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0B81D2" w14:textId="77777777">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rsidR="003660ED" w:rsidP="000E05FE" w14:paraId="6580312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074D5954"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A5115D6" w14:textId="095CAD21">
    <w:pPr>
      <w:pStyle w:val="Header"/>
    </w:pPr>
    <w:r w:rsidRPr="00B338A9">
      <w:rPr>
        <w:noProof/>
        <w:sz w:val="24"/>
      </w:rPr>
      <w:drawing>
        <wp:anchor distT="0" distB="0" distL="114300" distR="114300" simplePos="0" relativeHeight="251664384" behindDoc="0" locked="0" layoutInCell="0" allowOverlap="1">
          <wp:simplePos x="0" y="0"/>
          <wp:positionH relativeFrom="column">
            <wp:posOffset>25400</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6082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EFA0587" w14:textId="77777777">
                    <w:pPr>
                      <w:rPr>
                        <w:rFonts w:ascii="Arial" w:hAnsi="Arial"/>
                        <w:b/>
                      </w:rPr>
                    </w:pPr>
                    <w:r>
                      <w:rPr>
                        <w:rFonts w:ascii="Arial" w:hAnsi="Arial"/>
                        <w:b/>
                      </w:rPr>
                      <w:t>Federal Communications Commission</w:t>
                    </w:r>
                  </w:p>
                  <w:p w:rsidR="00D47505" w:rsidP="00D47505" w14:paraId="18B2DE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21216CAC" w14:textId="77777777">
                    <w:pPr>
                      <w:rPr>
                        <w:rFonts w:ascii="Arial" w:hAnsi="Arial"/>
                        <w:sz w:val="24"/>
                      </w:rPr>
                    </w:pPr>
                    <w:r>
                      <w:rPr>
                        <w:rFonts w:ascii="Arial" w:hAnsi="Arial"/>
                        <w:b/>
                      </w:rPr>
                      <w:t>Washington, D.C. 20554</w:t>
                    </w:r>
                  </w:p>
                </w:txbxContent>
              </v:textbox>
              <w10:wrap anchorx="margin"/>
            </v:shape>
          </w:pict>
        </mc:Fallback>
      </mc:AlternateContent>
    </w:r>
    <w:r>
      <w:t xml:space="preserve">    </w:t>
    </w:r>
    <w:r w:rsidRPr="00B338A9">
      <w:t>PUBLIC NOTICE</w:t>
    </w:r>
  </w:p>
  <w:p w:rsidR="00D47505" w:rsidP="00B338A9" w14:paraId="33BF64B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771D765B" w14:textId="77777777">
                    <w:pPr>
                      <w:spacing w:before="40"/>
                      <w:jc w:val="right"/>
                      <w:rPr>
                        <w:rFonts w:ascii="Arial" w:hAnsi="Arial"/>
                        <w:b/>
                        <w:sz w:val="16"/>
                      </w:rPr>
                    </w:pPr>
                    <w:r>
                      <w:rPr>
                        <w:rFonts w:ascii="Arial" w:hAnsi="Arial"/>
                        <w:b/>
                        <w:sz w:val="16"/>
                      </w:rPr>
                      <w:t>News Media Information 202 / 418-0500</w:t>
                    </w:r>
                  </w:p>
                  <w:p w:rsidR="00D47505" w:rsidP="00D47505" w14:paraId="40528442"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paraId="38A8B3E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7224B"/>
    <w:rsid w:val="00023FC8"/>
    <w:rsid w:val="00036039"/>
    <w:rsid w:val="00037F90"/>
    <w:rsid w:val="000875BF"/>
    <w:rsid w:val="00096D8C"/>
    <w:rsid w:val="000C0B65"/>
    <w:rsid w:val="000E05FE"/>
    <w:rsid w:val="000E3D42"/>
    <w:rsid w:val="00122BD5"/>
    <w:rsid w:val="00133F79"/>
    <w:rsid w:val="00136A4C"/>
    <w:rsid w:val="00170C76"/>
    <w:rsid w:val="00194A66"/>
    <w:rsid w:val="001D6BCF"/>
    <w:rsid w:val="001E01CA"/>
    <w:rsid w:val="001E397A"/>
    <w:rsid w:val="001F702C"/>
    <w:rsid w:val="0021620D"/>
    <w:rsid w:val="002169E1"/>
    <w:rsid w:val="0025781C"/>
    <w:rsid w:val="00275CF5"/>
    <w:rsid w:val="0028301F"/>
    <w:rsid w:val="00285017"/>
    <w:rsid w:val="002A2D2E"/>
    <w:rsid w:val="002A7A72"/>
    <w:rsid w:val="002C00E8"/>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45A00"/>
    <w:rsid w:val="00446673"/>
    <w:rsid w:val="00451B0F"/>
    <w:rsid w:val="00466266"/>
    <w:rsid w:val="00474C66"/>
    <w:rsid w:val="004C2EE3"/>
    <w:rsid w:val="004E4A22"/>
    <w:rsid w:val="004F7780"/>
    <w:rsid w:val="00511968"/>
    <w:rsid w:val="0052175E"/>
    <w:rsid w:val="0055614C"/>
    <w:rsid w:val="005715A9"/>
    <w:rsid w:val="00577245"/>
    <w:rsid w:val="00593249"/>
    <w:rsid w:val="0059742D"/>
    <w:rsid w:val="005E14C2"/>
    <w:rsid w:val="005E7AE7"/>
    <w:rsid w:val="0060660F"/>
    <w:rsid w:val="00607BA5"/>
    <w:rsid w:val="0061180A"/>
    <w:rsid w:val="00626EB6"/>
    <w:rsid w:val="00655D03"/>
    <w:rsid w:val="00662F7B"/>
    <w:rsid w:val="00683388"/>
    <w:rsid w:val="00683F84"/>
    <w:rsid w:val="00696402"/>
    <w:rsid w:val="006A1F49"/>
    <w:rsid w:val="006A6A81"/>
    <w:rsid w:val="006B1197"/>
    <w:rsid w:val="006B1456"/>
    <w:rsid w:val="006C71B9"/>
    <w:rsid w:val="006D10CC"/>
    <w:rsid w:val="006F7393"/>
    <w:rsid w:val="0070224F"/>
    <w:rsid w:val="007115F7"/>
    <w:rsid w:val="00725A51"/>
    <w:rsid w:val="00750033"/>
    <w:rsid w:val="007672C6"/>
    <w:rsid w:val="00785689"/>
    <w:rsid w:val="007863A1"/>
    <w:rsid w:val="0079754B"/>
    <w:rsid w:val="007A1E6D"/>
    <w:rsid w:val="007B0EB2"/>
    <w:rsid w:val="007F413A"/>
    <w:rsid w:val="00800476"/>
    <w:rsid w:val="00810B6F"/>
    <w:rsid w:val="00822CE0"/>
    <w:rsid w:val="00827C6A"/>
    <w:rsid w:val="00831880"/>
    <w:rsid w:val="00841A3F"/>
    <w:rsid w:val="00841AB1"/>
    <w:rsid w:val="00877DB7"/>
    <w:rsid w:val="00881B9B"/>
    <w:rsid w:val="008A67FC"/>
    <w:rsid w:val="008B0A71"/>
    <w:rsid w:val="008B758A"/>
    <w:rsid w:val="008C68F1"/>
    <w:rsid w:val="008D5EFD"/>
    <w:rsid w:val="009201E3"/>
    <w:rsid w:val="00921803"/>
    <w:rsid w:val="00926503"/>
    <w:rsid w:val="0093699D"/>
    <w:rsid w:val="00942573"/>
    <w:rsid w:val="00960751"/>
    <w:rsid w:val="009726D8"/>
    <w:rsid w:val="009F76DB"/>
    <w:rsid w:val="00A26017"/>
    <w:rsid w:val="00A32C3B"/>
    <w:rsid w:val="00A45611"/>
    <w:rsid w:val="00A45F4F"/>
    <w:rsid w:val="00A467FE"/>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0766"/>
    <w:rsid w:val="00B21BC0"/>
    <w:rsid w:val="00B2258F"/>
    <w:rsid w:val="00B26B39"/>
    <w:rsid w:val="00B338A9"/>
    <w:rsid w:val="00B679AB"/>
    <w:rsid w:val="00B679D9"/>
    <w:rsid w:val="00B76DB8"/>
    <w:rsid w:val="00B8112B"/>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1897"/>
    <w:rsid w:val="00D0218D"/>
    <w:rsid w:val="00D025FF"/>
    <w:rsid w:val="00D216CD"/>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33CD7"/>
    <w:rsid w:val="00E5409F"/>
    <w:rsid w:val="00E62C54"/>
    <w:rsid w:val="00E64BAE"/>
    <w:rsid w:val="00E939D6"/>
    <w:rsid w:val="00EA4BC6"/>
    <w:rsid w:val="00EB44E9"/>
    <w:rsid w:val="00EB4ACC"/>
    <w:rsid w:val="00EC5282"/>
    <w:rsid w:val="00EE6488"/>
    <w:rsid w:val="00EF3C7F"/>
    <w:rsid w:val="00F021FA"/>
    <w:rsid w:val="00F26F3F"/>
    <w:rsid w:val="00F566D1"/>
    <w:rsid w:val="00F601E1"/>
    <w:rsid w:val="00F62E97"/>
    <w:rsid w:val="00F64209"/>
    <w:rsid w:val="00F8591E"/>
    <w:rsid w:val="00F93BF5"/>
    <w:rsid w:val="00FE2C6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E420B25-9804-4C26-9950-0BB454C1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