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19-1305</w:t>
      </w:r>
    </w:p>
    <w:p w:rsidR="00013A8B" w:rsidRPr="00B20363" w:rsidP="00013A8B">
      <w:pPr>
        <w:spacing w:before="60"/>
        <w:jc w:val="right"/>
        <w:rPr>
          <w:b/>
          <w:sz w:val="24"/>
        </w:rPr>
      </w:pPr>
      <w:r>
        <w:rPr>
          <w:b/>
          <w:sz w:val="24"/>
        </w:rPr>
        <w:t xml:space="preserve">Released:  </w:t>
      </w:r>
      <w:r w:rsidR="00D51BA1">
        <w:rPr>
          <w:b/>
          <w:sz w:val="24"/>
        </w:rPr>
        <w:t>December 20, 2019</w:t>
      </w:r>
    </w:p>
    <w:p w:rsidR="00013A8B" w:rsidP="00013A8B">
      <w:pPr>
        <w:jc w:val="right"/>
        <w:rPr>
          <w:sz w:val="24"/>
        </w:rPr>
      </w:pPr>
    </w:p>
    <w:p w:rsidR="00D51BA1" w:rsidP="00D51BA1">
      <w:pPr>
        <w:ind w:firstLine="720"/>
        <w:rPr>
          <w:rFonts w:ascii="Times New Roman Bold" w:hAnsi="Times New Roman Bold"/>
          <w:b/>
          <w:caps/>
          <w:sz w:val="24"/>
        </w:rPr>
      </w:pPr>
      <w:r w:rsidRPr="00D51BA1">
        <w:rPr>
          <w:rFonts w:ascii="Times New Roman Bold" w:hAnsi="Times New Roman Bold"/>
          <w:b/>
          <w:caps/>
          <w:sz w:val="24"/>
        </w:rPr>
        <w:t xml:space="preserve">MEDIA BUREAU ANNOUNCES PROCEDURES FOR PROCESSING FCC FORM 314 AND 315 ASSIGNMENT AND TRANSFER OF CONTROL APPLICATIONS FOR COMMERCIAL STATIONS IN LIGHT OF THIRD CIRCUIT MANDATE </w:t>
      </w:r>
    </w:p>
    <w:p w:rsidR="00660F71" w:rsidP="00D51BA1">
      <w:pPr>
        <w:ind w:firstLine="720"/>
        <w:rPr>
          <w:rFonts w:ascii="Times New Roman Bold" w:hAnsi="Times New Roman Bold"/>
          <w:b/>
          <w:caps/>
          <w:sz w:val="24"/>
        </w:rPr>
      </w:pPr>
    </w:p>
    <w:p w:rsidR="00660F71" w:rsidP="00660F71">
      <w:pPr>
        <w:jc w:val="center"/>
        <w:rPr>
          <w:b/>
          <w:sz w:val="24"/>
        </w:rPr>
      </w:pPr>
      <w:r w:rsidRPr="00660F71">
        <w:rPr>
          <w:b/>
          <w:sz w:val="24"/>
        </w:rPr>
        <w:t>MB Docket Nos. 14-50, 09-182, 07-294, 04-256, and 17-289</w:t>
      </w:r>
    </w:p>
    <w:p w:rsidR="00660F71" w:rsidP="00660F71">
      <w:pPr>
        <w:rPr>
          <w:rFonts w:ascii="Times New Roman Bold" w:hAnsi="Times New Roman Bold"/>
          <w:b/>
          <w:caps/>
          <w:sz w:val="24"/>
        </w:rPr>
      </w:pPr>
      <w:bookmarkStart w:id="0" w:name="_GoBack"/>
      <w:bookmarkEnd w:id="0"/>
    </w:p>
    <w:p w:rsidR="00D51BA1" w:rsidP="00D51BA1">
      <w:pPr>
        <w:ind w:firstLine="720"/>
      </w:pPr>
      <w:r w:rsidRPr="00105E98">
        <w:t xml:space="preserve">By this </w:t>
      </w:r>
      <w:r w:rsidRPr="00105E98">
        <w:rPr>
          <w:i/>
        </w:rPr>
        <w:t>Public Notice</w:t>
      </w:r>
      <w:r w:rsidRPr="00105E98">
        <w:t xml:space="preserve">, the FCC’s Media Bureau announces procedures for assignment and transfer applicants in light of the </w:t>
      </w:r>
      <w:r>
        <w:t xml:space="preserve">United States </w:t>
      </w:r>
      <w:r w:rsidRPr="00105E98">
        <w:t>Court of Appeals for the Third Circuit</w:t>
      </w:r>
      <w:r>
        <w:t>’s</w:t>
      </w:r>
      <w:r w:rsidRPr="00105E98">
        <w:t xml:space="preserve"> </w:t>
      </w:r>
      <w:r>
        <w:t>decision</w:t>
      </w:r>
      <w:r w:rsidRPr="00105E98">
        <w:t xml:space="preserve"> in </w:t>
      </w:r>
      <w:r w:rsidRPr="00105E98">
        <w:rPr>
          <w:i/>
        </w:rPr>
        <w:t>Prometheus Radio Project v. FCC</w:t>
      </w:r>
      <w:r w:rsidRPr="0046004A">
        <w:t>.</w:t>
      </w:r>
      <w:r>
        <w:rPr>
          <w:rStyle w:val="FootnoteReference"/>
        </w:rPr>
        <w:footnoteReference w:id="3"/>
      </w:r>
      <w:r w:rsidRPr="00105E98">
        <w:rPr>
          <w:i/>
        </w:rPr>
        <w:t xml:space="preserve">  </w:t>
      </w:r>
      <w:r w:rsidRPr="00105E98">
        <w:t xml:space="preserve">In its decision, the court vacated </w:t>
      </w:r>
      <w:r>
        <w:t>and remanded the</w:t>
      </w:r>
      <w:r w:rsidRPr="00105E98">
        <w:t xml:space="preserve"> Commission</w:t>
      </w:r>
      <w:r>
        <w:t>’s</w:t>
      </w:r>
      <w:r w:rsidRPr="00105E98">
        <w:t xml:space="preserve"> </w:t>
      </w:r>
      <w:r w:rsidRPr="00C74493">
        <w:rPr>
          <w:i/>
        </w:rPr>
        <w:t>2010/2014 Quadrennial Review</w:t>
      </w:r>
      <w:r>
        <w:t xml:space="preserve"> </w:t>
      </w:r>
      <w:r w:rsidRPr="00105E98">
        <w:rPr>
          <w:i/>
        </w:rPr>
        <w:t>Order</w:t>
      </w:r>
      <w:r>
        <w:rPr>
          <w:i/>
        </w:rPr>
        <w:t xml:space="preserve"> on Reconsideration</w:t>
      </w:r>
      <w:r w:rsidRPr="0046004A">
        <w:t>,</w:t>
      </w:r>
      <w:r>
        <w:rPr>
          <w:rStyle w:val="FootnoteReference"/>
        </w:rPr>
        <w:footnoteReference w:id="4"/>
      </w:r>
      <w:r w:rsidRPr="00105E98">
        <w:t xml:space="preserve"> </w:t>
      </w:r>
      <w:r>
        <w:t>which</w:t>
      </w:r>
      <w:r w:rsidRPr="00105E98">
        <w:t xml:space="preserve"> </w:t>
      </w:r>
      <w:r>
        <w:t xml:space="preserve">had </w:t>
      </w:r>
      <w:r w:rsidRPr="00105E98">
        <w:t xml:space="preserve">modified </w:t>
      </w:r>
      <w:r>
        <w:t>the Commission’s</w:t>
      </w:r>
      <w:r w:rsidRPr="00105E98">
        <w:t xml:space="preserve"> media ownership rules by: (1) eliminating the newspaper/broadcast cross-ownership and radio/television cross-ownership rules; (2) revising the local television ownership rule by </w:t>
      </w:r>
      <w:r>
        <w:t>eliminating</w:t>
      </w:r>
      <w:r w:rsidRPr="00105E98">
        <w:t xml:space="preserve"> the “eight voices” test </w:t>
      </w:r>
      <w:r>
        <w:t xml:space="preserve">and permitting applicants to seek the combination of two </w:t>
      </w:r>
      <w:r w:rsidRPr="00105E98">
        <w:t xml:space="preserve">top-four </w:t>
      </w:r>
      <w:r>
        <w:t xml:space="preserve">ranked </w:t>
      </w:r>
      <w:r w:rsidRPr="00105E98">
        <w:t>stations in a given market</w:t>
      </w:r>
      <w:r>
        <w:t xml:space="preserve"> on a case-by-case basis</w:t>
      </w:r>
      <w:r w:rsidRPr="00105E98">
        <w:t xml:space="preserve">; and (3) deeming joint sales agreements between television stations to be non-attributable.  </w:t>
      </w:r>
      <w:r>
        <w:t xml:space="preserve">By vacating the </w:t>
      </w:r>
      <w:r w:rsidRPr="00571F8B">
        <w:rPr>
          <w:i/>
        </w:rPr>
        <w:t>Order on Reconsideration</w:t>
      </w:r>
      <w:r>
        <w:t xml:space="preserve">, the </w:t>
      </w:r>
      <w:r>
        <w:rPr>
          <w:i/>
        </w:rPr>
        <w:t>Prometheus</w:t>
      </w:r>
      <w:r>
        <w:t xml:space="preserve"> decision abrogated these rule changes and reinstated the prior media ownership rules adopted in the </w:t>
      </w:r>
      <w:r w:rsidRPr="00571F8B">
        <w:rPr>
          <w:i/>
        </w:rPr>
        <w:t>2010/2014 Quadrennial Review Order</w:t>
      </w:r>
      <w:r>
        <w:t>.</w:t>
      </w:r>
      <w:r>
        <w:rPr>
          <w:rStyle w:val="FootnoteReference"/>
        </w:rPr>
        <w:footnoteReference w:id="5"/>
      </w:r>
      <w:r>
        <w:t xml:space="preserve">  T</w:t>
      </w:r>
      <w:r w:rsidRPr="00070599">
        <w:t xml:space="preserve">he court </w:t>
      </w:r>
      <w:r>
        <w:t xml:space="preserve">also </w:t>
      </w:r>
      <w:r w:rsidRPr="00070599">
        <w:t>vacated the Commission’s definition of an “eligible entity</w:t>
      </w:r>
      <w:r>
        <w:t xml:space="preserve">,” which had been adopted in the </w:t>
      </w:r>
      <w:r w:rsidRPr="00571F8B">
        <w:rPr>
          <w:i/>
        </w:rPr>
        <w:t>2010/2014 Quadrennial Review Order</w:t>
      </w:r>
      <w:r>
        <w:t>.</w:t>
      </w:r>
      <w:r>
        <w:rPr>
          <w:rStyle w:val="FootnoteReference"/>
        </w:rPr>
        <w:footnoteReference w:id="6"/>
      </w:r>
    </w:p>
    <w:p w:rsidR="00D51BA1" w:rsidP="00D51BA1">
      <w:pPr>
        <w:ind w:firstLine="720"/>
      </w:pPr>
    </w:p>
    <w:p w:rsidR="00D51BA1" w:rsidP="00D51BA1">
      <w:pPr>
        <w:ind w:firstLine="720"/>
      </w:pPr>
      <w:r w:rsidRPr="004E10E6">
        <w:t xml:space="preserve">On November 29, 2019, the Third Circuit issued its mandate in </w:t>
      </w:r>
      <w:r w:rsidRPr="004E10E6">
        <w:rPr>
          <w:i/>
        </w:rPr>
        <w:t>Prometheus.</w:t>
      </w:r>
      <w:r>
        <w:rPr>
          <w:rStyle w:val="FootnoteReference"/>
        </w:rPr>
        <w:footnoteReference w:id="7"/>
      </w:r>
      <w:r w:rsidRPr="004E10E6">
        <w:t xml:space="preserve"> </w:t>
      </w:r>
      <w:r w:rsidRPr="004E10E6">
        <w:rPr>
          <w:i/>
        </w:rPr>
        <w:t xml:space="preserve"> </w:t>
      </w:r>
      <w:r w:rsidRPr="004E10E6">
        <w:t>Accordingly, by order released today, the Commission’s</w:t>
      </w:r>
      <w:r>
        <w:t xml:space="preserve"> rules have been amended to reflect the changes required by the </w:t>
      </w:r>
      <w:r>
        <w:t>court’s foregoing actions.</w:t>
      </w:r>
      <w:r>
        <w:rPr>
          <w:rStyle w:val="FootnoteReference"/>
        </w:rPr>
        <w:footnoteReference w:id="8"/>
      </w:r>
      <w:r>
        <w:rPr>
          <w:i/>
        </w:rPr>
        <w:t xml:space="preserve">  </w:t>
      </w:r>
      <w:r>
        <w:t xml:space="preserve">The purpose of this </w:t>
      </w:r>
      <w:r w:rsidRPr="009A4437">
        <w:rPr>
          <w:i/>
        </w:rPr>
        <w:t>Public Notice</w:t>
      </w:r>
      <w:r>
        <w:t xml:space="preserve"> is to clarify the application of these new rules as they bear on pending and future applications for assignment and transfer of control.</w:t>
      </w:r>
      <w:r>
        <w:rPr>
          <w:rStyle w:val="FootnoteReference"/>
        </w:rPr>
        <w:footnoteReference w:id="9"/>
      </w:r>
      <w:r>
        <w:t xml:space="preserve">  </w:t>
      </w:r>
    </w:p>
    <w:p w:rsidR="00D51BA1" w:rsidP="00D51BA1">
      <w:pPr>
        <w:ind w:firstLine="720"/>
        <w:rPr>
          <w:i/>
        </w:rPr>
      </w:pPr>
    </w:p>
    <w:p w:rsidR="00D51BA1" w:rsidP="00D51BA1">
      <w:r>
        <w:rPr>
          <w:i/>
        </w:rPr>
        <w:t>New Applications</w:t>
      </w:r>
      <w:r>
        <w:t>:</w:t>
      </w:r>
    </w:p>
    <w:p w:rsidR="00D51BA1" w:rsidRPr="008F62FD" w:rsidP="00D51BA1"/>
    <w:p w:rsidR="00D51BA1" w:rsidRPr="00105E98" w:rsidP="00D51BA1">
      <w:pPr>
        <w:ind w:firstLine="720"/>
      </w:pPr>
      <w:r w:rsidRPr="00105E98">
        <w:t>Effective immediately, every applicant filing an assignment application on FCC Form 314 (Application for Consent to Assignment of Broadcast Station Construction Permit or License)</w:t>
      </w:r>
      <w:r>
        <w:rPr>
          <w:rStyle w:val="FootnoteReference"/>
        </w:rPr>
        <w:footnoteReference w:id="10"/>
      </w:r>
      <w:r w:rsidRPr="00105E98">
        <w:t xml:space="preserve"> </w:t>
      </w:r>
      <w:r>
        <w:t xml:space="preserve">or a transfer of control application on FCC Form </w:t>
      </w:r>
      <w:r w:rsidRPr="00105E98">
        <w:t>315 (Application for Consent to Transfer Control of Corporation Holding Broadcast Station Construction Permit or License)</w:t>
      </w:r>
      <w:r>
        <w:rPr>
          <w:rStyle w:val="FootnoteReference"/>
        </w:rPr>
        <w:footnoteReference w:id="11"/>
      </w:r>
      <w:r>
        <w:t xml:space="preserve"> </w:t>
      </w:r>
      <w:r w:rsidRPr="00105E98">
        <w:t xml:space="preserve">must take account of the </w:t>
      </w:r>
      <w:r>
        <w:t xml:space="preserve">media ownership </w:t>
      </w:r>
      <w:r w:rsidRPr="00105E98">
        <w:t xml:space="preserve">rules </w:t>
      </w:r>
      <w:r>
        <w:t xml:space="preserve">now in effect </w:t>
      </w:r>
      <w:r w:rsidRPr="00105E98">
        <w:t>by</w:t>
      </w:r>
      <w:r>
        <w:t xml:space="preserve"> virtue of</w:t>
      </w:r>
      <w:r w:rsidRPr="00105E98">
        <w:t xml:space="preserve"> the</w:t>
      </w:r>
      <w:r>
        <w:t xml:space="preserve"> issuance of the mandate in</w:t>
      </w:r>
      <w:r w:rsidRPr="00105E98">
        <w:t xml:space="preserve"> </w:t>
      </w:r>
      <w:r w:rsidRPr="00105E98">
        <w:rPr>
          <w:i/>
        </w:rPr>
        <w:t>Prometheus</w:t>
      </w:r>
      <w:r>
        <w:t xml:space="preserve">.  The Media Bureau is in the process of seeking approval from the Office of Management and Budget to restore the previous </w:t>
      </w:r>
      <w:r w:rsidRPr="004D141F">
        <w:t>ownership</w:t>
      </w:r>
      <w:r>
        <w:t xml:space="preserve"> language to the FCC Form 314 and 315.  Pending that approval and effective immediately, all applicants must use the existing certification in each form that requires the applicant to certify that it “complies with the Commission’s multiple ownership rules.”</w:t>
      </w:r>
      <w:r>
        <w:rPr>
          <w:rStyle w:val="FootnoteReference"/>
        </w:rPr>
        <w:footnoteReference w:id="12"/>
      </w:r>
      <w:r>
        <w:t xml:space="preserve">  We clarify that when an applicant certifies compliance with the “multiple ownership rules” it is certifying compliance with all of the rules set forth in 47 CFR § 73.3555, including the “eight voices” test and the prohibition on top-four combinations in the local television rule; radio/television cross-ownership rules; newspaper/broadcast cross-ownership rules;</w:t>
      </w:r>
      <w:r>
        <w:t xml:space="preserve"> </w:t>
      </w:r>
      <w:r>
        <w:t>and attribution of joint sales agreements.</w:t>
      </w:r>
      <w:r>
        <w:rPr>
          <w:rStyle w:val="FootnoteReference"/>
        </w:rPr>
        <w:footnoteReference w:id="13"/>
      </w:r>
    </w:p>
    <w:p w:rsidR="00D51BA1" w:rsidRPr="00105E98" w:rsidP="00D51BA1">
      <w:pPr>
        <w:autoSpaceDE w:val="0"/>
        <w:autoSpaceDN w:val="0"/>
        <w:adjustRightInd w:val="0"/>
      </w:pPr>
    </w:p>
    <w:p w:rsidR="00D51BA1" w:rsidP="00D51BA1">
      <w:pPr>
        <w:autoSpaceDE w:val="0"/>
        <w:autoSpaceDN w:val="0"/>
        <w:adjustRightInd w:val="0"/>
      </w:pPr>
      <w:r>
        <w:rPr>
          <w:i/>
        </w:rPr>
        <w:t>Pending Applications</w:t>
      </w:r>
      <w:r>
        <w:t>:</w:t>
      </w:r>
    </w:p>
    <w:p w:rsidR="00D51BA1" w:rsidP="00D51BA1">
      <w:pPr>
        <w:autoSpaceDE w:val="0"/>
        <w:autoSpaceDN w:val="0"/>
        <w:adjustRightInd w:val="0"/>
      </w:pPr>
    </w:p>
    <w:p w:rsidR="00D51BA1" w:rsidP="00D51BA1">
      <w:pPr>
        <w:autoSpaceDE w:val="0"/>
        <w:autoSpaceDN w:val="0"/>
        <w:adjustRightInd w:val="0"/>
      </w:pPr>
      <w:r>
        <w:tab/>
        <w:t xml:space="preserve">To the extent that licensees have a pending assignment or transfer application filed on Form 314 or 315, they must update their application as described herein.  Specifically, </w:t>
      </w:r>
      <w:r w:rsidRPr="00A76F87">
        <w:t xml:space="preserve">within 30 days of the date of this </w:t>
      </w:r>
      <w:r w:rsidRPr="00A76F87">
        <w:rPr>
          <w:i/>
        </w:rPr>
        <w:t>Public Notice</w:t>
      </w:r>
      <w:r>
        <w:t xml:space="preserve">, each </w:t>
      </w:r>
      <w:bookmarkStart w:id="1" w:name="_Hlk27046268"/>
      <w:r>
        <w:t xml:space="preserve">assignee or transferee </w:t>
      </w:r>
      <w:bookmarkEnd w:id="1"/>
      <w:r>
        <w:t>must file an amendment to its pending application as required by section 1.65 of the Commission’s rules.</w:t>
      </w:r>
      <w:r>
        <w:rPr>
          <w:rStyle w:val="FootnoteReference"/>
        </w:rPr>
        <w:footnoteReference w:id="14"/>
      </w:r>
      <w:r>
        <w:t xml:space="preserve">  This amendment must include, as Exhibit 1, </w:t>
      </w:r>
      <w:r w:rsidRPr="00A76F87">
        <w:t xml:space="preserve">a </w:t>
      </w:r>
      <w:r>
        <w:t xml:space="preserve">statement certifying whether each assignee or transferee complies with the Commission’s multiple ownership rules now in effect as a result of the </w:t>
      </w:r>
      <w:r>
        <w:rPr>
          <w:i/>
        </w:rPr>
        <w:t>Prometheus</w:t>
      </w:r>
      <w:r>
        <w:t xml:space="preserve"> decision.  To the extent the assignee or transferee cannot certify compliance, it should file an explanation with all necessary showings.  No action will be taken on pending applications prior to submission of this amendment.  Applicants seeking prompt action on their application should not wait the full 30 days to file the required amendment</w:t>
      </w:r>
      <w:r>
        <w:rPr>
          <w:i/>
        </w:rPr>
        <w:t>.</w:t>
      </w:r>
      <w:r>
        <w:t xml:space="preserve">  Applications will be processed once amendments are received.</w:t>
      </w:r>
    </w:p>
    <w:p w:rsidR="00D51BA1" w:rsidP="00D51BA1">
      <w:pPr>
        <w:autoSpaceDE w:val="0"/>
        <w:autoSpaceDN w:val="0"/>
        <w:adjustRightInd w:val="0"/>
      </w:pPr>
    </w:p>
    <w:p w:rsidR="00D51BA1" w:rsidRPr="00105E98" w:rsidP="00D51BA1">
      <w:pPr>
        <w:keepNext/>
        <w:keepLines/>
        <w:ind w:firstLine="720"/>
      </w:pPr>
      <w:r w:rsidRPr="00105E98">
        <w:t xml:space="preserve">For additional information please contact Michael Wagner, </w:t>
      </w:r>
      <w:hyperlink r:id="rId5" w:history="1">
        <w:r w:rsidRPr="00105E98">
          <w:rPr>
            <w:rStyle w:val="Hyperlink"/>
          </w:rPr>
          <w:t>Michael.Wagner@fcc.gov</w:t>
        </w:r>
      </w:hyperlink>
      <w:r w:rsidRPr="00105E98">
        <w:t>, (202) 418-2775, or</w:t>
      </w:r>
      <w:r>
        <w:t xml:space="preserve"> Lisa Scanlan</w:t>
      </w:r>
      <w:r w:rsidRPr="00105E98">
        <w:t>,</w:t>
      </w:r>
      <w:r>
        <w:t xml:space="preserve"> </w:t>
      </w:r>
      <w:hyperlink r:id="rId6" w:history="1">
        <w:r w:rsidRPr="00F567BF">
          <w:rPr>
            <w:rStyle w:val="Hyperlink"/>
          </w:rPr>
          <w:t>Lisa.Scanlan@fcc.gov</w:t>
        </w:r>
      </w:hyperlink>
      <w:r>
        <w:t>, (202) 418-2704</w:t>
      </w:r>
      <w:r w:rsidRPr="00105E98">
        <w:t xml:space="preserve"> of the Media Bureau, Audio Division</w:t>
      </w:r>
      <w:r>
        <w:t xml:space="preserve"> or David Brown, </w:t>
      </w:r>
      <w:hyperlink r:id="rId7" w:history="1">
        <w:r w:rsidRPr="00AD3284">
          <w:rPr>
            <w:rStyle w:val="Hyperlink"/>
          </w:rPr>
          <w:t>David.Brown@fcc.gov</w:t>
        </w:r>
      </w:hyperlink>
      <w:r>
        <w:t>, (202) 418-1645 of the Media Bureau, Video Division</w:t>
      </w:r>
      <w:r w:rsidRPr="00105E98">
        <w:t xml:space="preserve">.  Press inquiries should be directed to Janice Wise, </w:t>
      </w:r>
      <w:hyperlink r:id="rId8" w:history="1">
        <w:r w:rsidRPr="00105E98">
          <w:rPr>
            <w:rStyle w:val="Hyperlink"/>
          </w:rPr>
          <w:t>Janice.Wise@fcc.gov</w:t>
        </w:r>
      </w:hyperlink>
      <w:r w:rsidRPr="00105E98">
        <w:t xml:space="preserve">, at (202) 418-8165. </w:t>
      </w:r>
    </w:p>
    <w:p w:rsidR="00D51BA1" w:rsidRPr="00105E98" w:rsidP="00D51BA1">
      <w:pPr>
        <w:keepNext/>
        <w:keepLines/>
      </w:pPr>
    </w:p>
    <w:p w:rsidR="00930ECF" w:rsidRPr="00D51BA1" w:rsidP="00D51BA1">
      <w:pPr>
        <w:keepNext/>
        <w:keepLines/>
        <w:jc w:val="center"/>
        <w:rPr>
          <w:b/>
        </w:rPr>
      </w:pPr>
      <w:r w:rsidRPr="00D51BA1">
        <w:rPr>
          <w:b/>
        </w:rPr>
        <w:t>- FCC -</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1BA1">
      <w:r>
        <w:separator/>
      </w:r>
    </w:p>
  </w:footnote>
  <w:footnote w:type="continuationSeparator" w:id="1">
    <w:p w:rsidR="00D51BA1">
      <w:pPr>
        <w:rPr>
          <w:sz w:val="20"/>
        </w:rPr>
      </w:pPr>
      <w:r>
        <w:rPr>
          <w:sz w:val="20"/>
        </w:rPr>
        <w:t xml:space="preserve">(Continued from previous page)  </w:t>
      </w:r>
      <w:r>
        <w:rPr>
          <w:sz w:val="20"/>
        </w:rPr>
        <w:separator/>
      </w:r>
    </w:p>
  </w:footnote>
  <w:footnote w:type="continuationNotice" w:id="2">
    <w:p w:rsidR="00D51BA1" w:rsidP="00910F12">
      <w:pPr>
        <w:jc w:val="right"/>
        <w:rPr>
          <w:sz w:val="20"/>
        </w:rPr>
      </w:pPr>
      <w:r>
        <w:rPr>
          <w:sz w:val="20"/>
        </w:rPr>
        <w:t>(continued….)</w:t>
      </w:r>
    </w:p>
  </w:footnote>
  <w:footnote w:id="3">
    <w:p w:rsidR="00D51BA1" w:rsidRPr="008C6D0B" w:rsidP="00D51BA1">
      <w:pPr>
        <w:pStyle w:val="FootnoteText"/>
        <w:widowControl w:val="0"/>
      </w:pPr>
      <w:r>
        <w:rPr>
          <w:rStyle w:val="FootnoteReference"/>
        </w:rPr>
        <w:footnoteRef/>
      </w:r>
      <w:r>
        <w:t xml:space="preserve"> </w:t>
      </w:r>
      <w:r>
        <w:rPr>
          <w:i/>
        </w:rPr>
        <w:t>Prometheus Radio Project v. FCC</w:t>
      </w:r>
      <w:r>
        <w:t xml:space="preserve">, 939 F.3d 567 (3d Cir. 2019), </w:t>
      </w:r>
      <w:r>
        <w:rPr>
          <w:i/>
        </w:rPr>
        <w:t xml:space="preserve">petition for rehearing </w:t>
      </w:r>
      <w:r w:rsidRPr="008F35CD">
        <w:t>en</w:t>
      </w:r>
      <w:r w:rsidRPr="008F35CD">
        <w:t xml:space="preserve"> banc</w:t>
      </w:r>
      <w:r>
        <w:rPr>
          <w:i/>
        </w:rPr>
        <w:t xml:space="preserve"> denied </w:t>
      </w:r>
      <w:r w:rsidRPr="008F35CD">
        <w:t>(3d Cir. Nov. 20, 2019)</w:t>
      </w:r>
      <w:r>
        <w:t xml:space="preserve"> (</w:t>
      </w:r>
      <w:r>
        <w:rPr>
          <w:i/>
        </w:rPr>
        <w:t>Prometheus)</w:t>
      </w:r>
      <w:r>
        <w:t xml:space="preserve">.  </w:t>
      </w:r>
    </w:p>
  </w:footnote>
  <w:footnote w:id="4">
    <w:p w:rsidR="00D51BA1" w:rsidRPr="00D51BA1" w:rsidP="00D51BA1">
      <w:pPr>
        <w:pStyle w:val="FootnoteText"/>
        <w:widowControl w:val="0"/>
      </w:pPr>
      <w:r w:rsidRPr="00D51BA1">
        <w:rPr>
          <w:rStyle w:val="FootnoteReference"/>
          <w:sz w:val="20"/>
        </w:rPr>
        <w:footnoteRef/>
      </w:r>
      <w:r w:rsidRPr="00D51BA1">
        <w:t xml:space="preserve"> </w:t>
      </w:r>
      <w:r w:rsidRPr="00D51BA1">
        <w:rPr>
          <w:i/>
          <w:iCs/>
        </w:rPr>
        <w:t xml:space="preserve">2014 Quadrennial Regulatory Review – Review of the Commission’s Broadcast Ownership Rules and Other Rules Adopted Pursuant to Section 202 of the Telecommunications Act of 1996 et al., </w:t>
      </w:r>
      <w:r w:rsidRPr="00D51BA1">
        <w:t>Order on Reconsideration and Notice of Proposed Rulemaking</w:t>
      </w:r>
      <w:r w:rsidRPr="00D51BA1">
        <w:rPr>
          <w:i/>
        </w:rPr>
        <w:t xml:space="preserve">, </w:t>
      </w:r>
      <w:r w:rsidRPr="00D51BA1">
        <w:t xml:space="preserve">32 FCC </w:t>
      </w:r>
      <w:r w:rsidRPr="00D51BA1">
        <w:t>Rcd</w:t>
      </w:r>
      <w:r w:rsidRPr="00D51BA1">
        <w:t xml:space="preserve"> 9802 (2017) (</w:t>
      </w:r>
      <w:r w:rsidRPr="00D51BA1">
        <w:rPr>
          <w:i/>
          <w:iCs/>
        </w:rPr>
        <w:t>2010/2014 Quadrennial Review Order on Reconsideration</w:t>
      </w:r>
      <w:r w:rsidRPr="00D51BA1">
        <w:t xml:space="preserve">).  The Court also vacated in its entirety and remanded the Commission’s Order adopting a radio incubator program, </w:t>
      </w:r>
      <w:r w:rsidRPr="00D51BA1">
        <w:rPr>
          <w:i/>
        </w:rPr>
        <w:t>Report and Order</w:t>
      </w:r>
      <w:r w:rsidRPr="00D51BA1">
        <w:t xml:space="preserve"> </w:t>
      </w:r>
      <w:r w:rsidRPr="00D51BA1">
        <w:rPr>
          <w:i/>
        </w:rPr>
        <w:t>In the Matter of Rules and Policies to</w:t>
      </w:r>
      <w:r w:rsidRPr="00D51BA1">
        <w:t xml:space="preserve"> </w:t>
      </w:r>
      <w:r w:rsidRPr="00D51BA1">
        <w:rPr>
          <w:i/>
        </w:rPr>
        <w:t>Promote New Entry and Ownership Diversity in the Broadcasting Services</w:t>
      </w:r>
      <w:r w:rsidRPr="00D51BA1">
        <w:t xml:space="preserve">, 33 FCC </w:t>
      </w:r>
      <w:r w:rsidRPr="00D51BA1">
        <w:t>Rcd</w:t>
      </w:r>
      <w:r w:rsidRPr="00D51BA1">
        <w:t xml:space="preserve"> 7911 (2018), and the definition of “eligible entity” from the </w:t>
      </w:r>
      <w:r w:rsidRPr="00D51BA1">
        <w:rPr>
          <w:i/>
        </w:rPr>
        <w:t>2014 Quadrennial Review Order – Review of the Commission’s Broadcast Ownership Rules and Other Rules Adopted Pursuant to Section 202 of the Telecommunications Act of 1996 et al.</w:t>
      </w:r>
      <w:r w:rsidRPr="00D51BA1">
        <w:t>, Second Report and Order</w:t>
      </w:r>
      <w:r w:rsidRPr="00D51BA1">
        <w:rPr>
          <w:i/>
        </w:rPr>
        <w:t xml:space="preserve">, </w:t>
      </w:r>
      <w:r w:rsidRPr="00D51BA1">
        <w:t xml:space="preserve">31 FCC </w:t>
      </w:r>
      <w:r w:rsidRPr="00D51BA1">
        <w:t>Rcd</w:t>
      </w:r>
      <w:r w:rsidRPr="00D51BA1">
        <w:t xml:space="preserve"> 9864 (2016) (</w:t>
      </w:r>
      <w:r w:rsidRPr="00D51BA1">
        <w:rPr>
          <w:i/>
        </w:rPr>
        <w:t>2010</w:t>
      </w:r>
      <w:r w:rsidRPr="00D51BA1">
        <w:t>/</w:t>
      </w:r>
      <w:r w:rsidRPr="00D51BA1">
        <w:rPr>
          <w:i/>
        </w:rPr>
        <w:t>2014 Quadrennial Review Order</w:t>
      </w:r>
      <w:r w:rsidRPr="00D51BA1">
        <w:t>).</w:t>
      </w:r>
    </w:p>
  </w:footnote>
  <w:footnote w:id="5">
    <w:p w:rsidR="00D51BA1" w:rsidRPr="00D51BA1" w:rsidP="00D51BA1">
      <w:pPr>
        <w:pStyle w:val="FootnoteText"/>
        <w:widowControl w:val="0"/>
      </w:pPr>
      <w:r w:rsidRPr="00D51BA1">
        <w:rPr>
          <w:rStyle w:val="FootnoteReference"/>
          <w:sz w:val="20"/>
        </w:rPr>
        <w:footnoteRef/>
      </w:r>
      <w:r w:rsidRPr="00D51BA1">
        <w:t xml:space="preserve"> </w:t>
      </w:r>
      <w:r w:rsidRPr="00D51BA1">
        <w:rPr>
          <w:i/>
        </w:rPr>
        <w:t>2010</w:t>
      </w:r>
      <w:r w:rsidRPr="00D51BA1">
        <w:t>/</w:t>
      </w:r>
      <w:r w:rsidRPr="00D51BA1">
        <w:rPr>
          <w:i/>
        </w:rPr>
        <w:t xml:space="preserve">2014 Quadrennial Review Order, </w:t>
      </w:r>
      <w:r w:rsidRPr="00D51BA1">
        <w:t>Second Report and Order</w:t>
      </w:r>
      <w:r w:rsidRPr="00D51BA1">
        <w:rPr>
          <w:i/>
        </w:rPr>
        <w:t xml:space="preserve">, </w:t>
      </w:r>
      <w:r w:rsidRPr="00D51BA1">
        <w:t xml:space="preserve">31 FCC </w:t>
      </w:r>
      <w:r w:rsidRPr="00D51BA1">
        <w:t>Rcd</w:t>
      </w:r>
      <w:r w:rsidRPr="00D51BA1">
        <w:t xml:space="preserve"> 9864 (2016).</w:t>
      </w:r>
    </w:p>
  </w:footnote>
  <w:footnote w:id="6">
    <w:p w:rsidR="00D51BA1" w:rsidRPr="00D51BA1" w:rsidP="00D51BA1">
      <w:pPr>
        <w:pStyle w:val="FootnoteText"/>
        <w:widowControl w:val="0"/>
        <w:rPr>
          <w:b/>
        </w:rPr>
      </w:pPr>
      <w:r w:rsidRPr="00D51BA1">
        <w:rPr>
          <w:rStyle w:val="FootnoteReference"/>
          <w:sz w:val="20"/>
        </w:rPr>
        <w:footnoteRef/>
      </w:r>
      <w:r w:rsidRPr="00D51BA1">
        <w:t xml:space="preserve"> </w:t>
      </w:r>
      <w:r w:rsidRPr="00D51BA1">
        <w:rPr>
          <w:i/>
        </w:rPr>
        <w:t xml:space="preserve">Prometheus, </w:t>
      </w:r>
      <w:r w:rsidRPr="00D51BA1">
        <w:t xml:space="preserve">939 F.3d at 587, 589, referencing </w:t>
      </w:r>
      <w:r w:rsidRPr="00D51BA1">
        <w:rPr>
          <w:i/>
        </w:rPr>
        <w:t>2010</w:t>
      </w:r>
      <w:r w:rsidRPr="00D51BA1">
        <w:t>/</w:t>
      </w:r>
      <w:r w:rsidRPr="00D51BA1">
        <w:rPr>
          <w:i/>
        </w:rPr>
        <w:t>2014 Quadrennial Review Order.</w:t>
      </w:r>
      <w:r w:rsidRPr="00D51BA1">
        <w:t xml:space="preserve">  That definition is reflected in Section III, Item 6.d. of FCC Form 314 and Section III, Item 8.d of FCC Form 315.  </w:t>
      </w:r>
      <w:r w:rsidRPr="00D51BA1">
        <w:rPr>
          <w:rStyle w:val="Strong"/>
          <w:b w:val="0"/>
          <w:color w:val="000000"/>
        </w:rPr>
        <w:t>Pending further Commission action on this topic, the eligible entity definition and attendant provisions of FCC Forms 314 and 315 are unavailable.</w:t>
      </w:r>
    </w:p>
  </w:footnote>
  <w:footnote w:id="7">
    <w:p w:rsidR="00D51BA1" w:rsidRPr="00D51BA1" w:rsidP="00D51BA1">
      <w:pPr>
        <w:pStyle w:val="FootnoteText"/>
        <w:widowControl w:val="0"/>
      </w:pPr>
      <w:r w:rsidRPr="00D51BA1">
        <w:rPr>
          <w:rStyle w:val="FootnoteReference"/>
          <w:sz w:val="20"/>
        </w:rPr>
        <w:footnoteRef/>
      </w:r>
      <w:r w:rsidRPr="00D51BA1">
        <w:t xml:space="preserve"> Letter from Patricia S. </w:t>
      </w:r>
      <w:r w:rsidRPr="00D51BA1">
        <w:t>Dodszuweit</w:t>
      </w:r>
      <w:r w:rsidRPr="00D51BA1">
        <w:t xml:space="preserve">, Clerk, </w:t>
      </w:r>
      <w:r w:rsidRPr="00D51BA1">
        <w:rPr>
          <w:i/>
        </w:rPr>
        <w:t xml:space="preserve">Prometheus Radio Project v. FCC, </w:t>
      </w:r>
      <w:r w:rsidRPr="00D51BA1">
        <w:t xml:space="preserve">Nos. 17-1107 </w:t>
      </w:r>
      <w:r w:rsidRPr="00D51BA1">
        <w:rPr>
          <w:i/>
        </w:rPr>
        <w:t xml:space="preserve">et al. </w:t>
      </w:r>
      <w:r w:rsidRPr="00D51BA1">
        <w:t>(3d Cir. Nov. 29, 2019).</w:t>
      </w:r>
    </w:p>
  </w:footnote>
  <w:footnote w:id="8">
    <w:p w:rsidR="00D51BA1" w:rsidRPr="00D51BA1" w:rsidP="00D51BA1">
      <w:pPr>
        <w:pStyle w:val="FootnoteText"/>
      </w:pPr>
      <w:r w:rsidRPr="00D51BA1">
        <w:rPr>
          <w:rStyle w:val="FootnoteReference"/>
          <w:sz w:val="20"/>
        </w:rPr>
        <w:footnoteRef/>
      </w:r>
      <w:r w:rsidRPr="00D51BA1">
        <w:t xml:space="preserve"> </w:t>
      </w:r>
      <w:r w:rsidRPr="00D51BA1">
        <w:rPr>
          <w:i/>
        </w:rPr>
        <w:t>2014 Quadrennial Regulatory Review – Review of the Commission’s Broadcast Ownership Rules and Other Rules Adopted Pursuant to Section 202 of the Telecommunications Act of 1996 et al.</w:t>
      </w:r>
      <w:r w:rsidRPr="00D51BA1">
        <w:t>, Order, DA 19-1303 (Dec. 20, 2019) (2019 Order).</w:t>
      </w:r>
    </w:p>
  </w:footnote>
  <w:footnote w:id="9">
    <w:p w:rsidR="00D51BA1" w:rsidRPr="00D51BA1" w:rsidP="00D51BA1">
      <w:pPr>
        <w:spacing w:after="120"/>
        <w:rPr>
          <w:sz w:val="20"/>
        </w:rPr>
      </w:pPr>
      <w:r w:rsidRPr="00D51BA1">
        <w:rPr>
          <w:rStyle w:val="FootnoteReference"/>
          <w:sz w:val="20"/>
        </w:rPr>
        <w:footnoteRef/>
      </w:r>
      <w:r w:rsidRPr="00D51BA1">
        <w:rPr>
          <w:sz w:val="20"/>
        </w:rPr>
        <w:t xml:space="preserve"> Nothing in this </w:t>
      </w:r>
      <w:r w:rsidRPr="00D51BA1">
        <w:rPr>
          <w:i/>
          <w:iCs/>
          <w:sz w:val="20"/>
        </w:rPr>
        <w:t xml:space="preserve">Public Notice </w:t>
      </w:r>
      <w:r w:rsidRPr="00D51BA1">
        <w:rPr>
          <w:sz w:val="20"/>
        </w:rPr>
        <w:t xml:space="preserve">shall be construed to affect the right of the Commission or any other party to the </w:t>
      </w:r>
      <w:r w:rsidRPr="00D51BA1">
        <w:rPr>
          <w:i/>
          <w:iCs/>
          <w:sz w:val="20"/>
        </w:rPr>
        <w:t xml:space="preserve">Prometheus </w:t>
      </w:r>
      <w:r w:rsidRPr="00D51BA1">
        <w:rPr>
          <w:sz w:val="20"/>
        </w:rPr>
        <w:t xml:space="preserve">litigation to seek further review of the Third Circuit’s decision in the U.S. Supreme Court, or to limit the Commission’s discretion </w:t>
      </w:r>
      <w:r w:rsidRPr="00D51BA1">
        <w:rPr>
          <w:sz w:val="20"/>
        </w:rPr>
        <w:t>in the event that</w:t>
      </w:r>
      <w:r w:rsidRPr="00D51BA1">
        <w:rPr>
          <w:sz w:val="20"/>
        </w:rPr>
        <w:t xml:space="preserve"> the Supreme Court were to take further action in that litigation.</w:t>
      </w:r>
    </w:p>
  </w:footnote>
  <w:footnote w:id="10">
    <w:p w:rsidR="00D51BA1" w:rsidRPr="00D51BA1" w:rsidP="00D51BA1">
      <w:pPr>
        <w:pStyle w:val="FootnoteText"/>
        <w:widowControl w:val="0"/>
      </w:pPr>
      <w:r w:rsidRPr="00D51BA1">
        <w:rPr>
          <w:rStyle w:val="FootnoteReference"/>
          <w:sz w:val="20"/>
        </w:rPr>
        <w:footnoteRef/>
      </w:r>
      <w:r w:rsidRPr="00D51BA1">
        <w:t xml:space="preserve"> https://transition.fcc.gov/Forms/Form314/314.pdf</w:t>
      </w:r>
    </w:p>
  </w:footnote>
  <w:footnote w:id="11">
    <w:p w:rsidR="00D51BA1" w:rsidRPr="00D51BA1" w:rsidP="00D51BA1">
      <w:pPr>
        <w:pStyle w:val="FootnoteText"/>
        <w:widowControl w:val="0"/>
      </w:pPr>
      <w:r w:rsidRPr="00D51BA1">
        <w:rPr>
          <w:rStyle w:val="FootnoteReference"/>
          <w:sz w:val="20"/>
        </w:rPr>
        <w:footnoteRef/>
      </w:r>
      <w:r w:rsidRPr="00D51BA1">
        <w:t xml:space="preserve"> https://transition.fcc.gov/Forms/Form315/315.pdf</w:t>
      </w:r>
    </w:p>
  </w:footnote>
  <w:footnote w:id="12">
    <w:p w:rsidR="00D51BA1" w:rsidRPr="00D51BA1" w:rsidP="00D51BA1">
      <w:pPr>
        <w:pStyle w:val="FootnoteText"/>
        <w:widowControl w:val="0"/>
      </w:pPr>
      <w:r w:rsidRPr="00D51BA1">
        <w:rPr>
          <w:rStyle w:val="FootnoteReference"/>
          <w:sz w:val="20"/>
        </w:rPr>
        <w:footnoteRef/>
      </w:r>
      <w:r w:rsidRPr="00D51BA1">
        <w:t xml:space="preserve"> FCC Form 314, Section III, Item 6.b; FCC Form 315, Section III, Item 8.b.</w:t>
      </w:r>
    </w:p>
  </w:footnote>
  <w:footnote w:id="13">
    <w:p w:rsidR="00D51BA1" w:rsidRPr="00D51BA1" w:rsidP="00D51BA1">
      <w:pPr>
        <w:pStyle w:val="FootnoteText"/>
        <w:widowControl w:val="0"/>
      </w:pPr>
      <w:r w:rsidRPr="00D51BA1">
        <w:rPr>
          <w:rStyle w:val="FootnoteReference"/>
          <w:sz w:val="20"/>
        </w:rPr>
        <w:footnoteRef/>
      </w:r>
      <w:r w:rsidRPr="00D51BA1">
        <w:t xml:space="preserve"> 47 CFR § 73.3555(b)-(d), notes.  </w:t>
      </w:r>
      <w:r w:rsidRPr="00D51BA1">
        <w:rPr>
          <w:i/>
        </w:rPr>
        <w:t xml:space="preserve">See </w:t>
      </w:r>
      <w:r w:rsidRPr="00D51BA1">
        <w:t>2019 Order.</w:t>
      </w:r>
    </w:p>
  </w:footnote>
  <w:footnote w:id="14">
    <w:p w:rsidR="00D51BA1" w:rsidRPr="00D51BA1" w:rsidP="00D51BA1">
      <w:pPr>
        <w:pStyle w:val="FootnoteText"/>
        <w:widowControl w:val="0"/>
      </w:pPr>
      <w:r w:rsidRPr="00D51BA1">
        <w:rPr>
          <w:rStyle w:val="FootnoteReference"/>
          <w:sz w:val="20"/>
        </w:rPr>
        <w:footnoteRef/>
      </w:r>
      <w:r w:rsidRPr="00D51BA1">
        <w:t xml:space="preserve"> 47 CFR § 1.65.</w:t>
      </w:r>
      <w:r w:rsidRPr="00D51BA1">
        <w:rPr>
          <w:color w:val="3D3D3D"/>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51BA1">
      <w:rPr>
        <w:b/>
      </w:rPr>
      <w:t>DA 19-1305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A1"/>
    <w:rsid w:val="000072CE"/>
    <w:rsid w:val="00013A8B"/>
    <w:rsid w:val="00021445"/>
    <w:rsid w:val="00036039"/>
    <w:rsid w:val="00037F90"/>
    <w:rsid w:val="00070599"/>
    <w:rsid w:val="000875BF"/>
    <w:rsid w:val="00096D8C"/>
    <w:rsid w:val="000C0B65"/>
    <w:rsid w:val="000E3D42"/>
    <w:rsid w:val="000E5884"/>
    <w:rsid w:val="00105E98"/>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004A"/>
    <w:rsid w:val="0046125F"/>
    <w:rsid w:val="00487524"/>
    <w:rsid w:val="00496106"/>
    <w:rsid w:val="004C12D0"/>
    <w:rsid w:val="004C2EE3"/>
    <w:rsid w:val="004D141F"/>
    <w:rsid w:val="004E10E6"/>
    <w:rsid w:val="004E4A22"/>
    <w:rsid w:val="00511968"/>
    <w:rsid w:val="0055614C"/>
    <w:rsid w:val="00571F8B"/>
    <w:rsid w:val="00607BA5"/>
    <w:rsid w:val="00626EB6"/>
    <w:rsid w:val="006353A3"/>
    <w:rsid w:val="00655D03"/>
    <w:rsid w:val="00660F71"/>
    <w:rsid w:val="00683F84"/>
    <w:rsid w:val="006A6A81"/>
    <w:rsid w:val="006E26AF"/>
    <w:rsid w:val="006F7393"/>
    <w:rsid w:val="0070224F"/>
    <w:rsid w:val="007115F7"/>
    <w:rsid w:val="00785689"/>
    <w:rsid w:val="0079754B"/>
    <w:rsid w:val="007A1E6D"/>
    <w:rsid w:val="00822CE0"/>
    <w:rsid w:val="00837C62"/>
    <w:rsid w:val="00841AB1"/>
    <w:rsid w:val="008C22FD"/>
    <w:rsid w:val="008C6D0B"/>
    <w:rsid w:val="008F35CD"/>
    <w:rsid w:val="008F62FD"/>
    <w:rsid w:val="00910F12"/>
    <w:rsid w:val="00926503"/>
    <w:rsid w:val="00930ECF"/>
    <w:rsid w:val="009838BC"/>
    <w:rsid w:val="009A4437"/>
    <w:rsid w:val="00A45F4F"/>
    <w:rsid w:val="00A600A9"/>
    <w:rsid w:val="00A76F87"/>
    <w:rsid w:val="00A866AC"/>
    <w:rsid w:val="00AA55B7"/>
    <w:rsid w:val="00AA5B9E"/>
    <w:rsid w:val="00AB2407"/>
    <w:rsid w:val="00AB53DF"/>
    <w:rsid w:val="00AD3284"/>
    <w:rsid w:val="00B07E5C"/>
    <w:rsid w:val="00B20363"/>
    <w:rsid w:val="00B326E3"/>
    <w:rsid w:val="00B811F7"/>
    <w:rsid w:val="00BA5DC6"/>
    <w:rsid w:val="00BA6196"/>
    <w:rsid w:val="00BC6D8C"/>
    <w:rsid w:val="00BF5586"/>
    <w:rsid w:val="00C16AF2"/>
    <w:rsid w:val="00C34006"/>
    <w:rsid w:val="00C426B1"/>
    <w:rsid w:val="00C74493"/>
    <w:rsid w:val="00C82B6B"/>
    <w:rsid w:val="00C90D6A"/>
    <w:rsid w:val="00CC72B6"/>
    <w:rsid w:val="00D0218D"/>
    <w:rsid w:val="00D216CD"/>
    <w:rsid w:val="00D51BA1"/>
    <w:rsid w:val="00DA2529"/>
    <w:rsid w:val="00DB130A"/>
    <w:rsid w:val="00DC10A1"/>
    <w:rsid w:val="00DC655F"/>
    <w:rsid w:val="00DD7EBD"/>
    <w:rsid w:val="00DF62B6"/>
    <w:rsid w:val="00E07225"/>
    <w:rsid w:val="00E155B7"/>
    <w:rsid w:val="00E5409F"/>
    <w:rsid w:val="00EC0185"/>
    <w:rsid w:val="00F021FA"/>
    <w:rsid w:val="00F567BF"/>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98FA5B9-A3C8-46F7-8C71-5CF5C97E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86"/>
    <w:pPr>
      <w:widowControl w:val="0"/>
    </w:pPr>
    <w:rPr>
      <w:snapToGrid w:val="0"/>
      <w:kern w:val="28"/>
      <w:sz w:val="22"/>
    </w:rPr>
  </w:style>
  <w:style w:type="paragraph" w:styleId="Heading1">
    <w:name w:val="heading 1"/>
    <w:basedOn w:val="Normal"/>
    <w:next w:val="ParaNum"/>
    <w:qFormat/>
    <w:rsid w:val="00BF558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5586"/>
    <w:pPr>
      <w:keepNext/>
      <w:numPr>
        <w:ilvl w:val="1"/>
        <w:numId w:val="3"/>
      </w:numPr>
      <w:spacing w:after="120"/>
      <w:outlineLvl w:val="1"/>
    </w:pPr>
    <w:rPr>
      <w:b/>
    </w:rPr>
  </w:style>
  <w:style w:type="paragraph" w:styleId="Heading3">
    <w:name w:val="heading 3"/>
    <w:basedOn w:val="Normal"/>
    <w:next w:val="ParaNum"/>
    <w:qFormat/>
    <w:rsid w:val="00BF5586"/>
    <w:pPr>
      <w:keepNext/>
      <w:numPr>
        <w:ilvl w:val="2"/>
        <w:numId w:val="3"/>
      </w:numPr>
      <w:tabs>
        <w:tab w:val="left" w:pos="2160"/>
      </w:tabs>
      <w:spacing w:after="120"/>
      <w:outlineLvl w:val="2"/>
    </w:pPr>
    <w:rPr>
      <w:b/>
    </w:rPr>
  </w:style>
  <w:style w:type="paragraph" w:styleId="Heading4">
    <w:name w:val="heading 4"/>
    <w:basedOn w:val="Normal"/>
    <w:next w:val="ParaNum"/>
    <w:qFormat/>
    <w:rsid w:val="00BF5586"/>
    <w:pPr>
      <w:keepNext/>
      <w:numPr>
        <w:ilvl w:val="3"/>
        <w:numId w:val="3"/>
      </w:numPr>
      <w:tabs>
        <w:tab w:val="left" w:pos="2880"/>
      </w:tabs>
      <w:spacing w:after="120"/>
      <w:outlineLvl w:val="3"/>
    </w:pPr>
    <w:rPr>
      <w:b/>
    </w:rPr>
  </w:style>
  <w:style w:type="paragraph" w:styleId="Heading5">
    <w:name w:val="heading 5"/>
    <w:basedOn w:val="Normal"/>
    <w:next w:val="ParaNum"/>
    <w:qFormat/>
    <w:rsid w:val="00BF558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5586"/>
    <w:pPr>
      <w:numPr>
        <w:ilvl w:val="5"/>
        <w:numId w:val="3"/>
      </w:numPr>
      <w:tabs>
        <w:tab w:val="left" w:pos="4320"/>
      </w:tabs>
      <w:spacing w:after="120"/>
      <w:outlineLvl w:val="5"/>
    </w:pPr>
    <w:rPr>
      <w:b/>
    </w:rPr>
  </w:style>
  <w:style w:type="paragraph" w:styleId="Heading7">
    <w:name w:val="heading 7"/>
    <w:basedOn w:val="Normal"/>
    <w:next w:val="ParaNum"/>
    <w:qFormat/>
    <w:rsid w:val="00BF558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558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558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F558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F5586"/>
  </w:style>
  <w:style w:type="paragraph" w:customStyle="1" w:styleId="ParaNum">
    <w:name w:val="ParaNum"/>
    <w:basedOn w:val="Normal"/>
    <w:rsid w:val="00BF5586"/>
    <w:pPr>
      <w:numPr>
        <w:numId w:val="2"/>
      </w:numPr>
      <w:tabs>
        <w:tab w:val="clear" w:pos="1080"/>
        <w:tab w:val="num" w:pos="1440"/>
      </w:tabs>
      <w:spacing w:after="120"/>
    </w:pPr>
  </w:style>
  <w:style w:type="paragraph" w:styleId="EndnoteText">
    <w:name w:val="endnote text"/>
    <w:basedOn w:val="Normal"/>
    <w:semiHidden/>
    <w:rsid w:val="00BF5586"/>
    <w:rPr>
      <w:sz w:val="20"/>
    </w:rPr>
  </w:style>
  <w:style w:type="character" w:styleId="EndnoteReference">
    <w:name w:val="endnote reference"/>
    <w:semiHidden/>
    <w:rsid w:val="00BF5586"/>
    <w:rPr>
      <w:vertAlign w:val="superscript"/>
    </w:rPr>
  </w:style>
  <w:style w:type="paragraph" w:styleId="FootnoteText">
    <w:name w:val="footnote text"/>
    <w:link w:val="FootnoteTextChar"/>
    <w:semiHidden/>
    <w:rsid w:val="00BF5586"/>
    <w:pPr>
      <w:spacing w:after="120"/>
    </w:pPr>
  </w:style>
  <w:style w:type="character" w:styleId="FootnoteReference">
    <w:name w:val="footnote reference"/>
    <w:semiHidden/>
    <w:rsid w:val="00BF5586"/>
    <w:rPr>
      <w:rFonts w:ascii="Times New Roman" w:hAnsi="Times New Roman"/>
      <w:dstrike w:val="0"/>
      <w:color w:val="auto"/>
      <w:sz w:val="22"/>
      <w:vertAlign w:val="superscript"/>
    </w:rPr>
  </w:style>
  <w:style w:type="paragraph" w:styleId="TOC1">
    <w:name w:val="toc 1"/>
    <w:basedOn w:val="Normal"/>
    <w:next w:val="Normal"/>
    <w:uiPriority w:val="39"/>
    <w:rsid w:val="00BF558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5586"/>
    <w:pPr>
      <w:tabs>
        <w:tab w:val="left" w:pos="720"/>
        <w:tab w:val="right" w:leader="dot" w:pos="9360"/>
      </w:tabs>
      <w:suppressAutoHyphens/>
      <w:ind w:left="720" w:right="720" w:hanging="360"/>
    </w:pPr>
    <w:rPr>
      <w:noProof/>
    </w:rPr>
  </w:style>
  <w:style w:type="paragraph" w:styleId="TOC3">
    <w:name w:val="toc 3"/>
    <w:basedOn w:val="Normal"/>
    <w:next w:val="Normal"/>
    <w:semiHidden/>
    <w:rsid w:val="00BF558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558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558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558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558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558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558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5586"/>
    <w:pPr>
      <w:tabs>
        <w:tab w:val="right" w:pos="9360"/>
      </w:tabs>
      <w:suppressAutoHyphens/>
    </w:pPr>
  </w:style>
  <w:style w:type="character" w:customStyle="1" w:styleId="EquationCaption">
    <w:name w:val="_Equation Caption"/>
    <w:rsid w:val="00BF5586"/>
  </w:style>
  <w:style w:type="paragraph" w:styleId="Header">
    <w:name w:val="header"/>
    <w:basedOn w:val="Normal"/>
    <w:autoRedefine/>
    <w:rsid w:val="00BF558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F5586"/>
    <w:pPr>
      <w:tabs>
        <w:tab w:val="center" w:pos="4320"/>
        <w:tab w:val="right" w:pos="8640"/>
      </w:tabs>
    </w:pPr>
  </w:style>
  <w:style w:type="character" w:styleId="PageNumber">
    <w:name w:val="page number"/>
    <w:basedOn w:val="DefaultParagraphFont"/>
    <w:rsid w:val="00BF5586"/>
  </w:style>
  <w:style w:type="paragraph" w:styleId="BlockText">
    <w:name w:val="Block Text"/>
    <w:basedOn w:val="Normal"/>
    <w:rsid w:val="00BF5586"/>
    <w:pPr>
      <w:spacing w:after="240"/>
      <w:ind w:left="1440" w:right="1440"/>
    </w:pPr>
  </w:style>
  <w:style w:type="paragraph" w:customStyle="1" w:styleId="Paratitle">
    <w:name w:val="Para title"/>
    <w:basedOn w:val="Normal"/>
    <w:rsid w:val="00BF5586"/>
    <w:pPr>
      <w:tabs>
        <w:tab w:val="center" w:pos="9270"/>
      </w:tabs>
      <w:spacing w:after="240"/>
    </w:pPr>
    <w:rPr>
      <w:spacing w:val="-2"/>
    </w:rPr>
  </w:style>
  <w:style w:type="paragraph" w:customStyle="1" w:styleId="Bullet">
    <w:name w:val="Bullet"/>
    <w:basedOn w:val="Normal"/>
    <w:rsid w:val="00BF5586"/>
    <w:pPr>
      <w:numPr>
        <w:numId w:val="1"/>
      </w:numPr>
      <w:tabs>
        <w:tab w:val="clear" w:pos="360"/>
        <w:tab w:val="left" w:pos="2160"/>
      </w:tabs>
      <w:spacing w:after="220"/>
      <w:ind w:left="2160" w:hanging="720"/>
    </w:pPr>
  </w:style>
  <w:style w:type="paragraph" w:customStyle="1" w:styleId="TableFormat">
    <w:name w:val="TableFormat"/>
    <w:basedOn w:val="Bullet"/>
    <w:rsid w:val="00BF5586"/>
    <w:pPr>
      <w:numPr>
        <w:numId w:val="0"/>
      </w:numPr>
      <w:tabs>
        <w:tab w:val="clear" w:pos="2160"/>
        <w:tab w:val="left" w:pos="5040"/>
      </w:tabs>
      <w:ind w:left="5040" w:hanging="3600"/>
    </w:pPr>
  </w:style>
  <w:style w:type="paragraph" w:customStyle="1" w:styleId="TOCTitle">
    <w:name w:val="TOC Title"/>
    <w:basedOn w:val="Normal"/>
    <w:rsid w:val="00BF558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5586"/>
    <w:pPr>
      <w:jc w:val="center"/>
    </w:pPr>
    <w:rPr>
      <w:rFonts w:ascii="Times New Roman Bold" w:hAnsi="Times New Roman Bold"/>
      <w:b/>
      <w:bCs/>
      <w:caps/>
      <w:szCs w:val="22"/>
    </w:rPr>
  </w:style>
  <w:style w:type="character" w:styleId="Hyperlink">
    <w:name w:val="Hyperlink"/>
    <w:rsid w:val="00BF5586"/>
    <w:rPr>
      <w:color w:val="0000FF"/>
      <w:u w:val="single"/>
    </w:rPr>
  </w:style>
  <w:style w:type="character" w:customStyle="1" w:styleId="FooterChar">
    <w:name w:val="Footer Char"/>
    <w:link w:val="Footer"/>
    <w:uiPriority w:val="99"/>
    <w:rsid w:val="00BF5586"/>
    <w:rPr>
      <w:snapToGrid w:val="0"/>
      <w:kern w:val="28"/>
      <w:sz w:val="22"/>
    </w:rPr>
  </w:style>
  <w:style w:type="character" w:styleId="Strong">
    <w:name w:val="Strong"/>
    <w:qFormat/>
    <w:rsid w:val="00D51BA1"/>
    <w:rPr>
      <w:b/>
      <w:bCs/>
    </w:rPr>
  </w:style>
  <w:style w:type="character" w:customStyle="1" w:styleId="FootnoteTextChar">
    <w:name w:val="Footnote Text Char"/>
    <w:link w:val="FootnoteText"/>
    <w:semiHidden/>
    <w:rsid w:val="00D5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Wagner@fcc.gov" TargetMode="External" /><Relationship Id="rId6" Type="http://schemas.openxmlformats.org/officeDocument/2006/relationships/hyperlink" Target="mailto:Lisa.Scanlan@fcc.gov" TargetMode="External" /><Relationship Id="rId7" Type="http://schemas.openxmlformats.org/officeDocument/2006/relationships/hyperlink" Target="mailto:David.Brown@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