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2277" w:rsidRPr="00BA1752" w:rsidP="00752277" w14:paraId="62CD920A" w14:textId="5F5C6404">
      <w:pPr>
        <w:jc w:val="right"/>
        <w:rPr>
          <w:b/>
          <w:sz w:val="24"/>
          <w:szCs w:val="22"/>
        </w:rPr>
      </w:pPr>
      <w:r w:rsidRPr="00BA1752">
        <w:rPr>
          <w:b/>
          <w:sz w:val="24"/>
          <w:szCs w:val="22"/>
        </w:rPr>
        <w:t>DA 19-</w:t>
      </w:r>
      <w:r w:rsidR="00F84C23">
        <w:rPr>
          <w:b/>
          <w:sz w:val="24"/>
          <w:szCs w:val="22"/>
        </w:rPr>
        <w:t>1309</w:t>
      </w:r>
    </w:p>
    <w:p w:rsidR="00752277" w:rsidRPr="00BA1752" w:rsidP="00752277" w14:paraId="03688678" w14:textId="7AAF4EAF">
      <w:pPr>
        <w:spacing w:after="120"/>
        <w:jc w:val="right"/>
        <w:rPr>
          <w:b/>
          <w:sz w:val="24"/>
          <w:szCs w:val="22"/>
        </w:rPr>
      </w:pPr>
      <w:r>
        <w:rPr>
          <w:b/>
          <w:sz w:val="24"/>
          <w:szCs w:val="22"/>
        </w:rPr>
        <w:t>Released:  December 20, 2019</w:t>
      </w:r>
    </w:p>
    <w:p w:rsidR="00752277" w:rsidRPr="00BA1752" w:rsidP="00752277" w14:paraId="5BFB4E3B" w14:textId="77777777">
      <w:pPr>
        <w:jc w:val="center"/>
        <w:rPr>
          <w:b/>
          <w:sz w:val="24"/>
        </w:rPr>
      </w:pPr>
      <w:r w:rsidRPr="00BA1752">
        <w:rPr>
          <w:b/>
          <w:sz w:val="24"/>
        </w:rPr>
        <w:t xml:space="preserve">CONNECT AMERICA FUND PHASE II AUCTION SUPPORT </w:t>
      </w:r>
    </w:p>
    <w:p w:rsidR="00752277" w:rsidRPr="00BA1752" w:rsidP="00752277" w14:paraId="52F526D1" w14:textId="59F5626E">
      <w:pPr>
        <w:spacing w:after="120"/>
        <w:jc w:val="center"/>
        <w:rPr>
          <w:b/>
          <w:sz w:val="24"/>
        </w:rPr>
      </w:pPr>
      <w:r w:rsidRPr="00BA1752">
        <w:rPr>
          <w:b/>
          <w:sz w:val="24"/>
        </w:rPr>
        <w:t xml:space="preserve">FOR </w:t>
      </w:r>
      <w:r w:rsidRPr="00BA1752" w:rsidR="005D7331">
        <w:rPr>
          <w:b/>
          <w:sz w:val="24"/>
        </w:rPr>
        <w:t>2,121</w:t>
      </w:r>
      <w:r w:rsidRPr="00BA1752" w:rsidR="006A5D4B">
        <w:rPr>
          <w:b/>
          <w:sz w:val="24"/>
        </w:rPr>
        <w:t xml:space="preserve"> </w:t>
      </w:r>
      <w:r w:rsidRPr="00BA1752">
        <w:rPr>
          <w:b/>
          <w:sz w:val="24"/>
        </w:rPr>
        <w:t>WINNING BIDS READY TO BE AUTHORIZED</w:t>
      </w:r>
    </w:p>
    <w:p w:rsidR="00752277" w:rsidRPr="00BA1752" w:rsidP="00752277" w14:paraId="21DF03A8" w14:textId="716782C1">
      <w:pPr>
        <w:spacing w:after="120"/>
        <w:jc w:val="center"/>
        <w:rPr>
          <w:b/>
          <w:sz w:val="24"/>
        </w:rPr>
      </w:pPr>
      <w:r w:rsidRPr="00BA1752">
        <w:rPr>
          <w:b/>
          <w:sz w:val="24"/>
        </w:rPr>
        <w:t>Listed Auction 903 Long-Form Applicants Must Submit Letters of Credit and</w:t>
      </w:r>
      <w:r w:rsidRPr="00BA1752">
        <w:rPr>
          <w:b/>
          <w:sz w:val="24"/>
        </w:rPr>
        <w:br/>
        <w:t xml:space="preserve">Legal Counsel’s Opinion Letters by </w:t>
      </w:r>
      <w:r w:rsidRPr="00BA1752" w:rsidR="003F5548">
        <w:rPr>
          <w:b/>
          <w:sz w:val="24"/>
        </w:rPr>
        <w:t>Friday</w:t>
      </w:r>
      <w:r w:rsidRPr="00BA1752" w:rsidR="00F1763B">
        <w:rPr>
          <w:b/>
          <w:sz w:val="24"/>
        </w:rPr>
        <w:t xml:space="preserve">, </w:t>
      </w:r>
      <w:r w:rsidRPr="00BA1752" w:rsidR="00F31722">
        <w:rPr>
          <w:b/>
          <w:sz w:val="24"/>
        </w:rPr>
        <w:t xml:space="preserve">January </w:t>
      </w:r>
      <w:r w:rsidRPr="00BA1752" w:rsidR="003F5548">
        <w:rPr>
          <w:b/>
          <w:sz w:val="24"/>
        </w:rPr>
        <w:t>10</w:t>
      </w:r>
      <w:r w:rsidRPr="00BA1752" w:rsidR="00F31722">
        <w:rPr>
          <w:b/>
          <w:sz w:val="24"/>
        </w:rPr>
        <w:t>, 2020</w:t>
      </w:r>
    </w:p>
    <w:p w:rsidR="00752277" w:rsidRPr="00BA1752" w:rsidP="00752277" w14:paraId="039C14CF" w14:textId="77777777">
      <w:pPr>
        <w:jc w:val="center"/>
        <w:rPr>
          <w:b/>
          <w:sz w:val="24"/>
        </w:rPr>
      </w:pPr>
      <w:r w:rsidRPr="00BA1752">
        <w:rPr>
          <w:b/>
          <w:sz w:val="24"/>
        </w:rPr>
        <w:t>AU Docket No. 17-182</w:t>
      </w:r>
    </w:p>
    <w:p w:rsidR="00752277" w:rsidRPr="00BA1752" w:rsidP="00752277" w14:paraId="15D6F556" w14:textId="77777777">
      <w:pPr>
        <w:spacing w:after="120"/>
        <w:jc w:val="center"/>
        <w:rPr>
          <w:b/>
          <w:sz w:val="24"/>
        </w:rPr>
      </w:pPr>
      <w:r w:rsidRPr="00BA1752">
        <w:rPr>
          <w:b/>
          <w:sz w:val="24"/>
        </w:rPr>
        <w:t>WC Docket No. 10-90</w:t>
      </w:r>
    </w:p>
    <w:p w:rsidR="00F425A9" w:rsidRPr="00BA1752" w:rsidP="00752277" w14:paraId="2E3C26A6" w14:textId="60EB131D">
      <w:pPr>
        <w:tabs>
          <w:tab w:val="left" w:pos="720"/>
        </w:tabs>
        <w:spacing w:after="120"/>
      </w:pPr>
      <w:r w:rsidRPr="00BA1752">
        <w:tab/>
        <w:t>By this Public Notice, the Rural Broadband Auctions Task Force, Wireline Competition Bureau, and the Office of Economics and Analytics</w:t>
      </w:r>
      <w:r w:rsidRPr="00BA1752" w:rsidR="0059540A">
        <w:t xml:space="preserve"> (Bureaus)</w:t>
      </w:r>
      <w:r w:rsidRPr="00BA1752">
        <w:t xml:space="preserve"> announce they are ready to authorize Connect America Fund Phase II auction (Auction 903) support for the Auction 903 winning bids identified in Attachment A of this Public Notice. </w:t>
      </w:r>
      <w:r w:rsidRPr="00BA1752" w:rsidR="00362039">
        <w:t xml:space="preserve"> T</w:t>
      </w:r>
      <w:r w:rsidRPr="00BA1752" w:rsidR="0059540A">
        <w:t>he Bureaus, on their own motion, grant a brief, limited waiver</w:t>
      </w:r>
      <w:r w:rsidRPr="00BA1752" w:rsidR="004D4677">
        <w:t xml:space="preserve"> </w:t>
      </w:r>
      <w:r w:rsidRPr="00BA1752" w:rsidR="0059540A">
        <w:t>of section 54.315(b)(6)(v) of the Commission’ rules</w:t>
      </w:r>
      <w:r w:rsidRPr="00BA1752" w:rsidR="004D4677">
        <w:t xml:space="preserve"> due to the upcoming federal holidays</w:t>
      </w:r>
      <w:r w:rsidRPr="00BA1752" w:rsidR="00E90049">
        <w:t>.</w:t>
      </w:r>
      <w:r>
        <w:rPr>
          <w:rStyle w:val="FootnoteReference"/>
        </w:rPr>
        <w:footnoteReference w:id="3"/>
      </w:r>
      <w:r w:rsidRPr="00BA1752" w:rsidR="0059540A">
        <w:t xml:space="preserve"> </w:t>
      </w:r>
      <w:r w:rsidRPr="00BA1752" w:rsidR="00E90049">
        <w:t xml:space="preserve"> </w:t>
      </w:r>
      <w:r w:rsidRPr="00BA1752" w:rsidR="00285E90">
        <w:t>W</w:t>
      </w:r>
      <w:r w:rsidRPr="00BA1752" w:rsidR="00F3592C">
        <w:t>e find good cause to w</w:t>
      </w:r>
      <w:r w:rsidRPr="00BA1752" w:rsidR="00285E90">
        <w:t xml:space="preserve">aive section 54.315(b)(6)(v) </w:t>
      </w:r>
      <w:r w:rsidRPr="00BA1752" w:rsidR="00F3592C">
        <w:t xml:space="preserve">due to </w:t>
      </w:r>
      <w:r w:rsidRPr="00BA1752" w:rsidR="00285E90">
        <w:t xml:space="preserve">the special circumstance that banks will likely be closed during the federal holidays in December 2019 and January 2020.  A limited waiver will serve the public interest by allowing </w:t>
      </w:r>
      <w:r w:rsidRPr="00BA1752" w:rsidR="00315BD2">
        <w:t xml:space="preserve">the ready to authorize applicants in this Public Notice </w:t>
      </w:r>
      <w:r w:rsidRPr="00BA1752" w:rsidR="00F3592C">
        <w:t xml:space="preserve">sufficient time to obtain and </w:t>
      </w:r>
      <w:r w:rsidRPr="00BA1752" w:rsidR="00315BD2">
        <w:t xml:space="preserve">to submit an irrevocable stand-by letter(s) of credit </w:t>
      </w:r>
      <w:r w:rsidRPr="00BA1752" w:rsidR="0032346E">
        <w:t>and Bankruptcy Code opinion letter(s) from their legal counsel for each state where they have winning bids that are ready to be authorized</w:t>
      </w:r>
      <w:r w:rsidRPr="00BA1752" w:rsidR="00B84670">
        <w:t>,</w:t>
      </w:r>
      <w:r w:rsidRPr="00BA1752" w:rsidR="0032346E">
        <w:t xml:space="preserve"> in accordance with the instructions provided below</w:t>
      </w:r>
      <w:r w:rsidRPr="00BA1752" w:rsidR="00B84670">
        <w:t>,</w:t>
      </w:r>
      <w:r w:rsidRPr="00BA1752" w:rsidR="0032346E">
        <w:t xml:space="preserve"> </w:t>
      </w:r>
      <w:r w:rsidRPr="00BA1752" w:rsidR="0032346E">
        <w:rPr>
          <w:b/>
        </w:rPr>
        <w:t>prior to</w:t>
      </w:r>
      <w:r w:rsidRPr="00BA1752" w:rsidR="0032346E">
        <w:t xml:space="preserve"> </w:t>
      </w:r>
      <w:bookmarkStart w:id="0" w:name="_Hlk25224590"/>
      <w:r w:rsidRPr="00BA1752" w:rsidR="0032346E">
        <w:rPr>
          <w:b/>
        </w:rPr>
        <w:t xml:space="preserve">6:00 p.m. ET on </w:t>
      </w:r>
      <w:r w:rsidRPr="00BA1752" w:rsidR="008365B3">
        <w:rPr>
          <w:b/>
        </w:rPr>
        <w:t>Friday</w:t>
      </w:r>
      <w:r w:rsidRPr="00BA1752" w:rsidR="0032346E">
        <w:rPr>
          <w:b/>
        </w:rPr>
        <w:t xml:space="preserve">, January </w:t>
      </w:r>
      <w:r w:rsidRPr="00BA1752" w:rsidR="008365B3">
        <w:rPr>
          <w:b/>
        </w:rPr>
        <w:t>10</w:t>
      </w:r>
      <w:r w:rsidRPr="00BA1752" w:rsidR="0032346E">
        <w:rPr>
          <w:b/>
        </w:rPr>
        <w:t>, 2020</w:t>
      </w:r>
      <w:bookmarkEnd w:id="0"/>
      <w:r w:rsidRPr="00BA1752" w:rsidR="0032346E">
        <w:rPr>
          <w:b/>
        </w:rPr>
        <w:t>.</w:t>
      </w:r>
    </w:p>
    <w:p w:rsidR="00FB5968" w:rsidRPr="00BA1752" w:rsidP="00752277" w14:paraId="32FD0E6D" w14:textId="3BEBE644">
      <w:pPr>
        <w:tabs>
          <w:tab w:val="left" w:pos="720"/>
        </w:tabs>
        <w:spacing w:after="120"/>
        <w:rPr>
          <w:b/>
        </w:rPr>
      </w:pPr>
      <w:r w:rsidRPr="00BA1752">
        <w:tab/>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4"/>
      </w:r>
      <w:r w:rsidRPr="00BA1752">
        <w:t xml:space="preserve">  On October 30, 2018, after an opportunity for winning bidders to assign some or all of their winning bids to related entities, we announced that there were 134 long-form applicants.</w:t>
      </w:r>
      <w:r>
        <w:rPr>
          <w:rStyle w:val="FootnoteReference"/>
        </w:rPr>
        <w:footnoteReference w:id="5"/>
      </w:r>
      <w:r w:rsidRPr="00BA1752">
        <w:t xml:space="preserve">  We have reviewed the long-form applications associated with each of the winning bids identified in Attachment A.  Based on the representations and certifications in each relevant long-form application, we </w:t>
      </w:r>
      <w:r w:rsidRPr="00BA1752">
        <w:t>are prepared to authorize support, subject to submission of the required letter(s) of credit and Bankruptcy Code opinion letter(s), for each of the winning bids identified in Attachment A.</w:t>
      </w:r>
      <w:r>
        <w:rPr>
          <w:rStyle w:val="FootnoteReference"/>
        </w:rPr>
        <w:footnoteReference w:id="6"/>
      </w:r>
    </w:p>
    <w:p w:rsidR="001846E6" w:rsidRPr="00BA1752" w:rsidP="001846E6" w14:paraId="5B260039" w14:textId="7E9D8E17">
      <w:pPr>
        <w:spacing w:after="120"/>
        <w:ind w:firstLine="720"/>
      </w:pPr>
      <w:r w:rsidRPr="00BA1752">
        <w:rPr>
          <w:i/>
        </w:rPr>
        <w:t xml:space="preserve">Wisper Waiver.  </w:t>
      </w:r>
      <w:r w:rsidRPr="00BA1752">
        <w:t xml:space="preserve">Auction 903 long-form applicants were required to certify that they are eligible telecommunications carriers (ETCs) </w:t>
      </w:r>
      <w:r w:rsidRPr="00BA1752" w:rsidR="00AB65FC">
        <w:t>throughout the</w:t>
      </w:r>
      <w:r w:rsidRPr="00BA1752" w:rsidR="005732C6">
        <w:t>ir</w:t>
      </w:r>
      <w:r w:rsidRPr="00BA1752" w:rsidR="00AB65FC">
        <w:t xml:space="preserve"> service territory</w:t>
      </w:r>
      <w:r w:rsidRPr="00BA1752">
        <w:t xml:space="preserve"> and to submit appropriate documentation supporting such certification on or before February 25, 2019.</w:t>
      </w:r>
      <w:r>
        <w:rPr>
          <w:rStyle w:val="FootnoteReference"/>
        </w:rPr>
        <w:footnoteReference w:id="7"/>
      </w:r>
      <w:r w:rsidRPr="00BA1752">
        <w:t xml:space="preserve">  We find good cause to waive this deadline for </w:t>
      </w:r>
      <w:r w:rsidRPr="00BA1752" w:rsidR="005B12BC">
        <w:t>Wisper ISP</w:t>
      </w:r>
      <w:r w:rsidRPr="00BA1752" w:rsidR="000876CF">
        <w:t>,</w:t>
      </w:r>
      <w:r w:rsidRPr="00BA1752" w:rsidR="005B12BC">
        <w:t xml:space="preserve"> </w:t>
      </w:r>
      <w:r w:rsidRPr="00BA1752" w:rsidR="00E854AE">
        <w:t xml:space="preserve">Inc. </w:t>
      </w:r>
      <w:r w:rsidRPr="00BA1752" w:rsidR="005B12BC">
        <w:t>(Wisper</w:t>
      </w:r>
      <w:r w:rsidRPr="00BA1752">
        <w:t xml:space="preserve">) in </w:t>
      </w:r>
      <w:r w:rsidRPr="00BA1752" w:rsidR="005B12BC">
        <w:t>Oklahoma</w:t>
      </w:r>
      <w:r w:rsidRPr="00BA1752">
        <w:t>.</w:t>
      </w:r>
      <w:r>
        <w:rPr>
          <w:rStyle w:val="FootnoteReference"/>
        </w:rPr>
        <w:footnoteReference w:id="8"/>
      </w:r>
      <w:r w:rsidRPr="00BA1752">
        <w:t xml:space="preserve">  Generally, the Commission’s rules may be waived for good cause shown.</w:t>
      </w:r>
      <w:r>
        <w:rPr>
          <w:rStyle w:val="FootnoteReference"/>
        </w:rPr>
        <w:footnoteReference w:id="9"/>
      </w:r>
      <w:r w:rsidRPr="00BA1752">
        <w:t xml:space="preserve">  The Commission has found that waiver of this deadline is appropriate when an ETC designation proceeding is not yet complete by the deadline despite the good faith efforts of the long-form applicant</w:t>
      </w:r>
      <w:r w:rsidRPr="00BA1752" w:rsidR="0013351E">
        <w:t xml:space="preserve">, and explained that it would presume such good faith efforts when the petitioner submitted its petition to the relevant authority within 30 days of the release of the </w:t>
      </w:r>
      <w:r w:rsidRPr="00BA1752" w:rsidR="0013351E">
        <w:rPr>
          <w:i/>
        </w:rPr>
        <w:t>Auction 903 Closing Public Notice</w:t>
      </w:r>
      <w:r w:rsidRPr="00BA1752">
        <w:t>.</w:t>
      </w:r>
      <w:r>
        <w:rPr>
          <w:rStyle w:val="FootnoteReference"/>
        </w:rPr>
        <w:footnoteReference w:id="10"/>
      </w:r>
      <w:r w:rsidRPr="00BA1752">
        <w:t xml:space="preserve">  </w:t>
      </w:r>
      <w:r w:rsidRPr="00BA1752" w:rsidR="00235447">
        <w:t>Even though Wisper did not file its ETC petition within</w:t>
      </w:r>
      <w:r w:rsidRPr="00BA1752" w:rsidR="00292DB3">
        <w:t xml:space="preserve"> the 30-day time-frame</w:t>
      </w:r>
      <w:r w:rsidRPr="00BA1752" w:rsidR="00235447">
        <w:t xml:space="preserve">, we </w:t>
      </w:r>
      <w:r w:rsidRPr="00BA1752">
        <w:t xml:space="preserve">find </w:t>
      </w:r>
      <w:r w:rsidRPr="00BA1752" w:rsidR="00292DB3">
        <w:t>Wisper</w:t>
      </w:r>
      <w:r w:rsidRPr="00BA1752" w:rsidR="00563BD0">
        <w:t xml:space="preserve">’s </w:t>
      </w:r>
      <w:r w:rsidRPr="00BA1752" w:rsidR="00CA46AD">
        <w:t xml:space="preserve">delay </w:t>
      </w:r>
      <w:r w:rsidRPr="00BA1752" w:rsidR="00E77980">
        <w:t xml:space="preserve">does </w:t>
      </w:r>
      <w:r w:rsidRPr="00BA1752" w:rsidR="00563BD0">
        <w:t xml:space="preserve">not rise to the </w:t>
      </w:r>
      <w:r w:rsidRPr="00BA1752" w:rsidR="00C43265">
        <w:t>level of lack of good faith</w:t>
      </w:r>
      <w:r w:rsidRPr="00BA1752" w:rsidR="00563BD0">
        <w:t xml:space="preserve"> </w:t>
      </w:r>
      <w:r w:rsidRPr="00BA1752" w:rsidR="003A0189">
        <w:t xml:space="preserve">that should result in its default, </w:t>
      </w:r>
      <w:r w:rsidRPr="00BA1752" w:rsidR="00563BD0">
        <w:t>for the reasons discussed below</w:t>
      </w:r>
      <w:r w:rsidRPr="00BA1752">
        <w:t xml:space="preserve">. </w:t>
      </w:r>
      <w:r w:rsidRPr="00BA1752" w:rsidR="003F341F">
        <w:t xml:space="preserve"> </w:t>
      </w:r>
    </w:p>
    <w:p w:rsidR="00F44168" w:rsidRPr="00BA1752" w:rsidP="00F84C23" w14:paraId="77023509" w14:textId="50E8D597">
      <w:pPr>
        <w:widowControl/>
        <w:spacing w:after="120"/>
        <w:ind w:firstLine="720"/>
      </w:pPr>
      <w:r w:rsidRPr="00BA1752">
        <w:t xml:space="preserve">In an opposition to Wisper’s petition for waiver, </w:t>
      </w:r>
      <w:r w:rsidRPr="00BA1752" w:rsidR="007B3C3B">
        <w:t>Conexon</w:t>
      </w:r>
      <w:r w:rsidRPr="00BA1752">
        <w:t>, an intervenor in the state designation proceeding,</w:t>
      </w:r>
      <w:r w:rsidRPr="00BA1752" w:rsidR="007B3C3B">
        <w:t xml:space="preserve"> </w:t>
      </w:r>
      <w:r w:rsidRPr="00BA1752" w:rsidR="00EF5AFB">
        <w:t xml:space="preserve">argues the Bureau should deny </w:t>
      </w:r>
      <w:r w:rsidRPr="00BA1752">
        <w:t>the</w:t>
      </w:r>
      <w:r w:rsidRPr="00BA1752" w:rsidR="00EF5AFB">
        <w:t xml:space="preserve"> petition due to </w:t>
      </w:r>
      <w:r w:rsidRPr="00BA1752">
        <w:t>Wisper’</w:t>
      </w:r>
      <w:r w:rsidRPr="00BA1752" w:rsidR="00EF5AFB">
        <w:t>s lack of due diligence and good faith in pursuing its application before the Oklahoma Corporation Commission (OCC)</w:t>
      </w:r>
      <w:r w:rsidRPr="00BA1752" w:rsidR="00000F46">
        <w:t>.</w:t>
      </w:r>
      <w:r>
        <w:rPr>
          <w:rStyle w:val="FootnoteReference"/>
        </w:rPr>
        <w:footnoteReference w:id="11"/>
      </w:r>
      <w:r w:rsidRPr="00BA1752" w:rsidR="008256C3">
        <w:t xml:space="preserve"> </w:t>
      </w:r>
      <w:r w:rsidRPr="00BA1752" w:rsidR="00235447">
        <w:t xml:space="preserve"> </w:t>
      </w:r>
      <w:r w:rsidRPr="00BA1752" w:rsidR="00EF5AFB">
        <w:t xml:space="preserve">In support of its arguments, </w:t>
      </w:r>
      <w:r w:rsidRPr="00BA1752" w:rsidR="00EF5AFB">
        <w:t>Conexon</w:t>
      </w:r>
      <w:r w:rsidRPr="00BA1752" w:rsidR="00EF5AFB">
        <w:t xml:space="preserve"> relays several issues from the state proceeding.</w:t>
      </w:r>
      <w:r>
        <w:rPr>
          <w:rStyle w:val="FootnoteReference"/>
        </w:rPr>
        <w:footnoteReference w:id="12"/>
      </w:r>
      <w:bookmarkStart w:id="2" w:name="_Hlk26993034"/>
      <w:r w:rsidRPr="00BA1752" w:rsidR="00647161">
        <w:t xml:space="preserve">  </w:t>
      </w:r>
      <w:bookmarkEnd w:id="2"/>
      <w:r w:rsidRPr="00BA1752" w:rsidR="00314AAD">
        <w:t>Conexon</w:t>
      </w:r>
      <w:r w:rsidRPr="00BA1752" w:rsidR="00314AAD">
        <w:t xml:space="preserve"> </w:t>
      </w:r>
      <w:r w:rsidRPr="00BA1752" w:rsidR="00CE6EFF">
        <w:t xml:space="preserve">further </w:t>
      </w:r>
      <w:r w:rsidRPr="00BA1752">
        <w:t>challenges</w:t>
      </w:r>
      <w:r w:rsidRPr="00BA1752" w:rsidR="00CE6EFF">
        <w:t xml:space="preserve"> Wisper’s reliance </w:t>
      </w:r>
      <w:r w:rsidRPr="00BA1752" w:rsidR="00AE2B25">
        <w:t xml:space="preserve">in its waiver petition </w:t>
      </w:r>
      <w:r w:rsidRPr="00BA1752" w:rsidR="00CE6EFF">
        <w:t xml:space="preserve">on a prior Bureau decision to grant a petition for waiver of the ETC deadline in the rural broadband experiments and </w:t>
      </w:r>
      <w:r w:rsidRPr="00BA1752" w:rsidR="00B84670">
        <w:t xml:space="preserve">suggests </w:t>
      </w:r>
      <w:r w:rsidRPr="00BA1752" w:rsidR="00CE6EFF">
        <w:t>that instead a</w:t>
      </w:r>
      <w:r w:rsidRPr="00BA1752" w:rsidR="00D92060">
        <w:t xml:space="preserve"> different</w:t>
      </w:r>
      <w:r w:rsidRPr="00BA1752" w:rsidR="00CE6EFF">
        <w:t xml:space="preserve"> prior </w:t>
      </w:r>
      <w:r w:rsidRPr="00BA1752" w:rsidR="00BE6E93">
        <w:t>Bureau</w:t>
      </w:r>
      <w:r w:rsidRPr="00BA1752" w:rsidR="00CE6EFF">
        <w:t xml:space="preserve"> denial </w:t>
      </w:r>
      <w:r w:rsidRPr="00BA1752">
        <w:t xml:space="preserve">of the same deadline </w:t>
      </w:r>
      <w:r w:rsidRPr="00BA1752" w:rsidR="00BE6E93">
        <w:t>should “compel the same result” here</w:t>
      </w:r>
      <w:r w:rsidRPr="00BA1752" w:rsidR="00CE6EFF">
        <w:t>.</w:t>
      </w:r>
      <w:r>
        <w:rPr>
          <w:rStyle w:val="FootnoteReference"/>
        </w:rPr>
        <w:footnoteReference w:id="13"/>
      </w:r>
      <w:r w:rsidRPr="00BA1752" w:rsidR="00D26E77">
        <w:t xml:space="preserve">  Wisper disputes </w:t>
      </w:r>
      <w:r w:rsidRPr="00BA1752" w:rsidR="00D26E77">
        <w:t>Conexon’s</w:t>
      </w:r>
      <w:r w:rsidRPr="00BA1752" w:rsidR="00D26E77">
        <w:t xml:space="preserve"> various </w:t>
      </w:r>
      <w:r w:rsidRPr="00BA1752" w:rsidR="00D26E77">
        <w:t>allegations and states that it “reasonably believed that its ETC application would be approved in sufficient time to meet the FCC’s February 25, 2019 deadline.”</w:t>
      </w:r>
      <w:r>
        <w:rPr>
          <w:rStyle w:val="FootnoteReference"/>
        </w:rPr>
        <w:footnoteReference w:id="14"/>
      </w:r>
    </w:p>
    <w:p w:rsidR="001B22F7" w:rsidRPr="00BA1752" w:rsidP="001B22F7" w14:paraId="1DBC6B06" w14:textId="0161E651">
      <w:pPr>
        <w:spacing w:after="120"/>
        <w:ind w:firstLine="720"/>
      </w:pPr>
      <w:r w:rsidRPr="00BA1752">
        <w:t>Based on the</w:t>
      </w:r>
      <w:r w:rsidRPr="00BA1752" w:rsidR="00D26E77">
        <w:t xml:space="preserve"> totality of the</w:t>
      </w:r>
      <w:r w:rsidRPr="00BA1752">
        <w:t xml:space="preserve"> circumstances, we find that </w:t>
      </w:r>
      <w:r w:rsidRPr="00BA1752" w:rsidR="006058D0">
        <w:t>Wisper</w:t>
      </w:r>
      <w:r w:rsidRPr="00BA1752" w:rsidR="00A94B13">
        <w:t>’s</w:t>
      </w:r>
      <w:r w:rsidRPr="00BA1752">
        <w:t xml:space="preserve"> late-fil</w:t>
      </w:r>
      <w:r w:rsidRPr="00BA1752" w:rsidR="00A170C1">
        <w:t xml:space="preserve">ed </w:t>
      </w:r>
      <w:r w:rsidRPr="00BA1752">
        <w:t xml:space="preserve">ETC </w:t>
      </w:r>
      <w:r w:rsidRPr="00BA1752" w:rsidR="00A170C1">
        <w:t xml:space="preserve">designation </w:t>
      </w:r>
      <w:r w:rsidRPr="00BA1752">
        <w:t xml:space="preserve">did not delay the Commission’s long-form application review process or the provision of voice and broadband services to consumers living in the areas where </w:t>
      </w:r>
      <w:r w:rsidRPr="00BA1752" w:rsidR="00B84670">
        <w:t xml:space="preserve">Wisper </w:t>
      </w:r>
      <w:r w:rsidRPr="00BA1752">
        <w:t>was awarded support.</w:t>
      </w:r>
      <w:r w:rsidRPr="00BA1752" w:rsidR="00801880">
        <w:t xml:space="preserve"> </w:t>
      </w:r>
      <w:r w:rsidRPr="00BA1752" w:rsidR="009C0B81">
        <w:t xml:space="preserve"> </w:t>
      </w:r>
      <w:r w:rsidRPr="00BA1752" w:rsidR="00801880">
        <w:t xml:space="preserve">As we found in Auction 903, </w:t>
      </w:r>
      <w:r w:rsidRPr="00BA1752" w:rsidR="004B12E0">
        <w:t>other applicants filed their ETC designation applications with the</w:t>
      </w:r>
      <w:r w:rsidRPr="00BA1752" w:rsidR="000B3C99">
        <w:t>ir</w:t>
      </w:r>
      <w:r w:rsidRPr="00BA1752" w:rsidR="004B12E0">
        <w:t xml:space="preserve"> respective state commissions after the 30-day good faith period, and did not delay the Commission’s long-form review process</w:t>
      </w:r>
      <w:r w:rsidRPr="00BA1752" w:rsidR="00801880">
        <w:t>.</w:t>
      </w:r>
      <w:r>
        <w:rPr>
          <w:rStyle w:val="FootnoteReference"/>
        </w:rPr>
        <w:footnoteReference w:id="15"/>
      </w:r>
      <w:r w:rsidRPr="00BA1752" w:rsidR="00801880">
        <w:t xml:space="preserve">  </w:t>
      </w:r>
      <w:r w:rsidRPr="00BA1752" w:rsidR="00BD7395">
        <w:t xml:space="preserve">Wisper’s circumstances did not rise to the </w:t>
      </w:r>
      <w:r w:rsidRPr="00BA1752" w:rsidR="009C0B81">
        <w:t>level of lack of good faith</w:t>
      </w:r>
      <w:r w:rsidRPr="00BA1752" w:rsidR="00AA46D9">
        <w:t xml:space="preserve"> </w:t>
      </w:r>
      <w:r w:rsidRPr="00BA1752" w:rsidR="00D26E77">
        <w:t>that previously led the Bureau to find in default a provisionally selected rural broadband experiments winner that had</w:t>
      </w:r>
      <w:r w:rsidRPr="00BA1752" w:rsidR="00BD7395">
        <w:t xml:space="preserve"> provided no explanation or defense of its failure to submit its ETC application to its respective state commission</w:t>
      </w:r>
      <w:r w:rsidRPr="00BA1752" w:rsidR="00D92060">
        <w:t>,</w:t>
      </w:r>
      <w:r w:rsidRPr="00BA1752" w:rsidR="00BD7395">
        <w:t xml:space="preserve"> as well as</w:t>
      </w:r>
      <w:r w:rsidRPr="00BA1752" w:rsidR="001A704E">
        <w:t xml:space="preserve"> its failure to meet</w:t>
      </w:r>
      <w:r w:rsidRPr="00BA1752" w:rsidR="001A704E">
        <w:rPr>
          <w:color w:val="FF0000"/>
        </w:rPr>
        <w:t xml:space="preserve"> </w:t>
      </w:r>
      <w:r w:rsidRPr="00BA1752" w:rsidR="00BD7395">
        <w:t>the associated Commission deadline to submit proof of ETC designation.</w:t>
      </w:r>
      <w:r>
        <w:rPr>
          <w:rStyle w:val="FootnoteReference"/>
        </w:rPr>
        <w:footnoteReference w:id="16"/>
      </w:r>
      <w:r w:rsidRPr="00BA1752" w:rsidR="00BD7395">
        <w:t xml:space="preserve">  </w:t>
      </w:r>
      <w:r w:rsidRPr="00BA1752" w:rsidR="005F3D3F">
        <w:t xml:space="preserve">Unlike </w:t>
      </w:r>
      <w:r w:rsidRPr="00BA1752" w:rsidR="00D26E77">
        <w:t xml:space="preserve">that </w:t>
      </w:r>
      <w:r w:rsidRPr="00BA1752" w:rsidR="005F3D3F">
        <w:t xml:space="preserve">case, </w:t>
      </w:r>
      <w:r w:rsidRPr="00BA1752" w:rsidR="001D6355">
        <w:t xml:space="preserve">here </w:t>
      </w:r>
      <w:r w:rsidRPr="00BA1752" w:rsidR="005F3D3F">
        <w:t xml:space="preserve">Wisper </w:t>
      </w:r>
      <w:r w:rsidRPr="00BA1752" w:rsidR="001D6355">
        <w:t xml:space="preserve">did </w:t>
      </w:r>
      <w:r w:rsidRPr="00BA1752" w:rsidR="005F3D3F">
        <w:t>file</w:t>
      </w:r>
      <w:r w:rsidRPr="00BA1752" w:rsidR="001D6355">
        <w:t xml:space="preserve"> an</w:t>
      </w:r>
      <w:r w:rsidRPr="00BA1752" w:rsidR="005F3D3F">
        <w:t xml:space="preserve"> ETC application </w:t>
      </w:r>
      <w:r w:rsidRPr="00BA1752" w:rsidR="00A170C1">
        <w:t xml:space="preserve">with the state </w:t>
      </w:r>
      <w:r w:rsidRPr="00BA1752" w:rsidR="005F3D3F">
        <w:t xml:space="preserve">in advance of the </w:t>
      </w:r>
      <w:r w:rsidRPr="00BA1752" w:rsidR="00A170C1">
        <w:t xml:space="preserve">deadline to submit its </w:t>
      </w:r>
      <w:r w:rsidRPr="00BA1752" w:rsidR="005F3D3F">
        <w:t>ETC designation proof</w:t>
      </w:r>
      <w:r w:rsidRPr="00BA1752" w:rsidR="00D92060">
        <w:t>;</w:t>
      </w:r>
      <w:r w:rsidRPr="00BA1752" w:rsidR="00D26E77">
        <w:t xml:space="preserve"> </w:t>
      </w:r>
      <w:r w:rsidRPr="00BA1752" w:rsidR="005F3D3F">
        <w:t>kept Commission staff apprised of its ongoing state ETC proceedings, including in Oklahoma</w:t>
      </w:r>
      <w:r w:rsidRPr="00BA1752" w:rsidR="00D92060">
        <w:t>;</w:t>
      </w:r>
      <w:r w:rsidRPr="00BA1752" w:rsidR="001D6355">
        <w:t xml:space="preserve"> and ultimately submitted an ETC designation from the OCC</w:t>
      </w:r>
      <w:r w:rsidRPr="00BA1752" w:rsidR="005F3D3F">
        <w:t>.</w:t>
      </w:r>
      <w:r w:rsidRPr="00BA1752" w:rsidR="00D77B0C">
        <w:t xml:space="preserve">  </w:t>
      </w:r>
    </w:p>
    <w:p w:rsidR="001846E6" w:rsidRPr="00BA1752" w:rsidP="001B22F7" w14:paraId="6762FA37" w14:textId="22C46144">
      <w:pPr>
        <w:spacing w:after="120"/>
        <w:ind w:firstLine="720"/>
      </w:pPr>
      <w:r w:rsidRPr="00BA1752">
        <w:t>Finally, Wisper timely submitted proof of ETC designation in Kansas</w:t>
      </w:r>
      <w:r>
        <w:rPr>
          <w:rStyle w:val="FootnoteReference"/>
        </w:rPr>
        <w:footnoteReference w:id="17"/>
      </w:r>
      <w:r w:rsidRPr="00BA1752">
        <w:t xml:space="preserve"> and </w:t>
      </w:r>
      <w:r w:rsidRPr="00BA1752" w:rsidR="00C16609">
        <w:t xml:space="preserve">in </w:t>
      </w:r>
      <w:r w:rsidRPr="00BA1752">
        <w:t>Missouri</w:t>
      </w:r>
      <w:r w:rsidRPr="00BA1752" w:rsidR="00C16609">
        <w:t>.</w:t>
      </w:r>
      <w:r>
        <w:rPr>
          <w:rStyle w:val="FootnoteReference"/>
        </w:rPr>
        <w:footnoteReference w:id="18"/>
      </w:r>
      <w:r w:rsidRPr="00BA1752">
        <w:t xml:space="preserve"> </w:t>
      </w:r>
      <w:r w:rsidRPr="00BA1752" w:rsidR="00C16609">
        <w:t xml:space="preserve"> We </w:t>
      </w:r>
      <w:r w:rsidRPr="00BA1752">
        <w:t xml:space="preserve">accept as valid </w:t>
      </w:r>
      <w:r w:rsidRPr="00BA1752" w:rsidR="00C16609">
        <w:t xml:space="preserve">and timely submitted </w:t>
      </w:r>
      <w:r w:rsidRPr="00BA1752">
        <w:t>th</w:t>
      </w:r>
      <w:r w:rsidRPr="00BA1752" w:rsidR="00B84670">
        <w:t>os</w:t>
      </w:r>
      <w:r w:rsidRPr="00BA1752">
        <w:t xml:space="preserve">e states’ designations.  </w:t>
      </w:r>
    </w:p>
    <w:p w:rsidR="001B2008" w:rsidRPr="00BA1752" w:rsidP="001B2008" w14:paraId="23A24107" w14:textId="3308DF24">
      <w:pPr>
        <w:spacing w:after="120"/>
        <w:ind w:firstLine="720"/>
      </w:pPr>
      <w:r w:rsidRPr="00BA1752">
        <w:rPr>
          <w:i/>
        </w:rPr>
        <w:t>Westfield Gas &amp; Electric Light Department Default</w:t>
      </w:r>
      <w:r w:rsidRPr="00BA1752">
        <w:t xml:space="preserve">.  </w:t>
      </w:r>
      <w:r w:rsidRPr="00BA1752" w:rsidR="002F31AB">
        <w:t>Westfield Gas &amp; Electric Light Department</w:t>
      </w:r>
      <w:r w:rsidRPr="00BA1752">
        <w:t xml:space="preserve"> notified us that </w:t>
      </w:r>
      <w:r w:rsidRPr="00BA1752" w:rsidR="007A36E9">
        <w:t>it</w:t>
      </w:r>
      <w:r w:rsidRPr="00BA1752">
        <w:t xml:space="preserve"> do</w:t>
      </w:r>
      <w:r w:rsidRPr="00BA1752" w:rsidR="007A36E9">
        <w:t xml:space="preserve">es </w:t>
      </w:r>
      <w:r w:rsidRPr="00BA1752">
        <w:t xml:space="preserve">not intend to pursue </w:t>
      </w:r>
      <w:r w:rsidRPr="00BA1752" w:rsidR="004C28B9">
        <w:t>one</w:t>
      </w:r>
      <w:r w:rsidRPr="00BA1752" w:rsidR="00F1763B">
        <w:t xml:space="preserve"> </w:t>
      </w:r>
      <w:r w:rsidRPr="00BA1752">
        <w:t xml:space="preserve">of </w:t>
      </w:r>
      <w:r w:rsidRPr="00BA1752" w:rsidR="004C28B9">
        <w:t>its</w:t>
      </w:r>
      <w:r w:rsidRPr="00BA1752">
        <w:t xml:space="preserve"> winning bids</w:t>
      </w:r>
      <w:r w:rsidRPr="00BA1752" w:rsidR="00D454EB">
        <w:t>, listed in Attachment B, and therefore Auction 903 support will not be authorized for that bid</w:t>
      </w:r>
      <w:r w:rsidRPr="00BA1752">
        <w:t>.</w:t>
      </w:r>
      <w:r>
        <w:rPr>
          <w:rStyle w:val="FootnoteReference"/>
        </w:rPr>
        <w:footnoteReference w:id="19"/>
      </w:r>
      <w:r w:rsidRPr="00BA1752">
        <w:t xml:space="preserve"> </w:t>
      </w:r>
      <w:r w:rsidRPr="00BA1752" w:rsidR="007A36E9">
        <w:t xml:space="preserve"> </w:t>
      </w:r>
      <w:r w:rsidRPr="00BA1752" w:rsidR="00D454EB">
        <w:t>Westfield Gas &amp; Electric Light Department</w:t>
      </w:r>
      <w:r w:rsidRPr="00BA1752">
        <w:t xml:space="preserve"> </w:t>
      </w:r>
      <w:r w:rsidRPr="00BA1752" w:rsidR="004C28B9">
        <w:t>is</w:t>
      </w:r>
      <w:r w:rsidRPr="00BA1752">
        <w:t xml:space="preserve"> in default </w:t>
      </w:r>
      <w:r w:rsidRPr="00BA1752" w:rsidR="00D454EB">
        <w:t xml:space="preserve">for that bid </w:t>
      </w:r>
      <w:r w:rsidRPr="00BA1752">
        <w:t>and subject to forfeiture.</w:t>
      </w:r>
      <w:r>
        <w:rPr>
          <w:rStyle w:val="FootnoteReference"/>
        </w:rPr>
        <w:footnoteReference w:id="20"/>
      </w:r>
      <w:r w:rsidRPr="00BA1752">
        <w:t xml:space="preserve">  We will refer th</w:t>
      </w:r>
      <w:r w:rsidRPr="00BA1752" w:rsidR="004C28B9">
        <w:t xml:space="preserve">is </w:t>
      </w:r>
      <w:r w:rsidRPr="00BA1752">
        <w:t>defaulting bidde</w:t>
      </w:r>
      <w:r w:rsidRPr="00BA1752" w:rsidR="004C28B9">
        <w:t>r</w:t>
      </w:r>
      <w:r w:rsidRPr="00BA1752">
        <w:t xml:space="preserve"> to the Enforcement Bureau.  The Commission expects all bidders to act in good faith and is taking voluntary defaults very seriously.  </w:t>
      </w:r>
    </w:p>
    <w:p w:rsidR="00FF3BBC" w:rsidRPr="00BA1752" w:rsidP="00F84C23" w14:paraId="5EEC9547" w14:textId="19DC6AA1">
      <w:pPr>
        <w:widowControl/>
        <w:spacing w:after="120"/>
        <w:ind w:firstLine="720"/>
      </w:pPr>
      <w:r w:rsidRPr="00BA1752">
        <w:t>In the event of an auction default, a base forfeiture per violation of $3,000 may be imposed.</w:t>
      </w:r>
      <w:r>
        <w:rPr>
          <w:rStyle w:val="FootnoteReference"/>
        </w:rPr>
        <w:footnoteReference w:id="21"/>
      </w:r>
      <w:r w:rsidRPr="00BA1752">
        <w:t xml:space="preserve">  So that this </w:t>
      </w:r>
      <w:r w:rsidRPr="00BA1752">
        <w:rPr>
          <w:rStyle w:val="Hyperlink"/>
          <w:color w:val="auto"/>
          <w:u w:val="none"/>
          <w:shd w:val="clear" w:color="auto" w:fill="FFFFFF"/>
        </w:rPr>
        <w:t>base forfeiture amount is not disproportionate to the amount of a winning bidder’s bid, the Commission has limited the total base forfeiture to five percent of the bidder’s total assigned support for the bid for the support term.</w:t>
      </w:r>
      <w:r>
        <w:rPr>
          <w:rStyle w:val="FootnoteReference"/>
          <w:shd w:val="clear" w:color="auto" w:fill="FFFFFF"/>
        </w:rPr>
        <w:footnoteReference w:id="22"/>
      </w:r>
      <w:r w:rsidRPr="00BA1752">
        <w:rPr>
          <w:rStyle w:val="Hyperlink"/>
          <w:color w:val="auto"/>
          <w:u w:val="none"/>
          <w:shd w:val="clear" w:color="auto" w:fill="FFFFFF"/>
        </w:rPr>
        <w:t xml:space="preserve">  Notwithstanding this limitation,</w:t>
      </w:r>
      <w:r w:rsidRPr="00BA1752">
        <w:t xml:space="preserve"> the total base forfeiture will also be subject to adjustment upward or downward based on the criteria set forth in the Commission’s forfeiture guidelines</w:t>
      </w:r>
      <w:r w:rsidRPr="00BA1752">
        <w:rPr>
          <w:rStyle w:val="Hyperlink"/>
          <w:color w:val="auto"/>
          <w:u w:val="none"/>
          <w:shd w:val="clear" w:color="auto" w:fill="FFFFFF"/>
        </w:rPr>
        <w:t>.</w:t>
      </w:r>
      <w:r>
        <w:rPr>
          <w:rStyle w:val="FootnoteReference"/>
          <w:shd w:val="clear" w:color="auto" w:fill="FFFFFF"/>
        </w:rPr>
        <w:footnoteReference w:id="23"/>
      </w:r>
      <w:r w:rsidRPr="00BA1752">
        <w:rPr>
          <w:rStyle w:val="Hyperlink"/>
          <w:color w:val="auto"/>
          <w:u w:val="none"/>
          <w:shd w:val="clear" w:color="auto" w:fill="FFFFFF"/>
        </w:rPr>
        <w:t xml:space="preserve">  A violation is defined as any form of default with respect to the minimum geographic unit eligible for bidding.</w:t>
      </w:r>
      <w:r>
        <w:rPr>
          <w:rStyle w:val="FootnoteReference"/>
          <w:shd w:val="clear" w:color="auto" w:fill="FFFFFF"/>
        </w:rPr>
        <w:footnoteReference w:id="24"/>
      </w:r>
      <w:r w:rsidRPr="00BA1752">
        <w:rPr>
          <w:rStyle w:val="Hyperlink"/>
          <w:color w:val="auto"/>
          <w:u w:val="none"/>
          <w:shd w:val="clear" w:color="auto" w:fill="FFFFFF"/>
        </w:rPr>
        <w:t xml:space="preserve">  In other words, there shall be separate apparent violations for each census block group assigned in a bid.</w:t>
      </w:r>
    </w:p>
    <w:p w:rsidR="00752277" w:rsidRPr="00BA1752" w:rsidP="00752277" w14:paraId="54279F2F" w14:textId="2CB2B593">
      <w:pPr>
        <w:spacing w:after="120"/>
        <w:ind w:firstLine="720"/>
        <w:rPr>
          <w:szCs w:val="22"/>
        </w:rPr>
      </w:pPr>
      <w:r w:rsidRPr="00BA1752">
        <w:rPr>
          <w:szCs w:val="22"/>
        </w:rPr>
        <w:t xml:space="preserve">Commission staff </w:t>
      </w:r>
      <w:r w:rsidRPr="00BA1752" w:rsidR="00F97404">
        <w:rPr>
          <w:szCs w:val="22"/>
        </w:rPr>
        <w:t>are</w:t>
      </w:r>
      <w:r w:rsidRPr="00BA1752">
        <w:rPr>
          <w:szCs w:val="22"/>
        </w:rPr>
        <w:t xml:space="preserve"> reviewing information that is submitted with long-form applications on a rolling basis.  Accordingly, a long-form applicant that was not included in this Public Notice but that has submitted </w:t>
      </w:r>
      <w:r w:rsidRPr="00BA1752">
        <w:rPr>
          <w:szCs w:val="22"/>
        </w:rPr>
        <w:t>all of</w:t>
      </w:r>
      <w:r w:rsidRPr="00BA1752">
        <w:rPr>
          <w:szCs w:val="22"/>
        </w:rPr>
        <w:t xml:space="preserve"> the required information will be included in a future Public Notice once Commission staff finalizes its review of the long-form application.</w:t>
      </w:r>
      <w:r w:rsidRPr="00BA1752" w:rsidR="008408B4">
        <w:rPr>
          <w:szCs w:val="22"/>
        </w:rPr>
        <w:t xml:space="preserve"> </w:t>
      </w:r>
    </w:p>
    <w:p w:rsidR="00523A31" w:rsidRPr="00BA1752" w:rsidP="00752277" w14:paraId="22D2B956" w14:textId="22C67B7D">
      <w:pPr>
        <w:spacing w:after="120"/>
        <w:ind w:firstLine="720"/>
      </w:pPr>
      <w:r w:rsidRPr="00BA1752">
        <w:t xml:space="preserve">Pursuant to </w:t>
      </w:r>
      <w:r w:rsidRPr="00BA1752" w:rsidR="00EC11CA">
        <w:t>s</w:t>
      </w:r>
      <w:r w:rsidRPr="00BA1752">
        <w:t xml:space="preserve">ection 54.315(b)(6)(v) of the Commission’ rules, </w:t>
      </w:r>
      <w:r w:rsidRPr="00BA1752" w:rsidR="000F23D9">
        <w:t>the</w:t>
      </w:r>
      <w:r w:rsidRPr="00BA1752">
        <w:t xml:space="preserve"> long-form applicants</w:t>
      </w:r>
      <w:r w:rsidRPr="00BA1752" w:rsidR="000F23D9">
        <w:t xml:space="preserve"> identified in Attachment A</w:t>
      </w:r>
      <w:r w:rsidRPr="00BA1752">
        <w:t xml:space="preserve"> that may be authorized to receive Connect America Fund Phase II auction support, must submit an irrevocable stand-by letter(s) of credit, issued in substantially the same form as set forth in the model letter of credit provided in Appendix B of the </w:t>
      </w:r>
      <w:r w:rsidRPr="00BA1752">
        <w:rPr>
          <w:i/>
        </w:rPr>
        <w:t>Phase II Auction Order</w:t>
      </w:r>
      <w:r>
        <w:rPr>
          <w:vertAlign w:val="superscript"/>
        </w:rPr>
        <w:footnoteReference w:id="25"/>
      </w:r>
      <w:r w:rsidRPr="00BA1752">
        <w:rPr>
          <w:vertAlign w:val="superscript"/>
        </w:rPr>
        <w:t xml:space="preserve"> </w:t>
      </w:r>
      <w:r w:rsidRPr="00BA1752">
        <w:t>by a bank that is acceptable to the Commission</w:t>
      </w:r>
      <w:r w:rsidRPr="00BA1752" w:rsidR="00936C98">
        <w:t xml:space="preserve"> by </w:t>
      </w:r>
      <w:r w:rsidRPr="00BA1752" w:rsidR="00936C98">
        <w:rPr>
          <w:b/>
        </w:rPr>
        <w:t>6:00 p.m. ET on</w:t>
      </w:r>
      <w:r w:rsidRPr="00BA1752" w:rsidR="00C07573">
        <w:rPr>
          <w:b/>
        </w:rPr>
        <w:t xml:space="preserve"> </w:t>
      </w:r>
      <w:r w:rsidRPr="00BA1752" w:rsidR="00B07117">
        <w:rPr>
          <w:b/>
        </w:rPr>
        <w:t>Friday</w:t>
      </w:r>
      <w:r w:rsidRPr="00BA1752" w:rsidR="00936C98">
        <w:rPr>
          <w:b/>
        </w:rPr>
        <w:t xml:space="preserve">, January </w:t>
      </w:r>
      <w:r w:rsidRPr="00BA1752" w:rsidR="00B07117">
        <w:rPr>
          <w:b/>
        </w:rPr>
        <w:t>10</w:t>
      </w:r>
      <w:r w:rsidRPr="00BA1752" w:rsidR="00936C98">
        <w:rPr>
          <w:b/>
        </w:rPr>
        <w:t>, 2020.</w:t>
      </w:r>
      <w:r>
        <w:rPr>
          <w:vertAlign w:val="superscript"/>
        </w:rPr>
        <w:footnoteReference w:id="26"/>
      </w:r>
      <w:r w:rsidRPr="00BA1752" w:rsidR="00936C98">
        <w:rPr>
          <w:vertAlign w:val="superscript"/>
        </w:rPr>
        <w:t xml:space="preserve"> </w:t>
      </w:r>
      <w:r w:rsidRPr="00BA1752" w:rsidR="00936C98">
        <w:rPr>
          <w:b/>
        </w:rPr>
        <w:t xml:space="preserve"> </w:t>
      </w:r>
      <w:r w:rsidRPr="00BA1752">
        <w:rPr>
          <w:b/>
        </w:rPr>
        <w:t>Prior to submitting their letters of credit,</w:t>
      </w:r>
      <w:r w:rsidRPr="00BA1752">
        <w:t xml:space="preserve"> </w:t>
      </w:r>
      <w:r w:rsidRPr="00BA1752">
        <w:rPr>
          <w:b/>
        </w:rPr>
        <w:t xml:space="preserve">we encourage long-form applicants to view and share with their issuing banks the Letter of Credit Common Errors List available on USAC’s website: </w:t>
      </w:r>
      <w:hyperlink r:id="rId5" w:history="1">
        <w:r w:rsidRPr="00BA1752" w:rsidR="00A707E9">
          <w:rPr>
            <w:rStyle w:val="Hyperlink"/>
          </w:rPr>
          <w:t>https://www.usac.org/hc/funds/caf-phase-ii-auction.aspx</w:t>
        </w:r>
      </w:hyperlink>
      <w:r w:rsidRPr="00BA1752">
        <w:t xml:space="preserve">.  </w:t>
      </w:r>
    </w:p>
    <w:p w:rsidR="00752277" w:rsidRPr="00BA1752" w:rsidP="00752277" w14:paraId="0F12A0A6" w14:textId="59DD88B7">
      <w:pPr>
        <w:spacing w:after="120"/>
        <w:ind w:firstLine="720"/>
        <w:rPr>
          <w:szCs w:val="22"/>
        </w:rPr>
      </w:pPr>
      <w:r w:rsidRPr="00BA1752">
        <w:t>A separate letter(s) of credit must be submitted for each state where the long-form applicant has winning bids that are ready to be authorized in an amount equal to at least the first year of support in the state</w:t>
      </w:r>
      <w:r w:rsidRPr="00BA1752">
        <w:rPr>
          <w:szCs w:val="22"/>
        </w:rPr>
        <w:t>.</w:t>
      </w:r>
      <w:r>
        <w:rPr>
          <w:rStyle w:val="FootnoteReference"/>
          <w:szCs w:val="22"/>
        </w:rPr>
        <w:footnoteReference w:id="27"/>
      </w:r>
      <w:r w:rsidRPr="00BA1752">
        <w:rPr>
          <w:szCs w:val="22"/>
        </w:rPr>
        <w:t xml:space="preserve">  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28"/>
      </w:r>
    </w:p>
    <w:p w:rsidR="00752277" w:rsidRPr="00BA1752" w:rsidP="00752277" w14:paraId="58A9BA39" w14:textId="77777777">
      <w:pPr>
        <w:spacing w:after="120"/>
        <w:ind w:firstLine="720"/>
        <w:rPr>
          <w:szCs w:val="22"/>
        </w:rPr>
      </w:pPr>
      <w:r w:rsidRPr="00BA1752">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BA1752">
        <w:rPr>
          <w:i/>
        </w:rPr>
        <w:t>all</w:t>
      </w:r>
      <w:r w:rsidRPr="00BA1752">
        <w:t xml:space="preserve"> of</w:t>
      </w:r>
      <w:r w:rsidRPr="00BA1752">
        <w:t xml:space="preserve"> the letters of credit covering </w:t>
      </w:r>
      <w:r w:rsidRPr="00BA1752">
        <w:rPr>
          <w:i/>
        </w:rPr>
        <w:t>all</w:t>
      </w:r>
      <w:r w:rsidRPr="00BA1752">
        <w:t xml:space="preserve"> of the bids in the state will be authorized.</w:t>
      </w:r>
      <w:r>
        <w:rPr>
          <w:rStyle w:val="FootnoteReference"/>
        </w:rPr>
        <w:footnoteReference w:id="29"/>
      </w:r>
    </w:p>
    <w:p w:rsidR="00752277" w:rsidRPr="00BA1752" w:rsidP="00752277" w14:paraId="025A0636" w14:textId="77777777">
      <w:pPr>
        <w:spacing w:after="120"/>
        <w:ind w:firstLine="720"/>
        <w:rPr>
          <w:szCs w:val="22"/>
        </w:rPr>
      </w:pPr>
      <w:r w:rsidRPr="00BA1752">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30"/>
      </w:r>
      <w:r w:rsidRPr="00BA1752">
        <w:rPr>
          <w:szCs w:val="22"/>
        </w:rPr>
        <w:t xml:space="preserve">  </w:t>
      </w:r>
    </w:p>
    <w:p w:rsidR="00752277" w:rsidRPr="00BA1752" w:rsidP="00752277" w14:paraId="52ACEF80" w14:textId="77777777">
      <w:pPr>
        <w:spacing w:after="120"/>
        <w:ind w:firstLine="720"/>
        <w:rPr>
          <w:szCs w:val="22"/>
        </w:rPr>
      </w:pPr>
      <w:r w:rsidRPr="00BA1752">
        <w:rPr>
          <w:szCs w:val="22"/>
        </w:rPr>
        <w:t xml:space="preserve">By future public notice, we will authorize support for specific winning bids for which all requirements, including submission of the letter of credit and opinion letter, have been met.  </w:t>
      </w:r>
    </w:p>
    <w:p w:rsidR="00752277" w:rsidRPr="00BA1752" w:rsidP="00752277" w14:paraId="4F6CEFF2" w14:textId="347431E4">
      <w:pPr>
        <w:spacing w:after="120"/>
        <w:ind w:firstLine="720"/>
      </w:pPr>
      <w:r w:rsidRPr="00BA1752">
        <w:t>Details concerning the next steps are set forth below.</w:t>
      </w:r>
    </w:p>
    <w:p w:rsidR="00752277" w:rsidRPr="00BA1752" w:rsidP="00752277" w14:paraId="213DFDB8" w14:textId="77777777">
      <w:pPr>
        <w:spacing w:after="120" w:line="227" w:lineRule="atLeast"/>
        <w:jc w:val="both"/>
        <w:rPr>
          <w:b/>
          <w:spacing w:val="-2"/>
        </w:rPr>
      </w:pPr>
      <w:r w:rsidRPr="00BA1752">
        <w:rPr>
          <w:b/>
          <w:spacing w:val="-2"/>
        </w:rPr>
        <w:t>Instructions for Submission of Letter of Credit and Opinion Letter</w:t>
      </w:r>
    </w:p>
    <w:p w:rsidR="00752277" w:rsidRPr="00BA1752" w:rsidP="00752277" w14:paraId="623B3769" w14:textId="77777777">
      <w:pPr>
        <w:spacing w:after="120"/>
        <w:ind w:firstLine="720"/>
        <w:rPr>
          <w:color w:val="000000"/>
          <w:szCs w:val="22"/>
        </w:rPr>
      </w:pPr>
      <w:r w:rsidRPr="00BA1752">
        <w:rPr>
          <w:color w:val="000000"/>
          <w:szCs w:val="22"/>
        </w:rPr>
        <w:t xml:space="preserve">Long-form applicants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752277" w:rsidRPr="00BA1752" w:rsidP="00752277" w14:paraId="14C9A07F" w14:textId="13E99EDD">
      <w:pPr>
        <w:widowControl/>
        <w:spacing w:after="120"/>
        <w:ind w:firstLine="720"/>
        <w:rPr>
          <w:color w:val="000000"/>
          <w:szCs w:val="22"/>
        </w:rPr>
      </w:pPr>
      <w:r w:rsidRPr="00BA1752">
        <w:rPr>
          <w:color w:val="000000"/>
          <w:szCs w:val="22"/>
        </w:rPr>
        <w:t>The original of the letter of credit and opinion letter must be submitted to USAC by the applicable deadline –</w:t>
      </w:r>
      <w:r w:rsidRPr="00BA1752">
        <w:rPr>
          <w:b/>
          <w:color w:val="000000"/>
          <w:szCs w:val="22"/>
        </w:rPr>
        <w:t>prior to</w:t>
      </w:r>
      <w:r w:rsidRPr="00BA1752">
        <w:rPr>
          <w:color w:val="000000"/>
          <w:szCs w:val="22"/>
        </w:rPr>
        <w:t xml:space="preserve"> </w:t>
      </w:r>
      <w:r w:rsidRPr="00BA1752">
        <w:rPr>
          <w:b/>
          <w:color w:val="000000"/>
        </w:rPr>
        <w:t xml:space="preserve">6:00 p.m. ET on </w:t>
      </w:r>
      <w:r w:rsidRPr="00BA1752" w:rsidR="00D87035">
        <w:rPr>
          <w:b/>
        </w:rPr>
        <w:t>Friday</w:t>
      </w:r>
      <w:r w:rsidRPr="00BA1752" w:rsidR="009A78BA">
        <w:rPr>
          <w:b/>
        </w:rPr>
        <w:t xml:space="preserve">, </w:t>
      </w:r>
      <w:r w:rsidRPr="00BA1752" w:rsidR="008E1F82">
        <w:rPr>
          <w:b/>
        </w:rPr>
        <w:t xml:space="preserve">January </w:t>
      </w:r>
      <w:r w:rsidRPr="00BA1752" w:rsidR="00D87035">
        <w:rPr>
          <w:b/>
        </w:rPr>
        <w:t>10</w:t>
      </w:r>
      <w:r w:rsidRPr="00BA1752" w:rsidR="009A78BA">
        <w:rPr>
          <w:b/>
        </w:rPr>
        <w:t>, 20</w:t>
      </w:r>
      <w:r w:rsidRPr="00BA1752" w:rsidR="008E1F82">
        <w:rPr>
          <w:b/>
        </w:rPr>
        <w:t>20</w:t>
      </w:r>
      <w:r w:rsidRPr="00BA1752">
        <w:rPr>
          <w:color w:val="000000"/>
          <w:szCs w:val="22"/>
        </w:rPr>
        <w:t xml:space="preserve">, at the following address:  Universal Service Administrative Company (USAC), High Cost Program, </w:t>
      </w:r>
      <w:r w:rsidRPr="00BA1752">
        <w:t>CAF Phase II Auction LOC, 700 12th Street, NW, Suite 900, Washington, DC 20005</w:t>
      </w:r>
      <w:r w:rsidRPr="00BA1752">
        <w:rPr>
          <w:color w:val="000000"/>
          <w:szCs w:val="22"/>
        </w:rPr>
        <w:t>.  We recommend that each long-form applicant send the originals of both the letter of credit and the opinion letter by means of delivery requiring signature.  These documents may be sent to the attention of Joanne Kim.</w:t>
      </w:r>
    </w:p>
    <w:p w:rsidR="00752277" w:rsidRPr="00BA1752" w:rsidP="00752277" w14:paraId="161EEA73" w14:textId="02ED61D8">
      <w:pPr>
        <w:spacing w:after="120"/>
        <w:ind w:firstLine="720"/>
      </w:pPr>
      <w:r w:rsidRPr="00BA1752">
        <w:rPr>
          <w:spacing w:val="-2"/>
        </w:rPr>
        <w:t>A copy of the letter of credit and opinion letter must also be submitted in the FCC Auction System by the applicable deadline—</w:t>
      </w:r>
      <w:r w:rsidRPr="00BA1752">
        <w:rPr>
          <w:b/>
          <w:spacing w:val="-2"/>
        </w:rPr>
        <w:t>prior to</w:t>
      </w:r>
      <w:r w:rsidRPr="00BA1752">
        <w:rPr>
          <w:spacing w:val="-2"/>
        </w:rPr>
        <w:t xml:space="preserve"> </w:t>
      </w:r>
      <w:r w:rsidRPr="00BA1752">
        <w:rPr>
          <w:b/>
          <w:spacing w:val="-2"/>
        </w:rPr>
        <w:t xml:space="preserve">6:00 p.m. ET on </w:t>
      </w:r>
      <w:r w:rsidRPr="00BA1752" w:rsidR="00D87035">
        <w:rPr>
          <w:b/>
        </w:rPr>
        <w:t>Friday</w:t>
      </w:r>
      <w:r w:rsidRPr="00BA1752" w:rsidR="009A78BA">
        <w:rPr>
          <w:b/>
        </w:rPr>
        <w:t xml:space="preserve">, </w:t>
      </w:r>
      <w:r w:rsidRPr="00BA1752" w:rsidR="008E1F82">
        <w:rPr>
          <w:b/>
        </w:rPr>
        <w:t xml:space="preserve">January </w:t>
      </w:r>
      <w:r w:rsidRPr="00BA1752" w:rsidR="00D87035">
        <w:rPr>
          <w:b/>
        </w:rPr>
        <w:t>10</w:t>
      </w:r>
      <w:r w:rsidRPr="00BA1752" w:rsidR="008E1F82">
        <w:rPr>
          <w:b/>
        </w:rPr>
        <w:t>, 2020</w:t>
      </w:r>
      <w:r w:rsidRPr="00BA1752">
        <w:rPr>
          <w:spacing w:val="-2"/>
        </w:rPr>
        <w:t xml:space="preserve">.  </w:t>
      </w:r>
      <w:r w:rsidRPr="00BA1752">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Pr>
        <w:footnoteReference w:id="31"/>
      </w:r>
      <w:r w:rsidRPr="00BA1752">
        <w:t xml:space="preserve">  As such, a long-form applicant need not submit a separate section 0.459 confidentiality request for this information with its FCC Form 683.</w:t>
      </w:r>
      <w:r>
        <w:rPr>
          <w:rStyle w:val="FootnoteReference"/>
        </w:rPr>
        <w:footnoteReference w:id="32"/>
      </w:r>
    </w:p>
    <w:p w:rsidR="00752277" w:rsidRPr="00BA1752" w:rsidP="00752277" w14:paraId="3B150E1A" w14:textId="3A123A1D">
      <w:pPr>
        <w:spacing w:after="120"/>
        <w:ind w:firstLine="720"/>
      </w:pPr>
      <w:r w:rsidRPr="00BA1752">
        <w:t>Any long-form applicant identified in Attachment A that fails to file the required documents</w:t>
      </w:r>
      <w:r>
        <w:rPr>
          <w:rStyle w:val="FootnoteReference"/>
        </w:rPr>
        <w:footnoteReference w:id="33"/>
      </w:r>
      <w:r w:rsidRPr="00BA1752">
        <w:t xml:space="preserve"> for any of the identified winning bids by the applicable deadline </w:t>
      </w:r>
      <w:r w:rsidRPr="00BA1752">
        <w:rPr>
          <w:b/>
        </w:rPr>
        <w:t>– prior to</w:t>
      </w:r>
      <w:r w:rsidRPr="00BA1752">
        <w:t xml:space="preserve"> </w:t>
      </w:r>
      <w:r w:rsidRPr="00BA1752">
        <w:rPr>
          <w:b/>
        </w:rPr>
        <w:t xml:space="preserve">6:00 p.m. ET on </w:t>
      </w:r>
      <w:r w:rsidRPr="00BA1752" w:rsidR="007F1BFC">
        <w:rPr>
          <w:b/>
        </w:rPr>
        <w:t>Friday</w:t>
      </w:r>
      <w:r w:rsidRPr="00BA1752" w:rsidR="00F1763B">
        <w:rPr>
          <w:b/>
        </w:rPr>
        <w:t xml:space="preserve">, </w:t>
      </w:r>
      <w:r w:rsidRPr="00BA1752" w:rsidR="00C0659D">
        <w:rPr>
          <w:b/>
        </w:rPr>
        <w:t xml:space="preserve">January </w:t>
      </w:r>
      <w:r w:rsidRPr="00BA1752" w:rsidR="007F1BFC">
        <w:rPr>
          <w:b/>
        </w:rPr>
        <w:t>10</w:t>
      </w:r>
      <w:r w:rsidRPr="00BA1752" w:rsidR="00C0659D">
        <w:rPr>
          <w:b/>
        </w:rPr>
        <w:t>, 20</w:t>
      </w:r>
      <w:r w:rsidRPr="00BA1752" w:rsidR="00B64E5C">
        <w:rPr>
          <w:b/>
        </w:rPr>
        <w:t>20</w:t>
      </w:r>
      <w:r w:rsidRPr="00BA1752" w:rsidR="00981956">
        <w:rPr>
          <w:b/>
        </w:rPr>
        <w:t xml:space="preserve"> </w:t>
      </w:r>
      <w:r w:rsidRPr="00BA1752">
        <w:rPr>
          <w:b/>
        </w:rPr>
        <w:t>–</w:t>
      </w:r>
      <w:r w:rsidRPr="00BA1752">
        <w:t xml:space="preserve"> will be in default on such bid(s) and subject to forfeiture.</w:t>
      </w:r>
      <w:r>
        <w:rPr>
          <w:rStyle w:val="FootnoteReference"/>
        </w:rPr>
        <w:footnoteReference w:id="34"/>
      </w:r>
      <w:r w:rsidRPr="00BA1752">
        <w:t xml:space="preserve">  </w:t>
      </w:r>
    </w:p>
    <w:p w:rsidR="00752277" w:rsidRPr="00BA1752" w:rsidP="00752277" w14:paraId="31CACA7F" w14:textId="77777777">
      <w:pPr>
        <w:rPr>
          <w:b/>
        </w:rPr>
      </w:pPr>
    </w:p>
    <w:p w:rsidR="00752277" w:rsidRPr="00BA1752" w:rsidP="00752277" w14:paraId="4BC735D0" w14:textId="77777777">
      <w:pPr>
        <w:keepNext/>
        <w:rPr>
          <w:b/>
        </w:rPr>
      </w:pPr>
      <w:r w:rsidRPr="00BA1752">
        <w:rPr>
          <w:b/>
        </w:rPr>
        <w:t>Further Information Contact:</w:t>
      </w:r>
    </w:p>
    <w:tbl>
      <w:tblPr>
        <w:tblW w:w="9828" w:type="dxa"/>
        <w:tblLayout w:type="fixed"/>
        <w:tblCellMar>
          <w:left w:w="115" w:type="dxa"/>
          <w:right w:w="115" w:type="dxa"/>
        </w:tblCellMar>
        <w:tblLook w:val="0000"/>
      </w:tblPr>
      <w:tblGrid>
        <w:gridCol w:w="4968"/>
        <w:gridCol w:w="4860"/>
      </w:tblGrid>
      <w:tr w14:paraId="19534B86" w14:textId="77777777" w:rsidTr="001B22F7">
        <w:tblPrEx>
          <w:tblW w:w="9828" w:type="dxa"/>
          <w:tblLayout w:type="fixed"/>
          <w:tblCellMar>
            <w:left w:w="115" w:type="dxa"/>
            <w:right w:w="115" w:type="dxa"/>
          </w:tblCellMar>
          <w:tblLook w:val="0000"/>
        </w:tblPrEx>
        <w:trPr>
          <w:cantSplit/>
          <w:trHeight w:val="2232"/>
        </w:trPr>
        <w:tc>
          <w:tcPr>
            <w:tcW w:w="4968" w:type="dxa"/>
          </w:tcPr>
          <w:p w:rsidR="00752277" w:rsidRPr="00BA1752" w:rsidP="001B22F7" w14:paraId="346857F0" w14:textId="77777777">
            <w:pPr>
              <w:widowControl/>
              <w:rPr>
                <w:b/>
                <w:szCs w:val="22"/>
              </w:rPr>
            </w:pPr>
          </w:p>
          <w:p w:rsidR="00752277" w:rsidRPr="00BA1752" w:rsidP="001B22F7" w14:paraId="220250D4" w14:textId="77777777">
            <w:pPr>
              <w:widowControl/>
              <w:rPr>
                <w:b/>
                <w:szCs w:val="22"/>
              </w:rPr>
            </w:pPr>
            <w:r w:rsidRPr="00BA1752">
              <w:rPr>
                <w:b/>
                <w:szCs w:val="22"/>
              </w:rPr>
              <w:t>Technical Support</w:t>
            </w:r>
          </w:p>
          <w:p w:rsidR="00752277" w:rsidRPr="00BA1752" w:rsidP="001B22F7" w14:paraId="4DE3A929" w14:textId="77777777">
            <w:pPr>
              <w:widowControl/>
              <w:ind w:left="360"/>
              <w:rPr>
                <w:szCs w:val="22"/>
              </w:rPr>
            </w:pPr>
            <w:r w:rsidRPr="00BA1752">
              <w:rPr>
                <w:szCs w:val="22"/>
              </w:rPr>
              <w:t>Electronic Filing</w:t>
            </w:r>
          </w:p>
          <w:p w:rsidR="00752277" w:rsidRPr="00BA1752" w:rsidP="001B22F7" w14:paraId="31DD630F" w14:textId="77777777">
            <w:pPr>
              <w:ind w:left="360"/>
              <w:rPr>
                <w:b/>
                <w:szCs w:val="22"/>
              </w:rPr>
            </w:pPr>
            <w:r w:rsidRPr="00BA1752">
              <w:rPr>
                <w:szCs w:val="22"/>
              </w:rPr>
              <w:t>Auction Application System and CAF II Bidding System (Hardware/Software Issues)</w:t>
            </w:r>
          </w:p>
        </w:tc>
        <w:tc>
          <w:tcPr>
            <w:tcW w:w="4860" w:type="dxa"/>
          </w:tcPr>
          <w:p w:rsidR="00752277" w:rsidRPr="00BA1752" w:rsidP="001B22F7" w14:paraId="152E1623" w14:textId="77777777">
            <w:pPr>
              <w:widowControl/>
              <w:rPr>
                <w:b/>
                <w:szCs w:val="22"/>
              </w:rPr>
            </w:pPr>
          </w:p>
          <w:p w:rsidR="00752277" w:rsidRPr="00BA1752" w:rsidP="001B22F7" w14:paraId="2413EE78" w14:textId="77777777">
            <w:pPr>
              <w:widowControl/>
              <w:rPr>
                <w:b/>
                <w:szCs w:val="22"/>
              </w:rPr>
            </w:pPr>
            <w:r w:rsidRPr="00BA1752">
              <w:rPr>
                <w:b/>
                <w:szCs w:val="22"/>
              </w:rPr>
              <w:t>FCC Auctions Technical Support Hotline</w:t>
            </w:r>
          </w:p>
          <w:p w:rsidR="00752277" w:rsidRPr="00BA1752" w:rsidP="001B22F7" w14:paraId="2BB03C73" w14:textId="77777777">
            <w:pPr>
              <w:widowControl/>
              <w:rPr>
                <w:szCs w:val="22"/>
              </w:rPr>
            </w:pPr>
            <w:r w:rsidRPr="00BA1752">
              <w:rPr>
                <w:szCs w:val="22"/>
              </w:rPr>
              <w:t>(877) 480-3201, option nine; or (202) 414</w:t>
            </w:r>
            <w:r w:rsidRPr="00BA1752">
              <w:rPr>
                <w:szCs w:val="22"/>
              </w:rPr>
              <w:noBreakHyphen/>
              <w:t>1250</w:t>
            </w:r>
          </w:p>
          <w:p w:rsidR="00752277" w:rsidRPr="00BA1752" w:rsidP="001B22F7" w14:paraId="230BCCDD" w14:textId="77777777">
            <w:pPr>
              <w:widowControl/>
              <w:rPr>
                <w:szCs w:val="22"/>
              </w:rPr>
            </w:pPr>
            <w:r w:rsidRPr="00BA1752">
              <w:rPr>
                <w:szCs w:val="22"/>
              </w:rPr>
              <w:t>(202) 414-1255 (TTY)</w:t>
            </w:r>
          </w:p>
          <w:p w:rsidR="00752277" w:rsidRPr="00BA1752" w:rsidP="001B22F7" w14:paraId="16BEFFE5" w14:textId="77777777">
            <w:pPr>
              <w:widowControl/>
              <w:rPr>
                <w:szCs w:val="22"/>
              </w:rPr>
            </w:pPr>
            <w:r w:rsidRPr="00BA1752">
              <w:rPr>
                <w:szCs w:val="22"/>
              </w:rPr>
              <w:t>Hours of service: 8:00 a.m. – 6:00 p.m. ET,</w:t>
            </w:r>
          </w:p>
          <w:p w:rsidR="00752277" w:rsidRPr="00BA1752" w:rsidP="001B22F7" w14:paraId="386BC437" w14:textId="77777777">
            <w:pPr>
              <w:rPr>
                <w:b/>
                <w:szCs w:val="22"/>
              </w:rPr>
            </w:pPr>
            <w:r w:rsidRPr="00BA1752">
              <w:rPr>
                <w:szCs w:val="22"/>
              </w:rPr>
              <w:t xml:space="preserve">Monday through Friday </w:t>
            </w:r>
          </w:p>
        </w:tc>
      </w:tr>
      <w:tr w14:paraId="499355AB" w14:textId="77777777" w:rsidTr="001B22F7">
        <w:tblPrEx>
          <w:tblW w:w="9828" w:type="dxa"/>
          <w:tblLayout w:type="fixed"/>
          <w:tblCellMar>
            <w:left w:w="115" w:type="dxa"/>
            <w:right w:w="115" w:type="dxa"/>
          </w:tblCellMar>
          <w:tblLook w:val="0000"/>
        </w:tblPrEx>
        <w:trPr>
          <w:cantSplit/>
          <w:trHeight w:val="720"/>
        </w:trPr>
        <w:tc>
          <w:tcPr>
            <w:tcW w:w="4968" w:type="dxa"/>
          </w:tcPr>
          <w:p w:rsidR="00752277" w:rsidRPr="00BA1752" w:rsidP="001B22F7" w14:paraId="2B85097B" w14:textId="77777777">
            <w:pPr>
              <w:rPr>
                <w:b/>
                <w:szCs w:val="22"/>
              </w:rPr>
            </w:pPr>
            <w:r w:rsidRPr="00BA1752">
              <w:rPr>
                <w:b/>
                <w:szCs w:val="22"/>
              </w:rPr>
              <w:t>Press Information</w:t>
            </w:r>
          </w:p>
        </w:tc>
        <w:tc>
          <w:tcPr>
            <w:tcW w:w="4860" w:type="dxa"/>
          </w:tcPr>
          <w:p w:rsidR="00752277" w:rsidRPr="00BA1752" w:rsidP="001B22F7" w14:paraId="30EE85E4" w14:textId="07F65502">
            <w:pPr>
              <w:rPr>
                <w:b/>
                <w:szCs w:val="22"/>
              </w:rPr>
            </w:pPr>
            <w:r w:rsidRPr="00A9376F">
              <w:rPr>
                <w:szCs w:val="22"/>
              </w:rPr>
              <w:t>Office of Media Relatio</w:t>
            </w:r>
            <w:bookmarkStart w:id="3" w:name="_GoBack"/>
            <w:bookmarkEnd w:id="3"/>
            <w:r w:rsidRPr="00A9376F">
              <w:rPr>
                <w:szCs w:val="22"/>
              </w:rPr>
              <w:t>ns</w:t>
            </w:r>
            <w:r>
              <w:rPr>
                <w:szCs w:val="22"/>
              </w:rPr>
              <w:t xml:space="preserve">, </w:t>
            </w:r>
            <w:r w:rsidRPr="00A9376F">
              <w:rPr>
                <w:szCs w:val="22"/>
              </w:rPr>
              <w:t xml:space="preserve">(202) 418-0500 </w:t>
            </w:r>
          </w:p>
        </w:tc>
      </w:tr>
      <w:tr w14:paraId="4B212CFF" w14:textId="77777777" w:rsidTr="001B22F7">
        <w:tblPrEx>
          <w:tblW w:w="9828" w:type="dxa"/>
          <w:tblLayout w:type="fixed"/>
          <w:tblCellMar>
            <w:left w:w="115" w:type="dxa"/>
            <w:right w:w="115" w:type="dxa"/>
          </w:tblCellMar>
          <w:tblLook w:val="0000"/>
        </w:tblPrEx>
        <w:trPr>
          <w:cantSplit/>
          <w:trHeight w:val="900"/>
        </w:trPr>
        <w:tc>
          <w:tcPr>
            <w:tcW w:w="4968" w:type="dxa"/>
          </w:tcPr>
          <w:p w:rsidR="00752277" w:rsidRPr="00BA1752" w:rsidP="001B22F7" w14:paraId="344A52CB" w14:textId="77777777">
            <w:pPr>
              <w:rPr>
                <w:b/>
                <w:i/>
                <w:szCs w:val="22"/>
              </w:rPr>
            </w:pPr>
            <w:r w:rsidRPr="00BA1752">
              <w:rPr>
                <w:b/>
                <w:szCs w:val="22"/>
              </w:rPr>
              <w:t>General Universal Service Information</w:t>
            </w:r>
          </w:p>
        </w:tc>
        <w:tc>
          <w:tcPr>
            <w:tcW w:w="4860" w:type="dxa"/>
          </w:tcPr>
          <w:p w:rsidR="00752277" w:rsidRPr="00BA1752" w:rsidP="001B22F7" w14:paraId="22570F23" w14:textId="77777777">
            <w:pPr>
              <w:rPr>
                <w:b/>
                <w:szCs w:val="22"/>
              </w:rPr>
            </w:pPr>
            <w:r w:rsidRPr="00BA1752">
              <w:rPr>
                <w:b/>
                <w:szCs w:val="22"/>
              </w:rPr>
              <w:t>Wireline Competition Bureau,</w:t>
            </w:r>
          </w:p>
          <w:p w:rsidR="00752277" w:rsidRPr="00BA1752" w:rsidP="001B22F7" w14:paraId="00EC7FF2" w14:textId="77777777">
            <w:pPr>
              <w:rPr>
                <w:b/>
                <w:szCs w:val="22"/>
              </w:rPr>
            </w:pPr>
            <w:r w:rsidRPr="00BA1752">
              <w:rPr>
                <w:b/>
                <w:szCs w:val="22"/>
              </w:rPr>
              <w:t>Telecommunications Access Policy Division</w:t>
            </w:r>
          </w:p>
          <w:p w:rsidR="00752277" w:rsidRPr="00BA1752" w:rsidP="001B22F7" w14:paraId="0BF50C4F" w14:textId="77777777">
            <w:pPr>
              <w:widowControl/>
              <w:rPr>
                <w:szCs w:val="22"/>
              </w:rPr>
            </w:pPr>
            <w:r w:rsidRPr="00BA1752">
              <w:rPr>
                <w:szCs w:val="22"/>
              </w:rPr>
              <w:t>Alexander Minard</w:t>
            </w:r>
          </w:p>
          <w:p w:rsidR="00752277" w:rsidRPr="00BA1752" w:rsidP="001B22F7" w14:paraId="52E5D850" w14:textId="77777777">
            <w:pPr>
              <w:widowControl/>
              <w:rPr>
                <w:szCs w:val="22"/>
              </w:rPr>
            </w:pPr>
            <w:r w:rsidRPr="00BA1752">
              <w:rPr>
                <w:szCs w:val="22"/>
              </w:rPr>
              <w:t>Lauren Garry</w:t>
            </w:r>
          </w:p>
          <w:p w:rsidR="00752277" w:rsidRPr="00BA1752" w:rsidP="001B22F7" w14:paraId="56A86172" w14:textId="77777777">
            <w:pPr>
              <w:widowControl/>
              <w:rPr>
                <w:szCs w:val="22"/>
              </w:rPr>
            </w:pPr>
            <w:r w:rsidRPr="00BA1752">
              <w:rPr>
                <w:szCs w:val="22"/>
              </w:rPr>
              <w:t>Katie King</w:t>
            </w:r>
          </w:p>
          <w:p w:rsidR="00752277" w:rsidRPr="00BA1752" w:rsidP="001B22F7" w14:paraId="14AF359F" w14:textId="77777777">
            <w:pPr>
              <w:widowControl/>
              <w:rPr>
                <w:szCs w:val="22"/>
              </w:rPr>
            </w:pPr>
            <w:r w:rsidRPr="00BA1752">
              <w:rPr>
                <w:szCs w:val="22"/>
              </w:rPr>
              <w:t>Heidi Lankau</w:t>
            </w:r>
          </w:p>
          <w:p w:rsidR="00752277" w:rsidRPr="00BA1752" w:rsidP="001B22F7" w14:paraId="20A8DB1F" w14:textId="77777777">
            <w:pPr>
              <w:widowControl/>
              <w:rPr>
                <w:szCs w:val="22"/>
              </w:rPr>
            </w:pPr>
            <w:r w:rsidRPr="00BA1752">
              <w:rPr>
                <w:szCs w:val="22"/>
              </w:rPr>
              <w:t>(202) 418-7400</w:t>
            </w:r>
          </w:p>
          <w:p w:rsidR="00752277" w:rsidRPr="00BA1752" w:rsidP="001B22F7" w14:paraId="08EAFD3F" w14:textId="77777777">
            <w:pPr>
              <w:widowControl/>
              <w:rPr>
                <w:szCs w:val="22"/>
              </w:rPr>
            </w:pPr>
          </w:p>
          <w:p w:rsidR="00752277" w:rsidRPr="00BA1752" w:rsidP="001B22F7" w14:paraId="3A020A37" w14:textId="77777777">
            <w:pPr>
              <w:rPr>
                <w:b/>
                <w:szCs w:val="22"/>
              </w:rPr>
            </w:pPr>
            <w:r w:rsidRPr="00BA1752">
              <w:rPr>
                <w:b/>
                <w:szCs w:val="22"/>
              </w:rPr>
              <w:t>Universal Service Administrative Company</w:t>
            </w:r>
          </w:p>
          <w:p w:rsidR="00752277" w:rsidRPr="00BA1752" w:rsidP="001B22F7" w14:paraId="7B4EBFE3" w14:textId="40D8E704">
            <w:pPr>
              <w:widowControl/>
              <w:rPr>
                <w:szCs w:val="22"/>
              </w:rPr>
            </w:pPr>
            <w:r w:rsidRPr="00BA1752">
              <w:rPr>
                <w:szCs w:val="22"/>
              </w:rPr>
              <w:t>Stephen Snowman</w:t>
            </w:r>
          </w:p>
          <w:p w:rsidR="00752277" w:rsidRPr="00BA1752" w:rsidP="001B22F7" w14:paraId="1724547D" w14:textId="77777777">
            <w:pPr>
              <w:widowControl/>
              <w:rPr>
                <w:szCs w:val="22"/>
              </w:rPr>
            </w:pPr>
            <w:r w:rsidRPr="00BA1752">
              <w:rPr>
                <w:szCs w:val="22"/>
              </w:rPr>
              <w:t>(202) 263-1600</w:t>
            </w:r>
          </w:p>
          <w:p w:rsidR="00752277" w:rsidRPr="00BA1752" w:rsidP="001B22F7" w14:paraId="67C9FDF9" w14:textId="77777777">
            <w:pPr>
              <w:widowControl/>
              <w:rPr>
                <w:szCs w:val="22"/>
              </w:rPr>
            </w:pPr>
          </w:p>
        </w:tc>
      </w:tr>
      <w:tr w14:paraId="1DA93797" w14:textId="77777777" w:rsidTr="001B22F7">
        <w:tblPrEx>
          <w:tblW w:w="9828" w:type="dxa"/>
          <w:tblLayout w:type="fixed"/>
          <w:tblCellMar>
            <w:left w:w="115" w:type="dxa"/>
            <w:right w:w="115" w:type="dxa"/>
          </w:tblCellMar>
          <w:tblLook w:val="0000"/>
        </w:tblPrEx>
        <w:trPr>
          <w:cantSplit/>
          <w:trHeight w:val="1440"/>
        </w:trPr>
        <w:tc>
          <w:tcPr>
            <w:tcW w:w="4968" w:type="dxa"/>
          </w:tcPr>
          <w:p w:rsidR="00752277" w:rsidRPr="00BA1752" w:rsidP="001B22F7" w14:paraId="52C80FEC" w14:textId="77777777">
            <w:pPr>
              <w:rPr>
                <w:szCs w:val="22"/>
              </w:rPr>
            </w:pPr>
            <w:r w:rsidRPr="00BA1752">
              <w:rPr>
                <w:b/>
                <w:szCs w:val="22"/>
              </w:rPr>
              <w:t>Auction 903 Information</w:t>
            </w:r>
          </w:p>
          <w:p w:rsidR="00752277" w:rsidRPr="00BA1752" w:rsidP="001B22F7" w14:paraId="6017B00B" w14:textId="77777777">
            <w:pPr>
              <w:ind w:left="360"/>
              <w:rPr>
                <w:szCs w:val="22"/>
              </w:rPr>
            </w:pPr>
            <w:r w:rsidRPr="00BA1752">
              <w:rPr>
                <w:szCs w:val="22"/>
              </w:rPr>
              <w:t>General Auction Information, Process, and Procedures</w:t>
            </w:r>
          </w:p>
          <w:p w:rsidR="00752277" w:rsidRPr="00BA1752" w:rsidP="001B22F7" w14:paraId="07C971A3" w14:textId="77777777">
            <w:pPr>
              <w:rPr>
                <w:szCs w:val="22"/>
              </w:rPr>
            </w:pPr>
          </w:p>
          <w:p w:rsidR="00752277" w:rsidRPr="00BA1752" w:rsidP="001B22F7" w14:paraId="5619334F" w14:textId="77777777">
            <w:pPr>
              <w:rPr>
                <w:szCs w:val="22"/>
              </w:rPr>
            </w:pPr>
          </w:p>
          <w:p w:rsidR="00752277" w:rsidRPr="00BA1752" w:rsidP="001B22F7" w14:paraId="1FD24747" w14:textId="77777777">
            <w:pPr>
              <w:ind w:left="360"/>
              <w:rPr>
                <w:b/>
                <w:szCs w:val="22"/>
              </w:rPr>
            </w:pPr>
            <w:r w:rsidRPr="00BA1752">
              <w:rPr>
                <w:szCs w:val="22"/>
              </w:rPr>
              <w:t>Post-Auction Rules, Policies, and Regulations</w:t>
            </w:r>
          </w:p>
        </w:tc>
        <w:tc>
          <w:tcPr>
            <w:tcW w:w="4860" w:type="dxa"/>
          </w:tcPr>
          <w:p w:rsidR="00752277" w:rsidRPr="00BA1752" w:rsidP="001B22F7" w14:paraId="61051FA5" w14:textId="77777777">
            <w:pPr>
              <w:widowControl/>
              <w:rPr>
                <w:b/>
                <w:szCs w:val="22"/>
              </w:rPr>
            </w:pPr>
          </w:p>
          <w:p w:rsidR="00752277" w:rsidRPr="00BA1752" w:rsidP="001B22F7" w14:paraId="1C9BE744" w14:textId="71EE7333">
            <w:pPr>
              <w:widowControl/>
              <w:rPr>
                <w:b/>
                <w:szCs w:val="22"/>
              </w:rPr>
            </w:pPr>
            <w:r w:rsidRPr="00BA1752">
              <w:rPr>
                <w:b/>
                <w:szCs w:val="22"/>
              </w:rPr>
              <w:t xml:space="preserve">Office of </w:t>
            </w:r>
            <w:r w:rsidRPr="00BA1752" w:rsidR="00B61144">
              <w:rPr>
                <w:b/>
                <w:szCs w:val="22"/>
              </w:rPr>
              <w:t>Economics</w:t>
            </w:r>
            <w:r w:rsidRPr="00BA1752">
              <w:rPr>
                <w:b/>
                <w:szCs w:val="22"/>
              </w:rPr>
              <w:t xml:space="preserve"> and Analytics</w:t>
            </w:r>
            <w:r w:rsidRPr="00BA1752" w:rsidR="001375FE">
              <w:rPr>
                <w:b/>
                <w:szCs w:val="22"/>
              </w:rPr>
              <w:t>,</w:t>
            </w:r>
          </w:p>
          <w:p w:rsidR="00752277" w:rsidRPr="00BA1752" w:rsidP="001B22F7" w14:paraId="2403EBE1" w14:textId="7D482229">
            <w:pPr>
              <w:rPr>
                <w:b/>
                <w:szCs w:val="22"/>
              </w:rPr>
            </w:pPr>
            <w:r w:rsidRPr="00BA1752">
              <w:rPr>
                <w:b/>
                <w:szCs w:val="22"/>
              </w:rPr>
              <w:t xml:space="preserve">Auctions Division </w:t>
            </w:r>
          </w:p>
          <w:p w:rsidR="00752277" w:rsidRPr="00BA1752" w:rsidP="001B22F7" w14:paraId="457CD7DA" w14:textId="77777777">
            <w:pPr>
              <w:rPr>
                <w:szCs w:val="22"/>
              </w:rPr>
            </w:pPr>
            <w:r w:rsidRPr="00BA1752">
              <w:rPr>
                <w:szCs w:val="22"/>
              </w:rPr>
              <w:t>(717) 338-2868</w:t>
            </w:r>
          </w:p>
          <w:p w:rsidR="00752277" w:rsidRPr="00BA1752" w:rsidP="001B22F7" w14:paraId="61719A1D" w14:textId="77777777">
            <w:pPr>
              <w:rPr>
                <w:szCs w:val="22"/>
              </w:rPr>
            </w:pPr>
          </w:p>
          <w:p w:rsidR="00752277" w:rsidRPr="00BA1752" w:rsidP="001B22F7" w14:paraId="5E323528" w14:textId="77777777">
            <w:pPr>
              <w:widowControl/>
              <w:rPr>
                <w:b/>
                <w:szCs w:val="22"/>
              </w:rPr>
            </w:pPr>
            <w:r w:rsidRPr="00BA1752">
              <w:rPr>
                <w:b/>
                <w:szCs w:val="22"/>
              </w:rPr>
              <w:t>Rural Broadband Auctions Task Force</w:t>
            </w:r>
          </w:p>
          <w:p w:rsidR="00752277" w:rsidRPr="00BA1752" w:rsidP="001B22F7" w14:paraId="472E2B94" w14:textId="70C41370">
            <w:pPr>
              <w:widowControl/>
              <w:rPr>
                <w:szCs w:val="22"/>
              </w:rPr>
            </w:pPr>
            <w:r w:rsidRPr="00BA1752">
              <w:rPr>
                <w:szCs w:val="22"/>
              </w:rPr>
              <w:t>Michael Janson</w:t>
            </w:r>
            <w:r w:rsidRPr="00BA1752">
              <w:rPr>
                <w:szCs w:val="22"/>
              </w:rPr>
              <w:t>, (202) 418-</w:t>
            </w:r>
            <w:r w:rsidRPr="00BA1752">
              <w:rPr>
                <w:szCs w:val="22"/>
              </w:rPr>
              <w:t>0627</w:t>
            </w:r>
          </w:p>
          <w:p w:rsidR="00752277" w:rsidRPr="00BA1752" w:rsidP="001B22F7" w14:paraId="514AA3C2" w14:textId="77777777">
            <w:pPr>
              <w:widowControl/>
              <w:rPr>
                <w:szCs w:val="22"/>
              </w:rPr>
            </w:pPr>
            <w:r w:rsidRPr="00BA1752">
              <w:rPr>
                <w:szCs w:val="22"/>
              </w:rPr>
              <w:t>Kirk Burgee, (202) 418-1599</w:t>
            </w:r>
          </w:p>
          <w:p w:rsidR="00752277" w:rsidRPr="00BA1752" w:rsidP="001B22F7" w14:paraId="3CA313BA" w14:textId="77777777">
            <w:pPr>
              <w:widowControl/>
              <w:rPr>
                <w:szCs w:val="22"/>
              </w:rPr>
            </w:pPr>
            <w:r w:rsidRPr="00BA1752">
              <w:rPr>
                <w:szCs w:val="22"/>
              </w:rPr>
              <w:t>Nathan Eagan, (202) 418-0991</w:t>
            </w:r>
          </w:p>
          <w:p w:rsidR="00752277" w:rsidRPr="00BA1752" w:rsidP="001B22F7" w14:paraId="5738ACEC" w14:textId="3F83BBA8">
            <w:pPr>
              <w:widowControl/>
              <w:rPr>
                <w:szCs w:val="22"/>
              </w:rPr>
            </w:pPr>
            <w:r w:rsidRPr="00BA1752">
              <w:rPr>
                <w:szCs w:val="22"/>
              </w:rPr>
              <w:t>Jonathan McCormack, (202) 418-1065</w:t>
            </w:r>
          </w:p>
          <w:p w:rsidR="00EA0F2C" w:rsidRPr="00BA1752" w:rsidP="001B22F7" w14:paraId="6F686FBE" w14:textId="77777777">
            <w:pPr>
              <w:widowControl/>
              <w:rPr>
                <w:b/>
                <w:szCs w:val="22"/>
              </w:rPr>
            </w:pPr>
          </w:p>
          <w:p w:rsidR="00752277" w:rsidRPr="00BA1752" w:rsidP="001B22F7" w14:paraId="344EB838" w14:textId="07234706">
            <w:pPr>
              <w:widowControl/>
              <w:rPr>
                <w:b/>
                <w:szCs w:val="22"/>
              </w:rPr>
            </w:pPr>
            <w:r w:rsidRPr="00BA1752">
              <w:rPr>
                <w:b/>
                <w:szCs w:val="22"/>
              </w:rPr>
              <w:t xml:space="preserve">Office of </w:t>
            </w:r>
            <w:r w:rsidRPr="00BA1752" w:rsidR="00B61144">
              <w:rPr>
                <w:b/>
                <w:szCs w:val="22"/>
              </w:rPr>
              <w:t xml:space="preserve">Economics </w:t>
            </w:r>
            <w:r w:rsidRPr="00BA1752">
              <w:rPr>
                <w:b/>
                <w:szCs w:val="22"/>
              </w:rPr>
              <w:t>and Analytics</w:t>
            </w:r>
            <w:r w:rsidRPr="00BA1752" w:rsidR="001375FE">
              <w:rPr>
                <w:b/>
                <w:szCs w:val="22"/>
              </w:rPr>
              <w:t>,</w:t>
            </w:r>
          </w:p>
          <w:p w:rsidR="00752277" w:rsidRPr="00BA1752" w:rsidP="001B22F7" w14:paraId="4AFE180E" w14:textId="535384F1">
            <w:pPr>
              <w:widowControl/>
              <w:rPr>
                <w:b/>
                <w:szCs w:val="22"/>
              </w:rPr>
            </w:pPr>
            <w:r w:rsidRPr="00BA1752">
              <w:rPr>
                <w:b/>
                <w:szCs w:val="22"/>
              </w:rPr>
              <w:t xml:space="preserve">Auctions Division </w:t>
            </w:r>
          </w:p>
          <w:p w:rsidR="00752277" w:rsidRPr="00BA1752" w:rsidP="001B22F7" w14:paraId="10EDB784" w14:textId="77777777">
            <w:pPr>
              <w:widowControl/>
              <w:rPr>
                <w:szCs w:val="22"/>
              </w:rPr>
            </w:pPr>
            <w:r w:rsidRPr="00BA1752">
              <w:rPr>
                <w:szCs w:val="22"/>
              </w:rPr>
              <w:t>(202) 418-0660</w:t>
            </w:r>
          </w:p>
          <w:p w:rsidR="00752277" w:rsidRPr="00BA1752" w:rsidP="001B22F7" w14:paraId="0AA6020C" w14:textId="77777777">
            <w:pPr>
              <w:rPr>
                <w:b/>
                <w:szCs w:val="22"/>
              </w:rPr>
            </w:pPr>
          </w:p>
        </w:tc>
      </w:tr>
      <w:tr w14:paraId="5B1B308D" w14:textId="77777777" w:rsidTr="001B22F7">
        <w:tblPrEx>
          <w:tblW w:w="9828" w:type="dxa"/>
          <w:tblLayout w:type="fixed"/>
          <w:tblCellMar>
            <w:left w:w="115" w:type="dxa"/>
            <w:right w:w="115" w:type="dxa"/>
          </w:tblCellMar>
          <w:tblLook w:val="0000"/>
        </w:tblPrEx>
        <w:trPr>
          <w:cantSplit/>
          <w:trHeight w:val="1105"/>
        </w:trPr>
        <w:tc>
          <w:tcPr>
            <w:tcW w:w="4968" w:type="dxa"/>
          </w:tcPr>
          <w:p w:rsidR="00752277" w:rsidRPr="00BA1752" w:rsidP="001B22F7" w14:paraId="7FC65C4A" w14:textId="77777777">
            <w:pPr>
              <w:widowControl/>
              <w:autoSpaceDE w:val="0"/>
              <w:autoSpaceDN w:val="0"/>
              <w:adjustRightInd w:val="0"/>
              <w:rPr>
                <w:b/>
                <w:bCs/>
                <w:snapToGrid/>
                <w:szCs w:val="22"/>
              </w:rPr>
            </w:pPr>
            <w:r w:rsidRPr="00BA1752">
              <w:rPr>
                <w:b/>
                <w:bCs/>
                <w:snapToGrid/>
                <w:szCs w:val="22"/>
              </w:rPr>
              <w:t>Small Businesses</w:t>
            </w:r>
          </w:p>
          <w:p w:rsidR="00752277" w:rsidRPr="00BA1752" w:rsidP="001B22F7" w14:paraId="77CF8B2D" w14:textId="77777777">
            <w:pPr>
              <w:widowControl/>
              <w:autoSpaceDE w:val="0"/>
              <w:autoSpaceDN w:val="0"/>
              <w:adjustRightInd w:val="0"/>
              <w:ind w:left="360"/>
              <w:rPr>
                <w:snapToGrid/>
                <w:szCs w:val="22"/>
              </w:rPr>
            </w:pPr>
            <w:r w:rsidRPr="00BA1752">
              <w:rPr>
                <w:snapToGrid/>
                <w:szCs w:val="22"/>
              </w:rPr>
              <w:t>Additional information for small and disadvantaged businesses</w:t>
            </w:r>
          </w:p>
          <w:p w:rsidR="00752277" w:rsidRPr="00BA1752" w:rsidP="001B22F7" w14:paraId="701B26C5" w14:textId="77777777">
            <w:pPr>
              <w:rPr>
                <w:b/>
                <w:szCs w:val="22"/>
              </w:rPr>
            </w:pPr>
          </w:p>
        </w:tc>
        <w:tc>
          <w:tcPr>
            <w:tcW w:w="4860" w:type="dxa"/>
          </w:tcPr>
          <w:p w:rsidR="00752277" w:rsidRPr="00BA1752" w:rsidP="001B22F7" w14:paraId="5CAB4348" w14:textId="77777777">
            <w:pPr>
              <w:widowControl/>
              <w:autoSpaceDE w:val="0"/>
              <w:autoSpaceDN w:val="0"/>
              <w:adjustRightInd w:val="0"/>
              <w:rPr>
                <w:snapToGrid/>
                <w:szCs w:val="22"/>
              </w:rPr>
            </w:pPr>
            <w:r w:rsidRPr="00BA1752">
              <w:rPr>
                <w:b/>
                <w:bCs/>
                <w:snapToGrid/>
                <w:szCs w:val="22"/>
              </w:rPr>
              <w:t>Office of Communications Business Opportunities</w:t>
            </w:r>
          </w:p>
          <w:p w:rsidR="00752277" w:rsidRPr="00BA1752" w:rsidP="001B22F7" w14:paraId="31411AC4" w14:textId="77777777">
            <w:pPr>
              <w:widowControl/>
              <w:autoSpaceDE w:val="0"/>
              <w:autoSpaceDN w:val="0"/>
              <w:adjustRightInd w:val="0"/>
              <w:rPr>
                <w:snapToGrid/>
                <w:szCs w:val="22"/>
              </w:rPr>
            </w:pPr>
            <w:r w:rsidRPr="00BA1752">
              <w:rPr>
                <w:snapToGrid/>
                <w:szCs w:val="22"/>
              </w:rPr>
              <w:t>(202) 418-0990</w:t>
            </w:r>
          </w:p>
          <w:p w:rsidR="00752277" w:rsidRPr="00BA1752" w:rsidP="001B22F7" w14:paraId="29ACA37A" w14:textId="77777777">
            <w:pPr>
              <w:widowControl/>
              <w:autoSpaceDE w:val="0"/>
              <w:autoSpaceDN w:val="0"/>
              <w:adjustRightInd w:val="0"/>
              <w:rPr>
                <w:snapToGrid/>
                <w:szCs w:val="22"/>
              </w:rPr>
            </w:pPr>
            <w:hyperlink r:id="rId6" w:history="1">
              <w:r w:rsidRPr="00BA1752">
                <w:rPr>
                  <w:snapToGrid/>
                  <w:color w:val="0000FF"/>
                  <w:szCs w:val="22"/>
                  <w:u w:val="single"/>
                </w:rPr>
                <w:t>http://www.fcc.gov/ocbo/</w:t>
              </w:r>
            </w:hyperlink>
          </w:p>
          <w:p w:rsidR="00752277" w:rsidRPr="00BA1752" w:rsidP="001B22F7" w14:paraId="5F0843BA" w14:textId="77777777">
            <w:pPr>
              <w:rPr>
                <w:b/>
                <w:szCs w:val="22"/>
              </w:rPr>
            </w:pPr>
          </w:p>
        </w:tc>
      </w:tr>
      <w:tr w14:paraId="7F4A053B" w14:textId="77777777" w:rsidTr="001B22F7">
        <w:tblPrEx>
          <w:tblW w:w="9828" w:type="dxa"/>
          <w:tblLayout w:type="fixed"/>
          <w:tblCellMar>
            <w:left w:w="115" w:type="dxa"/>
            <w:right w:w="115" w:type="dxa"/>
          </w:tblCellMar>
          <w:tblLook w:val="0000"/>
        </w:tblPrEx>
        <w:trPr>
          <w:cantSplit/>
          <w:trHeight w:val="981"/>
        </w:trPr>
        <w:tc>
          <w:tcPr>
            <w:tcW w:w="4968" w:type="dxa"/>
          </w:tcPr>
          <w:p w:rsidR="00752277" w:rsidRPr="00BA1752" w:rsidP="001B22F7" w14:paraId="3D228656" w14:textId="77777777">
            <w:pPr>
              <w:rPr>
                <w:b/>
                <w:szCs w:val="22"/>
              </w:rPr>
            </w:pPr>
            <w:r w:rsidRPr="00BA1752">
              <w:rPr>
                <w:b/>
                <w:szCs w:val="22"/>
              </w:rPr>
              <w:t>Accessible Formats</w:t>
            </w:r>
          </w:p>
          <w:p w:rsidR="00752277" w:rsidRPr="00BA1752" w:rsidP="001B22F7" w14:paraId="70886768" w14:textId="77777777">
            <w:pPr>
              <w:ind w:left="360"/>
              <w:rPr>
                <w:szCs w:val="22"/>
              </w:rPr>
            </w:pPr>
            <w:r w:rsidRPr="00BA1752">
              <w:rPr>
                <w:szCs w:val="22"/>
              </w:rPr>
              <w:t xml:space="preserve">Braille, large print, electronic files, or </w:t>
            </w:r>
          </w:p>
          <w:p w:rsidR="00752277" w:rsidRPr="00BA1752" w:rsidP="001B22F7" w14:paraId="3BF3FCA3" w14:textId="77777777">
            <w:pPr>
              <w:ind w:left="360"/>
              <w:rPr>
                <w:b/>
                <w:szCs w:val="22"/>
              </w:rPr>
            </w:pPr>
            <w:r w:rsidRPr="00BA1752">
              <w:rPr>
                <w:szCs w:val="22"/>
              </w:rPr>
              <w:t>audio format for people with disabilities</w:t>
            </w:r>
          </w:p>
        </w:tc>
        <w:tc>
          <w:tcPr>
            <w:tcW w:w="4860" w:type="dxa"/>
          </w:tcPr>
          <w:p w:rsidR="00752277" w:rsidRPr="00BA1752" w:rsidP="001B22F7" w14:paraId="1A2FDCCC" w14:textId="77777777">
            <w:pPr>
              <w:rPr>
                <w:b/>
                <w:szCs w:val="22"/>
              </w:rPr>
            </w:pPr>
            <w:r w:rsidRPr="00BA1752">
              <w:rPr>
                <w:b/>
                <w:szCs w:val="22"/>
              </w:rPr>
              <w:t>Consumer and Governmental Affairs Bureau</w:t>
            </w:r>
          </w:p>
          <w:p w:rsidR="00752277" w:rsidRPr="00BA1752" w:rsidP="001B22F7" w14:paraId="393640F2" w14:textId="77777777">
            <w:pPr>
              <w:rPr>
                <w:szCs w:val="22"/>
              </w:rPr>
            </w:pPr>
            <w:r w:rsidRPr="00BA1752">
              <w:rPr>
                <w:szCs w:val="22"/>
              </w:rPr>
              <w:t>(202) 418-0530 or (202) 418-0432 (TTY)</w:t>
            </w:r>
          </w:p>
          <w:p w:rsidR="00752277" w:rsidRPr="00BA1752" w:rsidP="001B22F7" w14:paraId="71665EA6" w14:textId="77777777">
            <w:pPr>
              <w:rPr>
                <w:b/>
                <w:szCs w:val="22"/>
              </w:rPr>
            </w:pPr>
            <w:hyperlink r:id="rId7" w:history="1">
              <w:r w:rsidRPr="00BA1752">
                <w:rPr>
                  <w:rStyle w:val="Hyperlink"/>
                  <w:szCs w:val="22"/>
                </w:rPr>
                <w:t>fcc504@fcc.gov</w:t>
              </w:r>
            </w:hyperlink>
          </w:p>
        </w:tc>
      </w:tr>
      <w:tr w14:paraId="25F90DF6" w14:textId="77777777" w:rsidTr="001B22F7">
        <w:tblPrEx>
          <w:tblW w:w="9828" w:type="dxa"/>
          <w:tblLayout w:type="fixed"/>
          <w:tblCellMar>
            <w:left w:w="115" w:type="dxa"/>
            <w:right w:w="115" w:type="dxa"/>
          </w:tblCellMar>
          <w:tblLook w:val="0000"/>
        </w:tblPrEx>
        <w:trPr>
          <w:cantSplit/>
        </w:trPr>
        <w:tc>
          <w:tcPr>
            <w:tcW w:w="4968" w:type="dxa"/>
          </w:tcPr>
          <w:p w:rsidR="00752277" w:rsidRPr="00BA1752" w:rsidP="001B22F7" w14:paraId="55B79D3F" w14:textId="77777777">
            <w:pPr>
              <w:rPr>
                <w:b/>
                <w:szCs w:val="22"/>
              </w:rPr>
            </w:pPr>
            <w:r w:rsidRPr="00BA1752">
              <w:rPr>
                <w:b/>
                <w:szCs w:val="22"/>
              </w:rPr>
              <w:t>FCC Internet Sites</w:t>
            </w:r>
          </w:p>
          <w:p w:rsidR="00752277" w:rsidRPr="00BA1752" w:rsidP="001B22F7" w14:paraId="00185AA0" w14:textId="77777777">
            <w:pPr>
              <w:rPr>
                <w:szCs w:val="22"/>
              </w:rPr>
            </w:pPr>
          </w:p>
        </w:tc>
        <w:tc>
          <w:tcPr>
            <w:tcW w:w="4860" w:type="dxa"/>
          </w:tcPr>
          <w:p w:rsidR="00752277" w:rsidRPr="00BA1752" w:rsidP="001B22F7" w14:paraId="41594C58" w14:textId="77777777">
            <w:pPr>
              <w:rPr>
                <w:szCs w:val="22"/>
              </w:rPr>
            </w:pPr>
            <w:hyperlink r:id="rId8" w:history="1">
              <w:r w:rsidRPr="00BA1752">
                <w:rPr>
                  <w:rStyle w:val="Hyperlink"/>
                  <w:szCs w:val="22"/>
                </w:rPr>
                <w:t>http://www.fcc.gov</w:t>
              </w:r>
            </w:hyperlink>
          </w:p>
          <w:p w:rsidR="00752277" w:rsidRPr="00BA1752" w:rsidP="001B22F7" w14:paraId="19D2A9DC" w14:textId="77777777">
            <w:pPr>
              <w:rPr>
                <w:rStyle w:val="Hyperlink"/>
                <w:szCs w:val="22"/>
              </w:rPr>
            </w:pPr>
            <w:hyperlink r:id="rId9" w:history="1">
              <w:r w:rsidRPr="00BA1752">
                <w:rPr>
                  <w:rStyle w:val="Hyperlink"/>
                  <w:szCs w:val="22"/>
                </w:rPr>
                <w:t>www.fcc.gov/auction/903</w:t>
              </w:r>
            </w:hyperlink>
          </w:p>
          <w:p w:rsidR="00752277" w:rsidRPr="00BA1752" w:rsidP="001B22F7" w14:paraId="41CB0E86" w14:textId="77777777">
            <w:pPr>
              <w:rPr>
                <w:szCs w:val="22"/>
              </w:rPr>
            </w:pPr>
          </w:p>
        </w:tc>
      </w:tr>
    </w:tbl>
    <w:p w:rsidR="00752277" w:rsidRPr="00BA1752" w:rsidP="00752277" w14:paraId="5E9963B1" w14:textId="77777777"/>
    <w:p w:rsidR="00752277" w:rsidRPr="00BA1752" w:rsidP="00752277" w14:paraId="3D926886" w14:textId="65B9911E">
      <w:pPr>
        <w:spacing w:after="120"/>
      </w:pPr>
      <w:r w:rsidRPr="00BA1752">
        <w:t>This Public Notice contains the following Attachment</w:t>
      </w:r>
      <w:r w:rsidRPr="00BA1752" w:rsidR="0038716E">
        <w:t>s</w:t>
      </w:r>
      <w:r w:rsidRPr="00BA1752">
        <w:t>:</w:t>
      </w:r>
    </w:p>
    <w:p w:rsidR="00752277" w:rsidRPr="00BA1752" w:rsidP="00752277" w14:paraId="34C0B3BF" w14:textId="7300A264">
      <w:pPr>
        <w:spacing w:after="120"/>
      </w:pPr>
      <w:r w:rsidRPr="00BA1752">
        <w:t xml:space="preserve">Attachment A: Ready to Authorize Long-Form Applicants and Bids </w:t>
      </w:r>
    </w:p>
    <w:p w:rsidR="00EC6358" w:rsidRPr="006731DE" w:rsidP="00752277" w14:paraId="707DFBED" w14:textId="4024321B">
      <w:pPr>
        <w:spacing w:after="120"/>
      </w:pPr>
      <w:r w:rsidRPr="00BA1752">
        <w:t>Attachment B: Bids in Default</w:t>
      </w:r>
    </w:p>
    <w:p w:rsidR="00752277" w:rsidRPr="006731DE" w:rsidP="00752277" w14:paraId="5FBC82C6" w14:textId="77777777">
      <w:pPr>
        <w:keepNext/>
        <w:jc w:val="center"/>
      </w:pPr>
    </w:p>
    <w:p w:rsidR="00752277" w:rsidRPr="00893B45" w:rsidP="00752277" w14:paraId="5DF1BE58" w14:textId="77777777">
      <w:pPr>
        <w:widowControl/>
        <w:jc w:val="center"/>
        <w:rPr>
          <w:szCs w:val="22"/>
        </w:rPr>
      </w:pPr>
      <w:r w:rsidRPr="006731DE">
        <w:rPr>
          <w:b/>
        </w:rPr>
        <w:t>-FCC-</w:t>
      </w:r>
    </w:p>
    <w:sectPr w:rsidSect="00752277">
      <w:headerReference w:type="default" r:id="rId10"/>
      <w:footerReference w:type="even" r:id="rId11"/>
      <w:footerReference w:type="default" r:id="rId12"/>
      <w:headerReference w:type="first" r:id="rId13"/>
      <w:footerReference w:type="first" r:id="rId14"/>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62086F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78A065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BA1752" w14:paraId="1DCC8C55" w14:textId="274927B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6A3012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7476" w14:paraId="19B9CF36" w14:textId="77777777">
      <w:r>
        <w:separator/>
      </w:r>
    </w:p>
  </w:footnote>
  <w:footnote w:type="continuationSeparator" w:id="1">
    <w:p w:rsidR="006A7476" w14:paraId="5AE69FD6" w14:textId="77777777">
      <w:pPr>
        <w:rPr>
          <w:sz w:val="20"/>
        </w:rPr>
      </w:pPr>
      <w:r>
        <w:rPr>
          <w:sz w:val="20"/>
        </w:rPr>
        <w:t xml:space="preserve">(Continued from previous page)  </w:t>
      </w:r>
      <w:r>
        <w:rPr>
          <w:sz w:val="20"/>
        </w:rPr>
        <w:separator/>
      </w:r>
    </w:p>
  </w:footnote>
  <w:footnote w:type="continuationNotice" w:id="2">
    <w:p w:rsidR="006A7476" w:rsidP="00910F12" w14:paraId="6A2B0C05" w14:textId="77777777">
      <w:pPr>
        <w:jc w:val="right"/>
        <w:rPr>
          <w:sz w:val="20"/>
        </w:rPr>
      </w:pPr>
      <w:r>
        <w:rPr>
          <w:sz w:val="20"/>
        </w:rPr>
        <w:t>(continued….)</w:t>
      </w:r>
    </w:p>
  </w:footnote>
  <w:footnote w:id="3">
    <w:p w:rsidR="001B22F7" w14:paraId="1BD22C79" w14:textId="05290B1A">
      <w:pPr>
        <w:pStyle w:val="FootnoteText"/>
      </w:pPr>
      <w:r>
        <w:rPr>
          <w:rStyle w:val="FootnoteReference"/>
        </w:rPr>
        <w:footnoteRef/>
      </w:r>
      <w:r>
        <w:t xml:space="preserve"> The Commission’s rules require ready to authorize applicants to submit their respective letters of credit </w:t>
      </w:r>
      <w:r w:rsidRPr="006731DE">
        <w:t>no later than 10 business days after we release a public notice identifying long-form applicants that may be authorized to receive</w:t>
      </w:r>
      <w:r w:rsidRPr="0059540A">
        <w:t xml:space="preserve"> </w:t>
      </w:r>
      <w:r w:rsidRPr="006731DE">
        <w:t>Connect America Fund Phase II auction support</w:t>
      </w:r>
      <w:r>
        <w:t xml:space="preserve">.  </w:t>
      </w:r>
      <w:r w:rsidRPr="00E451F7" w:rsidR="00B84670">
        <w:rPr>
          <w:i/>
        </w:rPr>
        <w:t>Connect America Fund et al.</w:t>
      </w:r>
      <w:r w:rsidRPr="00E451F7" w:rsidR="00B84670">
        <w:t xml:space="preserve">, Report and Order and Further Notice of Proposed Rulemaking, 31 FCC Rcd 5949, </w:t>
      </w:r>
      <w:r w:rsidRPr="008A5853" w:rsidR="00B84670">
        <w:t>6045-49, App. B</w:t>
      </w:r>
      <w:r w:rsidRPr="00E451F7" w:rsidR="00B84670">
        <w:t xml:space="preserve"> (2016) (</w:t>
      </w:r>
      <w:r w:rsidRPr="00E451F7" w:rsidR="00B84670">
        <w:rPr>
          <w:i/>
        </w:rPr>
        <w:t>Phase II Auction Order</w:t>
      </w:r>
      <w:r w:rsidRPr="00E451F7" w:rsidR="00B84670">
        <w:t>)</w:t>
      </w:r>
      <w:r w:rsidRPr="004C60A9">
        <w:t>.</w:t>
      </w:r>
      <w:r>
        <w:t xml:space="preserve">  </w:t>
      </w:r>
      <w:r w:rsidRPr="00253657">
        <w:t>Generally, the Commission’s rules may be waived for good cause shown.</w:t>
      </w:r>
      <w:r>
        <w:t xml:space="preserve">  </w:t>
      </w:r>
      <w:r w:rsidRPr="009D20B2">
        <w:t xml:space="preserve">47 CFR § 1.3. The Commission may exercise its discretion to waive a rule where the particular facts make strict compliance inconsistent with the public interest. </w:t>
      </w:r>
      <w:r w:rsidR="00B84670">
        <w:t xml:space="preserve"> </w:t>
      </w:r>
      <w:r w:rsidRPr="008F623D">
        <w:rPr>
          <w:i/>
        </w:rPr>
        <w:t>Northeast Cellular Telephone Co. v. FCC</w:t>
      </w:r>
      <w:r w:rsidRPr="009D20B2">
        <w:t>, 897 F.2d 1164, 1166 (D.C. Cir. 1990) (</w:t>
      </w:r>
      <w:r w:rsidRPr="008F623D">
        <w:rPr>
          <w:i/>
        </w:rPr>
        <w:t>Northeast Cellular</w:t>
      </w:r>
      <w:r w:rsidRPr="009D20B2">
        <w:t xml:space="preserve">). In addition, the Commission may </w:t>
      </w:r>
      <w:r w:rsidRPr="009D20B2">
        <w:t>take into account</w:t>
      </w:r>
      <w:r w:rsidRPr="009D20B2">
        <w:t xml:space="preserve"> considerations of hardship, equity, or more effective implementation of overall policy on an individual basis. </w:t>
      </w:r>
      <w:r w:rsidR="00B84670">
        <w:t xml:space="preserve"> </w:t>
      </w:r>
      <w:r w:rsidRPr="008F623D">
        <w:rPr>
          <w:i/>
        </w:rPr>
        <w:t>WAIT Radio v. FCC</w:t>
      </w:r>
      <w:r w:rsidRPr="009D20B2">
        <w:t xml:space="preserve">, 418 F.2d 1153, 1159 (D.C. Cir. 1969); </w:t>
      </w:r>
      <w:r w:rsidRPr="008F623D">
        <w:rPr>
          <w:i/>
        </w:rPr>
        <w:t>Northeast Cellular</w:t>
      </w:r>
      <w:r w:rsidRPr="009D20B2">
        <w:t xml:space="preserve">, 897 F.2d at 1166. </w:t>
      </w:r>
      <w:r w:rsidR="00B84670">
        <w:t xml:space="preserve"> </w:t>
      </w:r>
      <w:r w:rsidRPr="009D20B2">
        <w:t xml:space="preserve">Waiver of a filing deadline in the Commission’s rules is appropriate when (i) special circumstances warrant a deviation from the general rule, and (ii) such deviation will serve the public interest. </w:t>
      </w:r>
      <w:r w:rsidR="00B84670">
        <w:t xml:space="preserve"> </w:t>
      </w:r>
      <w:r w:rsidRPr="008F623D">
        <w:rPr>
          <w:i/>
        </w:rPr>
        <w:t>Northeast Cellular</w:t>
      </w:r>
      <w:r w:rsidRPr="009D20B2">
        <w:t>, 897 F.2d at 1166.</w:t>
      </w:r>
    </w:p>
  </w:footnote>
  <w:footnote w:id="4">
    <w:p w:rsidR="001B22F7" w:rsidP="00FB5968" w14:paraId="189DA104" w14:textId="77777777">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Public Notice, 33 FCC Rcd 8257 (</w:t>
      </w:r>
      <w:r>
        <w:t>WTB</w:t>
      </w:r>
      <w:r>
        <w:t xml:space="preserve"> and WCB 2018) (</w:t>
      </w:r>
      <w:r w:rsidRPr="00305BB1">
        <w:rPr>
          <w:i/>
        </w:rPr>
        <w:t>Auction 903 Closing Public Notice</w:t>
      </w:r>
      <w:r>
        <w:t>).</w:t>
      </w:r>
    </w:p>
  </w:footnote>
  <w:footnote w:id="5">
    <w:p w:rsidR="001B22F7" w:rsidP="00FB5968" w14:paraId="7236D910" w14:textId="77777777">
      <w:pPr>
        <w:pStyle w:val="FootnoteText"/>
      </w:pPr>
      <w:r>
        <w:rPr>
          <w:rStyle w:val="FootnoteReference"/>
        </w:rPr>
        <w:footnoteRef/>
      </w:r>
      <w:r>
        <w:t xml:space="preserve"> </w:t>
      </w:r>
      <w:r w:rsidRPr="006731DE">
        <w:rPr>
          <w:i/>
        </w:rPr>
        <w:t>134 Long-Form Applicants in the Connect America Fund Phase II Auction (Auction 903)</w:t>
      </w:r>
      <w:r w:rsidRPr="006731DE">
        <w:t>, Public Notice, 33 FCC Rcd 10967 (</w:t>
      </w:r>
      <w:r w:rsidRPr="006731DE">
        <w:t>WTB</w:t>
      </w:r>
      <w:r w:rsidRPr="006731DE">
        <w:t xml:space="preserve"> and WCB 2018).  </w:t>
      </w:r>
    </w:p>
  </w:footnote>
  <w:footnote w:id="6">
    <w:p w:rsidR="001B22F7" w:rsidP="00FB5968" w14:paraId="3D322702"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t xml:space="preserve"> </w:t>
      </w:r>
    </w:p>
  </w:footnote>
  <w:footnote w:id="7">
    <w:p w:rsidR="001B22F7" w:rsidRPr="00E451F7" w:rsidP="001846E6" w14:paraId="3E24DA11" w14:textId="6468B3EF">
      <w:pPr>
        <w:pStyle w:val="FootnoteText"/>
      </w:pPr>
      <w:r w:rsidRPr="00E451F7">
        <w:rPr>
          <w:rStyle w:val="FootnoteReference"/>
        </w:rPr>
        <w:footnoteRef/>
      </w:r>
      <w:r w:rsidRPr="00E451F7">
        <w:t xml:space="preserve"> 47 CFR § 54.315(b)(5); </w:t>
      </w:r>
      <w:r w:rsidR="00B84670">
        <w:rPr>
          <w:i/>
        </w:rPr>
        <w:t xml:space="preserve">see also </w:t>
      </w:r>
      <w:r w:rsidRPr="00E451F7">
        <w:rPr>
          <w:i/>
        </w:rPr>
        <w:t>Connect America Fund Phase II Auction Scheduled for July 24, 2018; Notice and Filing Requirements and Other Procedures for Auction 903</w:t>
      </w:r>
      <w:r w:rsidRPr="00E451F7">
        <w:t>, Public Notice, 33 FCC Rcd at 1519, para. 315 (2018) (</w:t>
      </w:r>
      <w:r w:rsidRPr="00E451F7">
        <w:rPr>
          <w:i/>
        </w:rPr>
        <w:t>Auction 903 Procedures Public Notice</w:t>
      </w:r>
      <w:r w:rsidRPr="00E451F7">
        <w:t xml:space="preserve">); </w:t>
      </w:r>
      <w:r w:rsidRPr="00E451F7" w:rsidR="00B84670">
        <w:rPr>
          <w:i/>
        </w:rPr>
        <w:t>Phase II Auction Order</w:t>
      </w:r>
      <w:r w:rsidRPr="00E451F7">
        <w:t xml:space="preserve">, 31 FCC Rcd </w:t>
      </w:r>
      <w:r w:rsidR="00B84670">
        <w:t xml:space="preserve">at </w:t>
      </w:r>
      <w:r w:rsidRPr="00E451F7">
        <w:t>5999, 6002-05, paras. 141, 149-56.</w:t>
      </w:r>
    </w:p>
  </w:footnote>
  <w:footnote w:id="8">
    <w:p w:rsidR="001B22F7" w:rsidRPr="00E451F7" w:rsidP="001846E6" w14:paraId="26CE8955" w14:textId="76654224">
      <w:pPr>
        <w:pStyle w:val="FootnoteText"/>
      </w:pPr>
      <w:r w:rsidRPr="00E451F7">
        <w:rPr>
          <w:rStyle w:val="FootnoteReference"/>
        </w:rPr>
        <w:footnoteRef/>
      </w:r>
      <w:r w:rsidRPr="00E451F7">
        <w:t xml:space="preserve"> </w:t>
      </w:r>
      <w:r>
        <w:t xml:space="preserve">Wisper ISP, Inc. </w:t>
      </w:r>
      <w:r w:rsidRPr="00C3327D">
        <w:t>Petition for Waiver of the ETC Deadline</w:t>
      </w:r>
      <w:r>
        <w:t xml:space="preserve"> (filed Feb. 25, 2019) (Wisper Petition for Waiver).  </w:t>
      </w:r>
      <w:r w:rsidRPr="00E451F7">
        <w:t xml:space="preserve">The Commission has delegated to the Wireline Competition Bureau the authority to grant waivers of the filing deadline.  </w:t>
      </w:r>
      <w:r w:rsidRPr="00E451F7">
        <w:rPr>
          <w:i/>
        </w:rPr>
        <w:t>See</w:t>
      </w:r>
      <w:r w:rsidRPr="00E451F7">
        <w:t xml:space="preserve"> </w:t>
      </w:r>
      <w:r w:rsidRPr="00E451F7">
        <w:rPr>
          <w:i/>
        </w:rPr>
        <w:t>Phase II Auction Order</w:t>
      </w:r>
      <w:r w:rsidRPr="00E451F7">
        <w:t>, 31 FCC Rcd at 6003, para. 153 &amp; n.315.</w:t>
      </w:r>
    </w:p>
  </w:footnote>
  <w:footnote w:id="9">
    <w:p w:rsidR="001B22F7" w:rsidRPr="00E451F7" w:rsidP="001846E6" w14:paraId="5C773C79" w14:textId="77777777">
      <w:pPr>
        <w:pStyle w:val="FootnoteText"/>
      </w:pPr>
      <w:r w:rsidRPr="00E451F7">
        <w:rPr>
          <w:rStyle w:val="FootnoteReference"/>
        </w:rPr>
        <w:footnoteRef/>
      </w:r>
      <w:r w:rsidRPr="00E451F7">
        <w:t xml:space="preserve"> 47 CFR § 1.3.  W</w:t>
      </w:r>
      <w:r w:rsidRPr="00E451F7">
        <w:rPr>
          <w:bCs/>
        </w:rPr>
        <w:t>aiver</w:t>
      </w:r>
      <w:r w:rsidRPr="00E451F7">
        <w:t xml:space="preserve"> of the Commission’s rules is appropriate only if both: (1) special circumstances warrant a deviation from the general rule, and (2) such deviation will serve the public interest.  </w:t>
      </w:r>
      <w:r w:rsidRPr="00E451F7">
        <w:rPr>
          <w:i/>
        </w:rPr>
        <w:t>See Northeast Cellular Tel. Co. v. FCC</w:t>
      </w:r>
      <w:r w:rsidRPr="00E451F7">
        <w:t xml:space="preserve">, 897 F.2d 1164, 1166 (D.C. Cir. 1990) (citing </w:t>
      </w:r>
      <w:r w:rsidRPr="00E451F7">
        <w:rPr>
          <w:i/>
        </w:rPr>
        <w:t>WAIT Radio v. FCC</w:t>
      </w:r>
      <w:r w:rsidRPr="00E451F7">
        <w:t xml:space="preserve">, 418 F.2d 1153, 1157-59 (D.C. Cir. 1969), </w:t>
      </w:r>
      <w:r w:rsidRPr="00E451F7">
        <w:rPr>
          <w:i/>
        </w:rPr>
        <w:t>cert. denied</w:t>
      </w:r>
      <w:r w:rsidRPr="00E451F7">
        <w:t xml:space="preserve">, 93 </w:t>
      </w:r>
      <w:r w:rsidRPr="00E451F7">
        <w:t>S.Ct</w:t>
      </w:r>
      <w:r w:rsidRPr="00E451F7">
        <w:t>. 461 (1972)).</w:t>
      </w:r>
    </w:p>
  </w:footnote>
  <w:footnote w:id="10">
    <w:p w:rsidR="001B22F7" w:rsidRPr="00E451F7" w:rsidP="001846E6" w14:paraId="6557C971" w14:textId="77777777">
      <w:pPr>
        <w:pStyle w:val="FootnoteText"/>
      </w:pPr>
      <w:r w:rsidRPr="00E451F7">
        <w:rPr>
          <w:rStyle w:val="FootnoteReference"/>
        </w:rPr>
        <w:footnoteRef/>
      </w:r>
      <w:r w:rsidRPr="00E451F7">
        <w:t xml:space="preserve"> </w:t>
      </w:r>
      <w:r w:rsidRPr="00E451F7">
        <w:rPr>
          <w:i/>
        </w:rPr>
        <w:t>See Auction 903 Closing Public Notice</w:t>
      </w:r>
      <w:r w:rsidRPr="00E451F7">
        <w:t xml:space="preserve">, 33 FCC Rcd at 8268, para. 35 (citing </w:t>
      </w:r>
      <w:r w:rsidRPr="00E451F7">
        <w:rPr>
          <w:i/>
        </w:rPr>
        <w:t>Phase II Auction Order</w:t>
      </w:r>
      <w:r w:rsidRPr="00E451F7">
        <w:t xml:space="preserve">, 31 FCC Rcd at 6002-03, paras. 152-53).  </w:t>
      </w:r>
    </w:p>
  </w:footnote>
  <w:footnote w:id="11">
    <w:p w:rsidR="001B22F7" w:rsidRPr="00D83473" w14:paraId="221109B9" w14:textId="0BE1A5E9">
      <w:pPr>
        <w:pStyle w:val="FootnoteText"/>
      </w:pPr>
      <w:r w:rsidRPr="00D83473">
        <w:rPr>
          <w:rStyle w:val="FootnoteReference"/>
        </w:rPr>
        <w:footnoteRef/>
      </w:r>
      <w:r w:rsidRPr="00D83473">
        <w:t xml:space="preserve"> </w:t>
      </w:r>
      <w:bookmarkStart w:id="1" w:name="_Hlk26784446"/>
      <w:r w:rsidRPr="00D83473">
        <w:rPr>
          <w:i/>
        </w:rPr>
        <w:t>See</w:t>
      </w:r>
      <w:r w:rsidRPr="00D83473">
        <w:t xml:space="preserve"> </w:t>
      </w:r>
      <w:r>
        <w:t>Conexon</w:t>
      </w:r>
      <w:r>
        <w:t xml:space="preserve"> Opposition to Wisper ISP, Inc. Petition for Waiver of Deadline for ETC Designation, at 4-16 (filed June 12, 2019) (</w:t>
      </w:r>
      <w:r>
        <w:t>Conexon</w:t>
      </w:r>
      <w:r>
        <w:t xml:space="preserve"> Opposition)</w:t>
      </w:r>
      <w:bookmarkEnd w:id="1"/>
      <w:r>
        <w:t xml:space="preserve">; </w:t>
      </w:r>
      <w:r>
        <w:t>Conexon</w:t>
      </w:r>
      <w:r>
        <w:t xml:space="preserve"> Reply to Wisper’s Opposition of </w:t>
      </w:r>
      <w:r>
        <w:t>Conexon</w:t>
      </w:r>
      <w:r>
        <w:t>, LLC to Petition of Waiver of Deadline for ETC Designation, at 3-8 (filed Aug</w:t>
      </w:r>
      <w:r w:rsidR="00D92060">
        <w:t>.</w:t>
      </w:r>
      <w:r>
        <w:t xml:space="preserve"> 14, 2019) (</w:t>
      </w:r>
      <w:r>
        <w:t>Conexon</w:t>
      </w:r>
      <w:r>
        <w:t xml:space="preserve"> Reply).</w:t>
      </w:r>
    </w:p>
  </w:footnote>
  <w:footnote w:id="12">
    <w:p w:rsidR="001B22F7" w:rsidRPr="00BE6E93" w14:paraId="63357628" w14:textId="418B389C">
      <w:pPr>
        <w:pStyle w:val="FootnoteText"/>
      </w:pPr>
      <w:r>
        <w:rPr>
          <w:rStyle w:val="FootnoteReference"/>
        </w:rPr>
        <w:footnoteRef/>
      </w:r>
      <w:r>
        <w:t xml:space="preserve"> </w:t>
      </w:r>
      <w:r w:rsidRPr="00FA6F9A">
        <w:t>Conexon</w:t>
      </w:r>
      <w:r w:rsidRPr="00FA6F9A">
        <w:t xml:space="preserve"> Opposition at 5-6 (accusing Wisper </w:t>
      </w:r>
      <w:r>
        <w:t xml:space="preserve">of </w:t>
      </w:r>
      <w:r w:rsidRPr="00FA6F9A">
        <w:t>pursu</w:t>
      </w:r>
      <w:r>
        <w:t>ing</w:t>
      </w:r>
      <w:r w:rsidRPr="00FA6F9A">
        <w:t xml:space="preserve"> a strategy of delay and misrepresentation of its performance obligations</w:t>
      </w:r>
      <w:r>
        <w:t xml:space="preserve"> in the state proceeding</w:t>
      </w:r>
      <w:r w:rsidRPr="00FA6F9A">
        <w:t>); at 7 (noting Wisper received a rebuke from the OCC Administrative Law Judge during the state proceeding); at 8 (alleging Wisper deliberately chose to wait three months after the presumptive 30-day deadline</w:t>
      </w:r>
      <w:r w:rsidR="00B84670">
        <w:t xml:space="preserve"> to file</w:t>
      </w:r>
      <w:r w:rsidRPr="00FA6F9A">
        <w:t>); at 8-15 (</w:t>
      </w:r>
      <w:r>
        <w:t xml:space="preserve">disputing Wisper’s criticisms of </w:t>
      </w:r>
      <w:r>
        <w:t>Conexon’s</w:t>
      </w:r>
      <w:r>
        <w:t xml:space="preserve"> actions during the state proceeding); </w:t>
      </w:r>
      <w:r>
        <w:rPr>
          <w:i/>
        </w:rPr>
        <w:t xml:space="preserve">see also </w:t>
      </w:r>
      <w:r>
        <w:t>Conexon</w:t>
      </w:r>
      <w:r>
        <w:t xml:space="preserve"> Reply at 3-6.</w:t>
      </w:r>
    </w:p>
  </w:footnote>
  <w:footnote w:id="13">
    <w:p w:rsidR="001B22F7" w14:paraId="5F290654" w14:textId="65BEC92B">
      <w:pPr>
        <w:pStyle w:val="FootnoteText"/>
      </w:pPr>
      <w:r>
        <w:rPr>
          <w:rStyle w:val="FootnoteReference"/>
        </w:rPr>
        <w:footnoteRef/>
      </w:r>
      <w:r>
        <w:t xml:space="preserve"> </w:t>
      </w:r>
      <w:r>
        <w:rPr>
          <w:i/>
        </w:rPr>
        <w:t xml:space="preserve">See </w:t>
      </w:r>
      <w:r>
        <w:t>Conexon</w:t>
      </w:r>
      <w:r>
        <w:t xml:space="preserve"> Opposition </w:t>
      </w:r>
      <w:r w:rsidRPr="00E451F7">
        <w:t xml:space="preserve">at </w:t>
      </w:r>
      <w:r>
        <w:t xml:space="preserve">4-5 (citing </w:t>
      </w:r>
      <w:r>
        <w:rPr>
          <w:i/>
        </w:rPr>
        <w:t>C</w:t>
      </w:r>
      <w:r w:rsidRPr="00480B71">
        <w:rPr>
          <w:i/>
        </w:rPr>
        <w:t>onnect America Fund</w:t>
      </w:r>
      <w:r>
        <w:t xml:space="preserve">, </w:t>
      </w:r>
      <w:r w:rsidRPr="00480B71">
        <w:rPr>
          <w:i/>
        </w:rPr>
        <w:t>Rural Broadband Experiments</w:t>
      </w:r>
      <w:r w:rsidRPr="00480B71">
        <w:t>,</w:t>
      </w:r>
      <w:r>
        <w:t xml:space="preserve"> 31 FCC Rcd 853 (WCB 2016) (</w:t>
      </w:r>
      <w:r w:rsidRPr="00E93BA7">
        <w:t xml:space="preserve">finding Electric Power Board of Chattanooga did not provide </w:t>
      </w:r>
      <w:r>
        <w:t xml:space="preserve">evidence of good faith in support of its petition for waiver of the ETC deadline)), and </w:t>
      </w:r>
      <w:r w:rsidRPr="00E451F7">
        <w:t>15-16</w:t>
      </w:r>
      <w:r>
        <w:t xml:space="preserve"> (citing </w:t>
      </w:r>
      <w:r w:rsidRPr="004C4F15">
        <w:rPr>
          <w:i/>
        </w:rPr>
        <w:t>Wireline Competition Bureau Announces Rural Broadband Experiments Support for 13 Provisionally Selected Bids is Ready to Be Authorized</w:t>
      </w:r>
      <w:r>
        <w:t xml:space="preserve">, 30 FCC Rcd 5038, 5039 (WCB 2015) (finding </w:t>
      </w:r>
      <w:r>
        <w:t>Skybeam</w:t>
      </w:r>
      <w:r>
        <w:t xml:space="preserve"> acted in good faith by filing its ETC application within 14 days of being announced and the state scheduled a meeting to consider the application after the deadline).</w:t>
      </w:r>
    </w:p>
  </w:footnote>
  <w:footnote w:id="14">
    <w:p w:rsidR="001B22F7" w14:paraId="5B391950" w14:textId="6AA697BC">
      <w:pPr>
        <w:pStyle w:val="FootnoteText"/>
      </w:pPr>
      <w:r>
        <w:rPr>
          <w:rStyle w:val="FootnoteReference"/>
        </w:rPr>
        <w:footnoteRef/>
      </w:r>
      <w:r>
        <w:t xml:space="preserve"> </w:t>
      </w:r>
      <w:r w:rsidRPr="00E451F7">
        <w:rPr>
          <w:i/>
        </w:rPr>
        <w:t xml:space="preserve">See </w:t>
      </w:r>
      <w:r w:rsidR="009F38BD">
        <w:t xml:space="preserve">Wisper ISP, Inc. Supplement to </w:t>
      </w:r>
      <w:r w:rsidRPr="00C3327D" w:rsidR="009F38BD">
        <w:t>Petition for Waiver of the ETC Deadline</w:t>
      </w:r>
      <w:r w:rsidR="009F38BD">
        <w:t xml:space="preserve"> at 1-2 (filed Apr</w:t>
      </w:r>
      <w:r w:rsidR="00D92060">
        <w:t>.</w:t>
      </w:r>
      <w:r w:rsidR="009F38BD">
        <w:t xml:space="preserve"> 26, 2019); </w:t>
      </w:r>
      <w:r>
        <w:rPr>
          <w:i/>
        </w:rPr>
        <w:t>see also generally</w:t>
      </w:r>
      <w:r>
        <w:t>,</w:t>
      </w:r>
      <w:r>
        <w:rPr>
          <w:i/>
        </w:rPr>
        <w:t xml:space="preserve"> </w:t>
      </w:r>
      <w:r>
        <w:t xml:space="preserve">Reply of Wisper ISP, Inc., to Opposition of </w:t>
      </w:r>
      <w:r>
        <w:t>Conexon</w:t>
      </w:r>
      <w:r>
        <w:t>, LLC (filed June 26, 2019)</w:t>
      </w:r>
      <w:r w:rsidR="00B84670">
        <w:t>.</w:t>
      </w:r>
    </w:p>
  </w:footnote>
  <w:footnote w:id="15">
    <w:p w:rsidR="00801880" w:rsidP="00801880" w14:paraId="4F7E7D3B" w14:textId="77777777">
      <w:pPr>
        <w:pStyle w:val="FootnoteText"/>
      </w:pPr>
      <w:r>
        <w:rPr>
          <w:rStyle w:val="FootnoteReference"/>
        </w:rPr>
        <w:footnoteRef/>
      </w:r>
      <w:r>
        <w:t xml:space="preserve"> </w:t>
      </w:r>
      <w:r>
        <w:rPr>
          <w:i/>
        </w:rPr>
        <w:t xml:space="preserve">See also </w:t>
      </w:r>
      <w:r w:rsidRPr="00E451F7">
        <w:rPr>
          <w:i/>
        </w:rPr>
        <w:t>Telecommunications Carriers Eligible for Universal Service Support et al.</w:t>
      </w:r>
      <w:r w:rsidRPr="00E451F7">
        <w:t xml:space="preserve">, WC Docket No. 09-197, Order, </w:t>
      </w:r>
      <w:r w:rsidRPr="00F523AD">
        <w:rPr>
          <w:color w:val="1D2B3E"/>
        </w:rPr>
        <w:t>34 FCC Rcd 2934</w:t>
      </w:r>
      <w:r>
        <w:rPr>
          <w:color w:val="1D2B3E"/>
        </w:rPr>
        <w:t>, 2942-43</w:t>
      </w:r>
      <w:r w:rsidRPr="00E451F7">
        <w:t>, paras. 31-32 (WCB 2019)</w:t>
      </w:r>
      <w:r>
        <w:t xml:space="preserve"> (</w:t>
      </w:r>
      <w:r w:rsidRPr="00E451F7">
        <w:t xml:space="preserve">waiving the </w:t>
      </w:r>
      <w:r>
        <w:t xml:space="preserve">CAF II auction </w:t>
      </w:r>
      <w:r w:rsidRPr="00E451F7">
        <w:t>deadline for submitting proof of ETC designation</w:t>
      </w:r>
      <w:r>
        <w:t>, including for a petitioner that filed its applications days before the deadline)</w:t>
      </w:r>
      <w:r w:rsidRPr="00E451F7">
        <w:t xml:space="preserve">; </w:t>
      </w:r>
      <w:r w:rsidRPr="00E451F7">
        <w:rPr>
          <w:i/>
        </w:rPr>
        <w:t>Telecommunications Carriers Eligible for Universal Service Support et al.</w:t>
      </w:r>
      <w:r w:rsidRPr="00E451F7">
        <w:t xml:space="preserve">, WC Docket No. 09-197, Order, </w:t>
      </w:r>
      <w:r w:rsidRPr="00613A55">
        <w:rPr>
          <w:color w:val="1D2B3E"/>
        </w:rPr>
        <w:t>34 FCC Rcd 1966, 1974-75</w:t>
      </w:r>
      <w:r>
        <w:rPr>
          <w:color w:val="1D2B3E"/>
        </w:rPr>
        <w:t xml:space="preserve">, </w:t>
      </w:r>
      <w:r w:rsidRPr="00E451F7">
        <w:t xml:space="preserve">para. 31 (WCB 2019) (waiving the </w:t>
      </w:r>
      <w:r>
        <w:t xml:space="preserve">CAF II auction </w:t>
      </w:r>
      <w:r w:rsidRPr="00E451F7">
        <w:t>deadline for submitting proof of ETC designation</w:t>
      </w:r>
      <w:r>
        <w:t>, including for two petitioners that filed applications a month before the deadline</w:t>
      </w:r>
      <w:r w:rsidRPr="00E451F7">
        <w:t>)</w:t>
      </w:r>
      <w:r>
        <w:t>.</w:t>
      </w:r>
    </w:p>
  </w:footnote>
  <w:footnote w:id="16">
    <w:p w:rsidR="001B22F7" w14:paraId="02ABF70D" w14:textId="3A845334">
      <w:pPr>
        <w:pStyle w:val="FootnoteText"/>
      </w:pPr>
      <w:r>
        <w:rPr>
          <w:rStyle w:val="FootnoteReference"/>
        </w:rPr>
        <w:footnoteRef/>
      </w:r>
      <w:r>
        <w:t xml:space="preserve"> </w:t>
      </w:r>
      <w:r>
        <w:rPr>
          <w:i/>
        </w:rPr>
        <w:t>See C</w:t>
      </w:r>
      <w:r w:rsidRPr="004C4F15">
        <w:rPr>
          <w:i/>
        </w:rPr>
        <w:t>onnect America Fund</w:t>
      </w:r>
      <w:r>
        <w:t xml:space="preserve">, </w:t>
      </w:r>
      <w:r w:rsidRPr="004C4F15">
        <w:rPr>
          <w:i/>
        </w:rPr>
        <w:t>Rural Broadband Experiments</w:t>
      </w:r>
      <w:r w:rsidRPr="004C4F15">
        <w:t>,</w:t>
      </w:r>
      <w:r>
        <w:t xml:space="preserve"> 31 FCC Rcd 853 (WCB 2015) (denying petition for waiver due to no evidence of extraordinary circumstances or good faith efforts and finding petitioner in default).</w:t>
      </w:r>
    </w:p>
  </w:footnote>
  <w:footnote w:id="17">
    <w:p w:rsidR="001B22F7" w14:paraId="54D80688" w14:textId="6EFF13E7">
      <w:pPr>
        <w:pStyle w:val="FootnoteText"/>
      </w:pPr>
      <w:r>
        <w:rPr>
          <w:rStyle w:val="FootnoteReference"/>
        </w:rPr>
        <w:footnoteRef/>
      </w:r>
      <w:r>
        <w:t xml:space="preserve"> </w:t>
      </w:r>
      <w:r w:rsidRPr="00E451F7">
        <w:t>Conexon</w:t>
      </w:r>
      <w:r w:rsidRPr="00E451F7">
        <w:t xml:space="preserve"> urge</w:t>
      </w:r>
      <w:r>
        <w:t>s</w:t>
      </w:r>
      <w:r w:rsidRPr="00E451F7">
        <w:t xml:space="preserve"> the Commission to declare Wisper in default in Kansas because the ETC designation issued to Wisper was “premised on Wisper’s erroneous understatement of broadband speeds.”  </w:t>
      </w:r>
      <w:r>
        <w:t>Conexon</w:t>
      </w:r>
      <w:r>
        <w:t xml:space="preserve"> Opposition </w:t>
      </w:r>
      <w:r w:rsidRPr="00C3327D">
        <w:t>at 17-18</w:t>
      </w:r>
      <w:r>
        <w:t xml:space="preserve">.  Kansas subsequently issued a corrected designation order, </w:t>
      </w:r>
      <w:r w:rsidRPr="00253657">
        <w:t xml:space="preserve">which Wisper submitted </w:t>
      </w:r>
      <w:r w:rsidRPr="00253657" w:rsidR="00C16609">
        <w:t xml:space="preserve">to the FCC </w:t>
      </w:r>
      <w:r w:rsidRPr="00253657">
        <w:t xml:space="preserve">prior to being found ready to authorize, properly stating </w:t>
      </w:r>
      <w:r w:rsidRPr="00253657" w:rsidR="00C16609">
        <w:t>Wisper’s</w:t>
      </w:r>
      <w:r w:rsidRPr="00253657">
        <w:t xml:space="preserve"> obligation to offer 100/20 Mbps as opposed to 25/3 Mbps.</w:t>
      </w:r>
      <w:r w:rsidR="00C16609">
        <w:t xml:space="preserve">  </w:t>
      </w:r>
      <w:r w:rsidRPr="00E451F7" w:rsidR="00C16609">
        <w:rPr>
          <w:i/>
        </w:rPr>
        <w:t>See</w:t>
      </w:r>
      <w:r w:rsidRPr="00E451F7" w:rsidR="00C16609">
        <w:t xml:space="preserve"> 47 CFR § 54.315(b)(6)(iii)</w:t>
      </w:r>
      <w:r w:rsidR="00C16609">
        <w:t xml:space="preserve"> (</w:t>
      </w:r>
      <w:r w:rsidRPr="00E451F7" w:rsidR="00C16609">
        <w:rPr>
          <w:snapToGrid w:val="0"/>
          <w:color w:val="333333"/>
          <w:kern w:val="28"/>
          <w:shd w:val="clear" w:color="auto" w:fill="FFFFFF"/>
        </w:rPr>
        <w:t>“</w:t>
      </w:r>
      <w:r w:rsidRPr="00E451F7" w:rsidR="00C16609">
        <w:t>An applicant may be afforded an opportunity to make minor modifications to amend its application or correct defects noted by the applicant, the Commission, the Administrator, or other parties.”</w:t>
      </w:r>
      <w:r w:rsidR="00C16609">
        <w:t>).</w:t>
      </w:r>
    </w:p>
  </w:footnote>
  <w:footnote w:id="18">
    <w:p w:rsidR="001B22F7" w14:paraId="7C34C769" w14:textId="1A82D6F1">
      <w:pPr>
        <w:pStyle w:val="FootnoteText"/>
      </w:pPr>
      <w:r>
        <w:rPr>
          <w:rStyle w:val="FootnoteReference"/>
        </w:rPr>
        <w:footnoteRef/>
      </w:r>
      <w:r>
        <w:t xml:space="preserve"> </w:t>
      </w:r>
      <w:r>
        <w:t>Conexon</w:t>
      </w:r>
      <w:r>
        <w:t xml:space="preserve"> </w:t>
      </w:r>
      <w:r w:rsidRPr="00F523AD">
        <w:t>notes it has filed an appeal with the Missouri Court of Appeals raising various procedural and substantive issues related to the Missouri Public Service Commission</w:t>
      </w:r>
      <w:r>
        <w:t>’</w:t>
      </w:r>
      <w:r w:rsidRPr="00F523AD">
        <w:t xml:space="preserve">s grant of ETC status to Wisper, but the state’s jurisdiction does not appear to be in </w:t>
      </w:r>
      <w:r w:rsidRPr="00F523AD">
        <w:t>dispute</w:t>
      </w:r>
      <w:r w:rsidRPr="00F523AD">
        <w:t xml:space="preserve"> nor does there appear to be any stay of the ETC designation.  </w:t>
      </w:r>
      <w:r w:rsidRPr="00F523AD">
        <w:t>Conexon</w:t>
      </w:r>
      <w:r w:rsidRPr="00F523AD">
        <w:t xml:space="preserve"> Opposition at 18</w:t>
      </w:r>
      <w:r>
        <w:t xml:space="preserve">; </w:t>
      </w:r>
      <w:r w:rsidRPr="0013351E">
        <w:rPr>
          <w:i/>
        </w:rPr>
        <w:t xml:space="preserve">see also </w:t>
      </w:r>
      <w:r w:rsidRPr="00606C94">
        <w:t>47 U.S.C. § 214(e)(2).</w:t>
      </w:r>
    </w:p>
  </w:footnote>
  <w:footnote w:id="19">
    <w:p w:rsidR="001B22F7" w14:paraId="5155EA7B" w14:textId="0C2385B6">
      <w:pPr>
        <w:pStyle w:val="FootnoteText"/>
      </w:pPr>
      <w:r>
        <w:rPr>
          <w:rStyle w:val="FootnoteReference"/>
        </w:rPr>
        <w:footnoteRef/>
      </w:r>
      <w:r>
        <w:t xml:space="preserve"> </w:t>
      </w:r>
      <w:r w:rsidRPr="006440ED">
        <w:t xml:space="preserve">Westfield Gas &amp; Electric Light Department is included in both Attachments A and B because it has decided to pursue all but one of its bids in </w:t>
      </w:r>
      <w:r>
        <w:t>Massachusetts</w:t>
      </w:r>
      <w:r w:rsidRPr="006440ED">
        <w:t>.</w:t>
      </w:r>
    </w:p>
  </w:footnote>
  <w:footnote w:id="20">
    <w:p w:rsidR="001B22F7" w:rsidRPr="00606C94" w:rsidP="001B2008" w14:paraId="6B30D700" w14:textId="5066F5BF">
      <w:pPr>
        <w:pStyle w:val="FootnoteText"/>
      </w:pPr>
      <w:r w:rsidRPr="00606C94">
        <w:rPr>
          <w:rStyle w:val="FootnoteReference"/>
        </w:rPr>
        <w:footnoteRef/>
      </w:r>
      <w:r w:rsidRPr="00606C94">
        <w:t xml:space="preserve"> </w:t>
      </w:r>
      <w:r w:rsidRPr="00606C94">
        <w:rPr>
          <w:i/>
        </w:rPr>
        <w:t xml:space="preserve">Phase II Auction Order, </w:t>
      </w:r>
      <w:r w:rsidRPr="00606C94">
        <w:t xml:space="preserve">31 FCC Rcd at 5984-85, 6016-94, paras. 104-05, 189-94.  </w:t>
      </w:r>
    </w:p>
  </w:footnote>
  <w:footnote w:id="21">
    <w:p w:rsidR="001B22F7" w:rsidRPr="00606C94" w:rsidP="001B2008" w14:paraId="4BB4FE81" w14:textId="7DBE6D1B">
      <w:pPr>
        <w:pStyle w:val="FootnoteText"/>
      </w:pPr>
      <w:r w:rsidRPr="00606C94">
        <w:rPr>
          <w:rStyle w:val="FootnoteReference"/>
        </w:rPr>
        <w:footnoteRef/>
      </w:r>
      <w:r w:rsidRPr="00606C94">
        <w:t xml:space="preserve"> </w:t>
      </w:r>
      <w:r w:rsidRPr="00606C94">
        <w:rPr>
          <w:i/>
        </w:rPr>
        <w:t xml:space="preserve">Id. </w:t>
      </w:r>
      <w:r w:rsidRPr="00606C94">
        <w:t xml:space="preserve">at 6000, para. 143; </w:t>
      </w:r>
      <w:r w:rsidRPr="00606C94">
        <w:rPr>
          <w:i/>
        </w:rPr>
        <w:t>Auction 903 Procedures Public Notice</w:t>
      </w:r>
      <w:r w:rsidRPr="00606C94">
        <w:t>, 33 FCC Rcd at 1521, para. 315.</w:t>
      </w:r>
    </w:p>
  </w:footnote>
  <w:footnote w:id="22">
    <w:p w:rsidR="001B22F7" w:rsidRPr="00606C94" w:rsidP="001B2008" w14:paraId="79947D17" w14:textId="77777777">
      <w:pPr>
        <w:pStyle w:val="FootnoteText"/>
      </w:pPr>
      <w:r w:rsidRPr="00606C94">
        <w:rPr>
          <w:rStyle w:val="FootnoteReference"/>
          <w:sz w:val="20"/>
        </w:rPr>
        <w:footnoteRef/>
      </w:r>
      <w:r w:rsidRPr="00606C94">
        <w:t xml:space="preserve"> </w:t>
      </w:r>
      <w:r w:rsidRPr="00606C94">
        <w:rPr>
          <w:i/>
        </w:rPr>
        <w:t>Phase II Auction Order</w:t>
      </w:r>
      <w:r w:rsidRPr="00606C94">
        <w:t xml:space="preserve">, 31 FCC Rcd at 6000-01, para. 144; </w:t>
      </w:r>
      <w:r w:rsidRPr="00606C94">
        <w:rPr>
          <w:i/>
        </w:rPr>
        <w:t>Auction 903 Procedures Public Notice</w:t>
      </w:r>
      <w:r w:rsidRPr="00606C94">
        <w:t>, 33 FCC Rcd at 1521, para. 315.  This would occur in situations where the dollar amount associated with the bid is low.  For example, assume Bidder A’s winning bid includes 100 CBGs for $100,000 over the 10-year support term.  We may impose a base forfeiture of $5,000 (5 percent of $100,000) because otherwise the base forfeiture would be $300,000 ($3,000 x 100 CBGs), which is three times the entire bid amount.  In contrast, if Bidder B’s winning bid includes 100 CBGs for $7,000,000 over the support term, we may impose a base forfeiture of $300,000 ($3,000 x 100 CBGs), which is 4.3 percent of the total bid.</w:t>
      </w:r>
    </w:p>
  </w:footnote>
  <w:footnote w:id="23">
    <w:p w:rsidR="001B22F7" w:rsidRPr="00606C94" w:rsidP="001B2008" w14:paraId="508FE094" w14:textId="77777777">
      <w:pPr>
        <w:pStyle w:val="FootnoteText"/>
      </w:pPr>
      <w:r w:rsidRPr="00606C94">
        <w:rPr>
          <w:rStyle w:val="FootnoteReference"/>
          <w:sz w:val="20"/>
        </w:rPr>
        <w:footnoteRef/>
      </w:r>
      <w:r w:rsidRPr="00606C94">
        <w:t xml:space="preserve"> </w:t>
      </w:r>
      <w:r w:rsidRPr="00606C94">
        <w:rPr>
          <w:i/>
        </w:rPr>
        <w:t>See</w:t>
      </w:r>
      <w:r w:rsidRPr="00606C94">
        <w:t xml:space="preserve"> 47 U.S.C. § 503(b)(2)(B); 47 CFR § 1.80(b)(8), note to paragraph (b)(8); </w:t>
      </w:r>
      <w:r w:rsidRPr="00606C94">
        <w:rPr>
          <w:i/>
        </w:rPr>
        <w:t>Phase II Auction Order</w:t>
      </w:r>
      <w:r w:rsidRPr="00606C94">
        <w:t xml:space="preserve">, 31 FCC Rcd at 6000-01, para. 143; </w:t>
      </w:r>
      <w:r w:rsidRPr="00606C94">
        <w:rPr>
          <w:i/>
        </w:rPr>
        <w:t>Auction 903 Procedures Public Notice</w:t>
      </w:r>
      <w:r w:rsidRPr="00606C94">
        <w:t>, 33 FCC Rcd at 1521, para. 315.</w:t>
      </w:r>
    </w:p>
  </w:footnote>
  <w:footnote w:id="24">
    <w:p w:rsidR="001B22F7" w:rsidP="001B2008" w14:paraId="3AA7661B" w14:textId="77777777">
      <w:pPr>
        <w:pStyle w:val="FootnoteText"/>
      </w:pPr>
      <w:r w:rsidRPr="00606C94">
        <w:rPr>
          <w:rStyle w:val="FootnoteReference"/>
        </w:rPr>
        <w:footnoteRef/>
      </w:r>
      <w:r w:rsidRPr="00606C94">
        <w:t xml:space="preserve"> </w:t>
      </w:r>
      <w:r w:rsidRPr="00606C94">
        <w:rPr>
          <w:i/>
        </w:rPr>
        <w:t>Phase II Auction Order</w:t>
      </w:r>
      <w:r w:rsidRPr="00606C94">
        <w:t xml:space="preserve">, 31 FCC Rcd at 6000, para. 144; </w:t>
      </w:r>
      <w:r w:rsidRPr="00606C94">
        <w:rPr>
          <w:i/>
        </w:rPr>
        <w:t>Auction 903 Procedures Public Notice</w:t>
      </w:r>
      <w:r w:rsidRPr="00606C94">
        <w:t>, 33 FCC Rcd at 1521, para. 315.</w:t>
      </w:r>
    </w:p>
  </w:footnote>
  <w:footnote w:id="25">
    <w:p w:rsidR="001B22F7" w:rsidRPr="004A4861" w:rsidP="00752277" w14:paraId="19E89CB2" w14:textId="7559A593">
      <w:pPr>
        <w:pStyle w:val="FootnoteText"/>
      </w:pPr>
      <w:r w:rsidRPr="004C60A9">
        <w:rPr>
          <w:rStyle w:val="FootnoteReference"/>
        </w:rPr>
        <w:footnoteRef/>
      </w:r>
      <w:r>
        <w:t xml:space="preserve"> </w:t>
      </w:r>
      <w:r>
        <w:rPr>
          <w:i/>
        </w:rPr>
        <w:t>Phase II Auction Order</w:t>
      </w:r>
      <w:r w:rsidRPr="00010B65">
        <w:t xml:space="preserve">, 31 FCC Rcd </w:t>
      </w:r>
      <w:r>
        <w:t>at</w:t>
      </w:r>
      <w:r w:rsidRPr="008A5853">
        <w:t xml:space="preserve"> 6045-49, App. B</w:t>
      </w:r>
      <w:r w:rsidRPr="004C60A9">
        <w:t>.</w:t>
      </w:r>
    </w:p>
  </w:footnote>
  <w:footnote w:id="26">
    <w:p w:rsidR="001B22F7" w:rsidRPr="004C60A9" w:rsidP="00752277" w14:paraId="0BD00C12"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27">
    <w:p w:rsidR="001B22F7" w:rsidP="00752277" w14:paraId="476BB2E1" w14:textId="77777777">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28">
    <w:p w:rsidR="001B22F7" w:rsidP="00752277" w14:paraId="09BA3F41" w14:textId="77777777">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Rcd </w:t>
      </w:r>
      <w:r>
        <w:t>1380, 1405, para. 64</w:t>
      </w:r>
      <w:r w:rsidRPr="008D6745">
        <w:t xml:space="preserve">; </w:t>
      </w:r>
      <w:r w:rsidRPr="008D6745">
        <w:rPr>
          <w:i/>
        </w:rPr>
        <w:t>Phase II Auction Order</w:t>
      </w:r>
      <w:r w:rsidRPr="008D6745">
        <w:t>, 31 FCC Rcd at 5997-98, para. 136.</w:t>
      </w:r>
    </w:p>
  </w:footnote>
  <w:footnote w:id="29">
    <w:p w:rsidR="001B22F7" w:rsidRPr="008D6745" w:rsidP="00752277" w14:paraId="4919481A" w14:textId="77777777">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n.242.</w:t>
      </w:r>
    </w:p>
  </w:footnote>
  <w:footnote w:id="30">
    <w:p w:rsidR="001B22F7" w:rsidRPr="004C60A9" w:rsidP="00752277" w14:paraId="69EFDCB8" w14:textId="5535F891">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sidRPr="00010B65">
        <w:rPr>
          <w:i/>
        </w:rPr>
        <w:t xml:space="preserve">Auction 903 Procedures Public </w:t>
      </w:r>
      <w:r w:rsidRPr="00EF1DD9">
        <w:rPr>
          <w:i/>
        </w:rPr>
        <w:t>Notice</w:t>
      </w:r>
      <w:r>
        <w:t xml:space="preserve">, </w:t>
      </w:r>
      <w:r w:rsidRPr="00010B65">
        <w:t xml:space="preserve">33 FCC Rcd </w:t>
      </w:r>
      <w:r>
        <w:t>at 1520, para. 313.</w:t>
      </w:r>
    </w:p>
  </w:footnote>
  <w:footnote w:id="31">
    <w:p w:rsidR="001B22F7" w:rsidP="00752277" w14:paraId="31F35F6D" w14:textId="77777777">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32">
    <w:p w:rsidR="001B22F7" w:rsidP="00752277" w14:paraId="60A0B79B"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33">
    <w:p w:rsidR="001B22F7" w:rsidRPr="004C60A9" w:rsidP="00752277" w14:paraId="10B09B70" w14:textId="777777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34">
    <w:p w:rsidR="001B22F7" w:rsidRPr="009F36E4" w:rsidP="00752277" w14:paraId="6247E144" w14:textId="77777777">
      <w:pPr>
        <w:pStyle w:val="FootnoteText"/>
      </w:pPr>
      <w:r>
        <w:rPr>
          <w:rStyle w:val="FootnoteReference"/>
        </w:rPr>
        <w:footnoteRef/>
      </w:r>
      <w:r>
        <w:t xml:space="preserve"> </w:t>
      </w:r>
      <w:r w:rsidRPr="00357F33">
        <w:rPr>
          <w:i/>
        </w:rPr>
        <w:t>Phase II Auction Order</w:t>
      </w:r>
      <w:r>
        <w:t xml:space="preserve">, 31 FCC Rcd at 6000-01, paras. 143-45; </w:t>
      </w:r>
      <w:r w:rsidRPr="00010B65">
        <w:rPr>
          <w:i/>
        </w:rPr>
        <w:t>Auction 903 Procedures Public Notice</w:t>
      </w:r>
      <w:r>
        <w:t>, 33 FCC Rcd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6949D568" w14:textId="63BEDB12">
    <w:pPr>
      <w:tabs>
        <w:tab w:val="center" w:pos="4680"/>
        <w:tab w:val="right" w:pos="9360"/>
      </w:tabs>
    </w:pPr>
    <w:r w:rsidRPr="009838BC">
      <w:rPr>
        <w:b/>
      </w:rPr>
      <w:tab/>
      <w:t>Federal Communications Commission</w:t>
    </w:r>
    <w:r w:rsidRPr="009838BC">
      <w:rPr>
        <w:b/>
      </w:rPr>
      <w:tab/>
    </w:r>
    <w:r>
      <w:rPr>
        <w:b/>
      </w:rPr>
      <w:t>DA 19-</w:t>
    </w:r>
    <w:r w:rsidR="00F84C23">
      <w:rPr>
        <w:b/>
      </w:rPr>
      <w:t>1309</w:t>
    </w:r>
  </w:p>
  <w:p w:rsidR="001B22F7" w:rsidRPr="009838BC" w:rsidP="009838BC" w14:paraId="508CD9B0"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1B22F7" w:rsidRPr="009838BC" w:rsidP="009838BC" w14:paraId="468805C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3970955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1B22F7" w:rsidP="009838BC" w14:paraId="201ECE08" w14:textId="77777777">
                <w:pPr>
                  <w:rPr>
                    <w:rFonts w:ascii="Arial" w:hAnsi="Arial"/>
                    <w:b/>
                  </w:rPr>
                </w:pPr>
                <w:r>
                  <w:rPr>
                    <w:rFonts w:ascii="Arial" w:hAnsi="Arial"/>
                    <w:b/>
                  </w:rPr>
                  <w:t>Federal Communications Commission</w:t>
                </w:r>
              </w:p>
              <w:p w:rsidR="001B22F7" w:rsidP="009838BC" w14:paraId="58D2CF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paraId="2A800B8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59264" o:allowincell="f">
          <v:imagedata r:id="rId1" o:title="fcc_logo"/>
          <w10:wrap type="topAndBottom"/>
        </v:shape>
      </w:pict>
    </w:r>
    <w:r w:rsidRPr="00A866AC">
      <w:rPr>
        <w:rFonts w:ascii="Arial" w:hAnsi="Arial" w:cs="Arial"/>
        <w:b/>
        <w:sz w:val="96"/>
      </w:rPr>
      <w:t>PUBLIC NOTICE</w:t>
    </w:r>
  </w:p>
  <w:p w:rsidR="001B22F7" w:rsidRPr="00357D50" w:rsidP="009838BC" w14:paraId="2F1D82BF" w14:textId="77777777">
    <w:pPr>
      <w:spacing w:before="40"/>
      <w:rPr>
        <w:rFonts w:ascii="Arial" w:hAnsi="Arial" w:cs="Arial"/>
        <w:b/>
        <w:sz w:val="96"/>
      </w:rPr>
    </w:pPr>
    <w:r>
      <w:rPr>
        <w:noProof/>
      </w:rPr>
      <w:pict>
        <v:line 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0288" from="26269.6pt,56.7pt" to="26737.6pt,56.7pt" o:allowincell="f">
          <w10:wrap anchorx="margin"/>
        </v:line>
      </w:pict>
    </w:r>
    <w:r>
      <w:rPr>
        <w:noProof/>
      </w:rPr>
      <w:pict>
        <v:shape 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1B22F7" w:rsidP="009838BC" w14:paraId="6F0B3E6F" w14:textId="77777777">
                <w:pPr>
                  <w:spacing w:before="40"/>
                  <w:jc w:val="right"/>
                  <w:rPr>
                    <w:rFonts w:ascii="Arial" w:hAnsi="Arial"/>
                    <w:b/>
                    <w:sz w:val="16"/>
                  </w:rPr>
                </w:pPr>
                <w:r>
                  <w:rPr>
                    <w:rFonts w:ascii="Arial" w:hAnsi="Arial"/>
                    <w:b/>
                    <w:sz w:val="16"/>
                  </w:rPr>
                  <w:t>News Media Information 202 / 418-0500</w:t>
                </w:r>
              </w:p>
              <w:p w:rsidR="001B22F7" w:rsidP="009838BC" w14:paraId="1D671C0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838BC" w14:paraId="17AA8A51" w14:textId="77777777">
                <w:pPr>
                  <w:jc w:val="right"/>
                </w:pPr>
                <w:r>
                  <w:rPr>
                    <w:rFonts w:ascii="Arial" w:hAnsi="Arial"/>
                    <w:b/>
                    <w:sz w:val="16"/>
                  </w:rPr>
                  <w:t>TTY: 1-888-835-5322</w:t>
                </w:r>
              </w:p>
            </w:txbxContent>
          </v:textbox>
        </v:shape>
      </w:pict>
    </w:r>
  </w:p>
  <w:p w:rsidR="001B22F7" w:rsidRPr="009838BC" w:rsidP="009838BC" w14:paraId="1A2D9AF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77"/>
    <w:rsid w:val="00000F46"/>
    <w:rsid w:val="000072CE"/>
    <w:rsid w:val="0001069B"/>
    <w:rsid w:val="00010B65"/>
    <w:rsid w:val="000134C7"/>
    <w:rsid w:val="00013A8B"/>
    <w:rsid w:val="0001745E"/>
    <w:rsid w:val="0001767B"/>
    <w:rsid w:val="00017E99"/>
    <w:rsid w:val="00021445"/>
    <w:rsid w:val="00036039"/>
    <w:rsid w:val="00037F90"/>
    <w:rsid w:val="0004316B"/>
    <w:rsid w:val="000506A7"/>
    <w:rsid w:val="00053374"/>
    <w:rsid w:val="000579AA"/>
    <w:rsid w:val="00062870"/>
    <w:rsid w:val="0008552B"/>
    <w:rsid w:val="000875BF"/>
    <w:rsid w:val="000876CF"/>
    <w:rsid w:val="00096D8C"/>
    <w:rsid w:val="000A1833"/>
    <w:rsid w:val="000A4E0F"/>
    <w:rsid w:val="000A5A0E"/>
    <w:rsid w:val="000B3C99"/>
    <w:rsid w:val="000C0B65"/>
    <w:rsid w:val="000D1342"/>
    <w:rsid w:val="000E3D42"/>
    <w:rsid w:val="000E5884"/>
    <w:rsid w:val="000F23D9"/>
    <w:rsid w:val="000F5064"/>
    <w:rsid w:val="000F5FAC"/>
    <w:rsid w:val="00103BF7"/>
    <w:rsid w:val="0011502C"/>
    <w:rsid w:val="001164CB"/>
    <w:rsid w:val="00120BA7"/>
    <w:rsid w:val="00121B39"/>
    <w:rsid w:val="00122BD5"/>
    <w:rsid w:val="0013351E"/>
    <w:rsid w:val="0013514B"/>
    <w:rsid w:val="0013723D"/>
    <w:rsid w:val="001375FE"/>
    <w:rsid w:val="00146FAC"/>
    <w:rsid w:val="001475FA"/>
    <w:rsid w:val="00151F76"/>
    <w:rsid w:val="00153387"/>
    <w:rsid w:val="001538B9"/>
    <w:rsid w:val="001551B1"/>
    <w:rsid w:val="001552DF"/>
    <w:rsid w:val="001630E2"/>
    <w:rsid w:val="001636BF"/>
    <w:rsid w:val="00164EFB"/>
    <w:rsid w:val="00165CC9"/>
    <w:rsid w:val="0017246B"/>
    <w:rsid w:val="001804C1"/>
    <w:rsid w:val="001846E6"/>
    <w:rsid w:val="001979D9"/>
    <w:rsid w:val="001A0C8A"/>
    <w:rsid w:val="001A2155"/>
    <w:rsid w:val="001A31E2"/>
    <w:rsid w:val="001A704E"/>
    <w:rsid w:val="001A73AC"/>
    <w:rsid w:val="001A7C5C"/>
    <w:rsid w:val="001B2008"/>
    <w:rsid w:val="001B22F7"/>
    <w:rsid w:val="001B36D6"/>
    <w:rsid w:val="001C0570"/>
    <w:rsid w:val="001C730A"/>
    <w:rsid w:val="001D1D23"/>
    <w:rsid w:val="001D1DD1"/>
    <w:rsid w:val="001D6355"/>
    <w:rsid w:val="001D6BCF"/>
    <w:rsid w:val="001D6C23"/>
    <w:rsid w:val="001E01CA"/>
    <w:rsid w:val="001E1BFF"/>
    <w:rsid w:val="001F4EE0"/>
    <w:rsid w:val="001F6063"/>
    <w:rsid w:val="002060D9"/>
    <w:rsid w:val="00212ECB"/>
    <w:rsid w:val="0022120C"/>
    <w:rsid w:val="00223EB4"/>
    <w:rsid w:val="00226822"/>
    <w:rsid w:val="00235447"/>
    <w:rsid w:val="0025092D"/>
    <w:rsid w:val="00253657"/>
    <w:rsid w:val="002542A2"/>
    <w:rsid w:val="00260594"/>
    <w:rsid w:val="002709AF"/>
    <w:rsid w:val="002727C1"/>
    <w:rsid w:val="002732A4"/>
    <w:rsid w:val="00285017"/>
    <w:rsid w:val="00285E90"/>
    <w:rsid w:val="00290FC3"/>
    <w:rsid w:val="00292DB3"/>
    <w:rsid w:val="00296267"/>
    <w:rsid w:val="002962D2"/>
    <w:rsid w:val="002A2D2E"/>
    <w:rsid w:val="002A7AE5"/>
    <w:rsid w:val="002C0694"/>
    <w:rsid w:val="002E2FD4"/>
    <w:rsid w:val="002E7D56"/>
    <w:rsid w:val="002F31AB"/>
    <w:rsid w:val="002F3808"/>
    <w:rsid w:val="00303262"/>
    <w:rsid w:val="00305BB1"/>
    <w:rsid w:val="003128F9"/>
    <w:rsid w:val="00314AAD"/>
    <w:rsid w:val="00315BD2"/>
    <w:rsid w:val="00317B23"/>
    <w:rsid w:val="00321DA5"/>
    <w:rsid w:val="0032346E"/>
    <w:rsid w:val="00325708"/>
    <w:rsid w:val="003341E2"/>
    <w:rsid w:val="003362B7"/>
    <w:rsid w:val="00341136"/>
    <w:rsid w:val="00343749"/>
    <w:rsid w:val="00354222"/>
    <w:rsid w:val="00357D50"/>
    <w:rsid w:val="00357F33"/>
    <w:rsid w:val="00362039"/>
    <w:rsid w:val="003752B9"/>
    <w:rsid w:val="003769C7"/>
    <w:rsid w:val="00381DCB"/>
    <w:rsid w:val="0038716E"/>
    <w:rsid w:val="003925DC"/>
    <w:rsid w:val="00392B74"/>
    <w:rsid w:val="00392C9F"/>
    <w:rsid w:val="003A0189"/>
    <w:rsid w:val="003B0550"/>
    <w:rsid w:val="003B694F"/>
    <w:rsid w:val="003D2F9E"/>
    <w:rsid w:val="003F171C"/>
    <w:rsid w:val="003F341F"/>
    <w:rsid w:val="003F5548"/>
    <w:rsid w:val="00401518"/>
    <w:rsid w:val="00403FAA"/>
    <w:rsid w:val="0040422C"/>
    <w:rsid w:val="00412FC5"/>
    <w:rsid w:val="0041485C"/>
    <w:rsid w:val="00420204"/>
    <w:rsid w:val="00421C83"/>
    <w:rsid w:val="00422276"/>
    <w:rsid w:val="004242F1"/>
    <w:rsid w:val="00424B3E"/>
    <w:rsid w:val="00424FBE"/>
    <w:rsid w:val="0044449D"/>
    <w:rsid w:val="00445A00"/>
    <w:rsid w:val="00451279"/>
    <w:rsid w:val="00451B0F"/>
    <w:rsid w:val="004562AA"/>
    <w:rsid w:val="0046125F"/>
    <w:rsid w:val="004807BF"/>
    <w:rsid w:val="00480B71"/>
    <w:rsid w:val="00484C00"/>
    <w:rsid w:val="00487524"/>
    <w:rsid w:val="00496106"/>
    <w:rsid w:val="004A095A"/>
    <w:rsid w:val="004A3889"/>
    <w:rsid w:val="004A4861"/>
    <w:rsid w:val="004A52D2"/>
    <w:rsid w:val="004A5B92"/>
    <w:rsid w:val="004B12E0"/>
    <w:rsid w:val="004C0B06"/>
    <w:rsid w:val="004C12D0"/>
    <w:rsid w:val="004C28B9"/>
    <w:rsid w:val="004C2EE3"/>
    <w:rsid w:val="004C3048"/>
    <w:rsid w:val="004C3621"/>
    <w:rsid w:val="004C4F15"/>
    <w:rsid w:val="004C60A9"/>
    <w:rsid w:val="004D4677"/>
    <w:rsid w:val="004D5605"/>
    <w:rsid w:val="004E4A22"/>
    <w:rsid w:val="004E6805"/>
    <w:rsid w:val="004F4CFA"/>
    <w:rsid w:val="004F79FF"/>
    <w:rsid w:val="00511968"/>
    <w:rsid w:val="005126DB"/>
    <w:rsid w:val="00514246"/>
    <w:rsid w:val="00523A31"/>
    <w:rsid w:val="00523BA7"/>
    <w:rsid w:val="0053067E"/>
    <w:rsid w:val="00540640"/>
    <w:rsid w:val="00547AC5"/>
    <w:rsid w:val="00552998"/>
    <w:rsid w:val="0055614C"/>
    <w:rsid w:val="005579A5"/>
    <w:rsid w:val="005628F8"/>
    <w:rsid w:val="00563BD0"/>
    <w:rsid w:val="00566314"/>
    <w:rsid w:val="00566B4C"/>
    <w:rsid w:val="00567DF6"/>
    <w:rsid w:val="005701B1"/>
    <w:rsid w:val="00572F4B"/>
    <w:rsid w:val="005732C6"/>
    <w:rsid w:val="00576D33"/>
    <w:rsid w:val="00577AB6"/>
    <w:rsid w:val="005823A1"/>
    <w:rsid w:val="005839AF"/>
    <w:rsid w:val="005901A7"/>
    <w:rsid w:val="0059370B"/>
    <w:rsid w:val="00593DB1"/>
    <w:rsid w:val="0059540A"/>
    <w:rsid w:val="005A3F47"/>
    <w:rsid w:val="005B12BC"/>
    <w:rsid w:val="005B4256"/>
    <w:rsid w:val="005B5101"/>
    <w:rsid w:val="005B6609"/>
    <w:rsid w:val="005B6728"/>
    <w:rsid w:val="005C029A"/>
    <w:rsid w:val="005C158C"/>
    <w:rsid w:val="005C2F9E"/>
    <w:rsid w:val="005C5919"/>
    <w:rsid w:val="005C5C9A"/>
    <w:rsid w:val="005D24C6"/>
    <w:rsid w:val="005D3146"/>
    <w:rsid w:val="005D7331"/>
    <w:rsid w:val="005E1BB6"/>
    <w:rsid w:val="005F20C1"/>
    <w:rsid w:val="005F2B80"/>
    <w:rsid w:val="005F3D3F"/>
    <w:rsid w:val="00601C03"/>
    <w:rsid w:val="00602439"/>
    <w:rsid w:val="00604FB7"/>
    <w:rsid w:val="006058D0"/>
    <w:rsid w:val="00606513"/>
    <w:rsid w:val="00606C94"/>
    <w:rsid w:val="00607BA5"/>
    <w:rsid w:val="006127D0"/>
    <w:rsid w:val="00613A55"/>
    <w:rsid w:val="00616A1E"/>
    <w:rsid w:val="00616DF1"/>
    <w:rsid w:val="006203FB"/>
    <w:rsid w:val="00620D0C"/>
    <w:rsid w:val="0062289E"/>
    <w:rsid w:val="00625BD4"/>
    <w:rsid w:val="00626EB6"/>
    <w:rsid w:val="006353A3"/>
    <w:rsid w:val="006363DF"/>
    <w:rsid w:val="00637246"/>
    <w:rsid w:val="00640A72"/>
    <w:rsid w:val="00640D5D"/>
    <w:rsid w:val="00641551"/>
    <w:rsid w:val="006440ED"/>
    <w:rsid w:val="0064525B"/>
    <w:rsid w:val="00647161"/>
    <w:rsid w:val="00653644"/>
    <w:rsid w:val="00655D03"/>
    <w:rsid w:val="006731DE"/>
    <w:rsid w:val="00680C26"/>
    <w:rsid w:val="00683F84"/>
    <w:rsid w:val="00684C78"/>
    <w:rsid w:val="00690BDC"/>
    <w:rsid w:val="00691669"/>
    <w:rsid w:val="006919FC"/>
    <w:rsid w:val="0069499D"/>
    <w:rsid w:val="006A2933"/>
    <w:rsid w:val="006A49CF"/>
    <w:rsid w:val="006A5D4B"/>
    <w:rsid w:val="006A6A81"/>
    <w:rsid w:val="006A7476"/>
    <w:rsid w:val="006B1A44"/>
    <w:rsid w:val="006B340E"/>
    <w:rsid w:val="006C4557"/>
    <w:rsid w:val="006D4221"/>
    <w:rsid w:val="006E26AF"/>
    <w:rsid w:val="006F7393"/>
    <w:rsid w:val="0070224F"/>
    <w:rsid w:val="00705069"/>
    <w:rsid w:val="007075AA"/>
    <w:rsid w:val="007115F7"/>
    <w:rsid w:val="0072044A"/>
    <w:rsid w:val="00735F3D"/>
    <w:rsid w:val="00741470"/>
    <w:rsid w:val="00744F1B"/>
    <w:rsid w:val="00746CAC"/>
    <w:rsid w:val="00752277"/>
    <w:rsid w:val="00764EF3"/>
    <w:rsid w:val="00771EDD"/>
    <w:rsid w:val="00777187"/>
    <w:rsid w:val="007814AD"/>
    <w:rsid w:val="00781717"/>
    <w:rsid w:val="00782321"/>
    <w:rsid w:val="00783765"/>
    <w:rsid w:val="0078477C"/>
    <w:rsid w:val="00785689"/>
    <w:rsid w:val="0078604F"/>
    <w:rsid w:val="0079736B"/>
    <w:rsid w:val="0079754B"/>
    <w:rsid w:val="007A1E6D"/>
    <w:rsid w:val="007A36E9"/>
    <w:rsid w:val="007A3F20"/>
    <w:rsid w:val="007A71A8"/>
    <w:rsid w:val="007B1826"/>
    <w:rsid w:val="007B3C3B"/>
    <w:rsid w:val="007C1F54"/>
    <w:rsid w:val="007C3EC6"/>
    <w:rsid w:val="007C5968"/>
    <w:rsid w:val="007C66BB"/>
    <w:rsid w:val="007C76A5"/>
    <w:rsid w:val="007D314D"/>
    <w:rsid w:val="007D37FF"/>
    <w:rsid w:val="007D65D6"/>
    <w:rsid w:val="007E7F62"/>
    <w:rsid w:val="007F1BFC"/>
    <w:rsid w:val="007F5910"/>
    <w:rsid w:val="00801880"/>
    <w:rsid w:val="008042DA"/>
    <w:rsid w:val="00810209"/>
    <w:rsid w:val="0081213F"/>
    <w:rsid w:val="008158E0"/>
    <w:rsid w:val="00822CE0"/>
    <w:rsid w:val="008256C3"/>
    <w:rsid w:val="008329BE"/>
    <w:rsid w:val="00835251"/>
    <w:rsid w:val="008365B3"/>
    <w:rsid w:val="00837C62"/>
    <w:rsid w:val="008408B4"/>
    <w:rsid w:val="00841AB1"/>
    <w:rsid w:val="00851A5F"/>
    <w:rsid w:val="0085531F"/>
    <w:rsid w:val="0087771A"/>
    <w:rsid w:val="00893B45"/>
    <w:rsid w:val="00896487"/>
    <w:rsid w:val="008A16D6"/>
    <w:rsid w:val="008A2E6B"/>
    <w:rsid w:val="008A5853"/>
    <w:rsid w:val="008B0474"/>
    <w:rsid w:val="008B52E1"/>
    <w:rsid w:val="008B7026"/>
    <w:rsid w:val="008C22FD"/>
    <w:rsid w:val="008C3055"/>
    <w:rsid w:val="008C50C1"/>
    <w:rsid w:val="008D0D5A"/>
    <w:rsid w:val="008D2E0E"/>
    <w:rsid w:val="008D6745"/>
    <w:rsid w:val="008D78A3"/>
    <w:rsid w:val="008E1F82"/>
    <w:rsid w:val="008E357C"/>
    <w:rsid w:val="008E519B"/>
    <w:rsid w:val="008E5EA4"/>
    <w:rsid w:val="008F623D"/>
    <w:rsid w:val="008F7D10"/>
    <w:rsid w:val="009002BF"/>
    <w:rsid w:val="00910F12"/>
    <w:rsid w:val="00924E3E"/>
    <w:rsid w:val="00926503"/>
    <w:rsid w:val="00930ECF"/>
    <w:rsid w:val="00936C98"/>
    <w:rsid w:val="00950419"/>
    <w:rsid w:val="00950AFF"/>
    <w:rsid w:val="009614A0"/>
    <w:rsid w:val="009652B8"/>
    <w:rsid w:val="009701DB"/>
    <w:rsid w:val="00981956"/>
    <w:rsid w:val="009838BC"/>
    <w:rsid w:val="00985B6B"/>
    <w:rsid w:val="009A41D1"/>
    <w:rsid w:val="009A7026"/>
    <w:rsid w:val="009A78BA"/>
    <w:rsid w:val="009B0E97"/>
    <w:rsid w:val="009B351E"/>
    <w:rsid w:val="009B70A9"/>
    <w:rsid w:val="009C0B81"/>
    <w:rsid w:val="009C27FC"/>
    <w:rsid w:val="009D20B2"/>
    <w:rsid w:val="009F2906"/>
    <w:rsid w:val="009F36E4"/>
    <w:rsid w:val="009F38BD"/>
    <w:rsid w:val="00A00D0A"/>
    <w:rsid w:val="00A15001"/>
    <w:rsid w:val="00A170C1"/>
    <w:rsid w:val="00A25D0E"/>
    <w:rsid w:val="00A27D88"/>
    <w:rsid w:val="00A35644"/>
    <w:rsid w:val="00A4572E"/>
    <w:rsid w:val="00A45F4F"/>
    <w:rsid w:val="00A600A9"/>
    <w:rsid w:val="00A646A3"/>
    <w:rsid w:val="00A707E9"/>
    <w:rsid w:val="00A866AC"/>
    <w:rsid w:val="00A9376F"/>
    <w:rsid w:val="00A93A51"/>
    <w:rsid w:val="00A94B13"/>
    <w:rsid w:val="00AA1A85"/>
    <w:rsid w:val="00AA46D9"/>
    <w:rsid w:val="00AA55B7"/>
    <w:rsid w:val="00AA5B9E"/>
    <w:rsid w:val="00AB2407"/>
    <w:rsid w:val="00AB53DF"/>
    <w:rsid w:val="00AB65FC"/>
    <w:rsid w:val="00AB6B4E"/>
    <w:rsid w:val="00AD1543"/>
    <w:rsid w:val="00AD1797"/>
    <w:rsid w:val="00AE02A2"/>
    <w:rsid w:val="00AE2B25"/>
    <w:rsid w:val="00AF2674"/>
    <w:rsid w:val="00B0491E"/>
    <w:rsid w:val="00B05B61"/>
    <w:rsid w:val="00B07117"/>
    <w:rsid w:val="00B07E5C"/>
    <w:rsid w:val="00B10CE4"/>
    <w:rsid w:val="00B22305"/>
    <w:rsid w:val="00B2390C"/>
    <w:rsid w:val="00B24340"/>
    <w:rsid w:val="00B27468"/>
    <w:rsid w:val="00B326E3"/>
    <w:rsid w:val="00B43601"/>
    <w:rsid w:val="00B43785"/>
    <w:rsid w:val="00B54557"/>
    <w:rsid w:val="00B573DA"/>
    <w:rsid w:val="00B605B8"/>
    <w:rsid w:val="00B61144"/>
    <w:rsid w:val="00B64E5C"/>
    <w:rsid w:val="00B811F7"/>
    <w:rsid w:val="00B81CB3"/>
    <w:rsid w:val="00B83363"/>
    <w:rsid w:val="00B84670"/>
    <w:rsid w:val="00B87AE6"/>
    <w:rsid w:val="00B90174"/>
    <w:rsid w:val="00B9242A"/>
    <w:rsid w:val="00B9248F"/>
    <w:rsid w:val="00B96CD3"/>
    <w:rsid w:val="00BA0F33"/>
    <w:rsid w:val="00BA1752"/>
    <w:rsid w:val="00BA31FF"/>
    <w:rsid w:val="00BA3679"/>
    <w:rsid w:val="00BA5DC6"/>
    <w:rsid w:val="00BA6196"/>
    <w:rsid w:val="00BA72A7"/>
    <w:rsid w:val="00BB7EEB"/>
    <w:rsid w:val="00BC34B5"/>
    <w:rsid w:val="00BC6D8C"/>
    <w:rsid w:val="00BD574D"/>
    <w:rsid w:val="00BD7395"/>
    <w:rsid w:val="00BE4AFF"/>
    <w:rsid w:val="00BE6E93"/>
    <w:rsid w:val="00BF0076"/>
    <w:rsid w:val="00BF01AC"/>
    <w:rsid w:val="00C03C6D"/>
    <w:rsid w:val="00C0659D"/>
    <w:rsid w:val="00C06C98"/>
    <w:rsid w:val="00C07573"/>
    <w:rsid w:val="00C13733"/>
    <w:rsid w:val="00C16609"/>
    <w:rsid w:val="00C16AF2"/>
    <w:rsid w:val="00C21FEA"/>
    <w:rsid w:val="00C26A34"/>
    <w:rsid w:val="00C3327D"/>
    <w:rsid w:val="00C34006"/>
    <w:rsid w:val="00C35739"/>
    <w:rsid w:val="00C37AB4"/>
    <w:rsid w:val="00C37D60"/>
    <w:rsid w:val="00C41D36"/>
    <w:rsid w:val="00C426B1"/>
    <w:rsid w:val="00C43265"/>
    <w:rsid w:val="00C509B9"/>
    <w:rsid w:val="00C61A26"/>
    <w:rsid w:val="00C71059"/>
    <w:rsid w:val="00C765E7"/>
    <w:rsid w:val="00C81A7F"/>
    <w:rsid w:val="00C82B6B"/>
    <w:rsid w:val="00C839FD"/>
    <w:rsid w:val="00C90D6A"/>
    <w:rsid w:val="00C947CF"/>
    <w:rsid w:val="00CA01DE"/>
    <w:rsid w:val="00CA46AD"/>
    <w:rsid w:val="00CB3265"/>
    <w:rsid w:val="00CC6B60"/>
    <w:rsid w:val="00CC72B6"/>
    <w:rsid w:val="00CD183D"/>
    <w:rsid w:val="00CE247C"/>
    <w:rsid w:val="00CE6EFF"/>
    <w:rsid w:val="00CF4436"/>
    <w:rsid w:val="00CF4A7F"/>
    <w:rsid w:val="00D0218D"/>
    <w:rsid w:val="00D11E03"/>
    <w:rsid w:val="00D167CB"/>
    <w:rsid w:val="00D170AD"/>
    <w:rsid w:val="00D216CD"/>
    <w:rsid w:val="00D24050"/>
    <w:rsid w:val="00D26E77"/>
    <w:rsid w:val="00D35956"/>
    <w:rsid w:val="00D454EB"/>
    <w:rsid w:val="00D463D5"/>
    <w:rsid w:val="00D53B34"/>
    <w:rsid w:val="00D56F01"/>
    <w:rsid w:val="00D61B73"/>
    <w:rsid w:val="00D628F3"/>
    <w:rsid w:val="00D62C8E"/>
    <w:rsid w:val="00D7337E"/>
    <w:rsid w:val="00D77B0C"/>
    <w:rsid w:val="00D8201F"/>
    <w:rsid w:val="00D83473"/>
    <w:rsid w:val="00D87035"/>
    <w:rsid w:val="00D900EF"/>
    <w:rsid w:val="00D92060"/>
    <w:rsid w:val="00D95446"/>
    <w:rsid w:val="00DA2529"/>
    <w:rsid w:val="00DB130A"/>
    <w:rsid w:val="00DB163A"/>
    <w:rsid w:val="00DB4C07"/>
    <w:rsid w:val="00DB7885"/>
    <w:rsid w:val="00DC10A1"/>
    <w:rsid w:val="00DC655F"/>
    <w:rsid w:val="00DC7AD9"/>
    <w:rsid w:val="00DD3557"/>
    <w:rsid w:val="00DD3DDF"/>
    <w:rsid w:val="00DD6BAB"/>
    <w:rsid w:val="00DD6F5D"/>
    <w:rsid w:val="00DD7EBD"/>
    <w:rsid w:val="00DE0470"/>
    <w:rsid w:val="00DE1CAE"/>
    <w:rsid w:val="00DF62B6"/>
    <w:rsid w:val="00E003AA"/>
    <w:rsid w:val="00E01D8B"/>
    <w:rsid w:val="00E02B15"/>
    <w:rsid w:val="00E05703"/>
    <w:rsid w:val="00E07225"/>
    <w:rsid w:val="00E14EE1"/>
    <w:rsid w:val="00E155B7"/>
    <w:rsid w:val="00E25C82"/>
    <w:rsid w:val="00E34B7A"/>
    <w:rsid w:val="00E3555B"/>
    <w:rsid w:val="00E451F7"/>
    <w:rsid w:val="00E5409F"/>
    <w:rsid w:val="00E61485"/>
    <w:rsid w:val="00E624F7"/>
    <w:rsid w:val="00E66C88"/>
    <w:rsid w:val="00E74D0C"/>
    <w:rsid w:val="00E77980"/>
    <w:rsid w:val="00E80943"/>
    <w:rsid w:val="00E854AE"/>
    <w:rsid w:val="00E90049"/>
    <w:rsid w:val="00E93BA7"/>
    <w:rsid w:val="00E94F69"/>
    <w:rsid w:val="00EA0F2C"/>
    <w:rsid w:val="00EA63FA"/>
    <w:rsid w:val="00EB0E39"/>
    <w:rsid w:val="00EC0185"/>
    <w:rsid w:val="00EC11CA"/>
    <w:rsid w:val="00EC6358"/>
    <w:rsid w:val="00EC6959"/>
    <w:rsid w:val="00ED42A7"/>
    <w:rsid w:val="00ED5762"/>
    <w:rsid w:val="00EE1D2F"/>
    <w:rsid w:val="00EE46B5"/>
    <w:rsid w:val="00EF1DD9"/>
    <w:rsid w:val="00EF4386"/>
    <w:rsid w:val="00EF5AFB"/>
    <w:rsid w:val="00F0186D"/>
    <w:rsid w:val="00F021C6"/>
    <w:rsid w:val="00F021FA"/>
    <w:rsid w:val="00F06503"/>
    <w:rsid w:val="00F10F9D"/>
    <w:rsid w:val="00F1763B"/>
    <w:rsid w:val="00F27C26"/>
    <w:rsid w:val="00F27C90"/>
    <w:rsid w:val="00F31722"/>
    <w:rsid w:val="00F34DED"/>
    <w:rsid w:val="00F3592C"/>
    <w:rsid w:val="00F425A9"/>
    <w:rsid w:val="00F44168"/>
    <w:rsid w:val="00F441E9"/>
    <w:rsid w:val="00F523AD"/>
    <w:rsid w:val="00F55221"/>
    <w:rsid w:val="00F57ACA"/>
    <w:rsid w:val="00F61C21"/>
    <w:rsid w:val="00F62E97"/>
    <w:rsid w:val="00F64209"/>
    <w:rsid w:val="00F7699A"/>
    <w:rsid w:val="00F84C23"/>
    <w:rsid w:val="00F935DF"/>
    <w:rsid w:val="00F93BF5"/>
    <w:rsid w:val="00F96F63"/>
    <w:rsid w:val="00F97404"/>
    <w:rsid w:val="00FA493F"/>
    <w:rsid w:val="00FA6F9A"/>
    <w:rsid w:val="00FB5968"/>
    <w:rsid w:val="00FC320D"/>
    <w:rsid w:val="00FC4332"/>
    <w:rsid w:val="00FC44BA"/>
    <w:rsid w:val="00FD1887"/>
    <w:rsid w:val="00FD5BCC"/>
    <w:rsid w:val="00FE70C5"/>
    <w:rsid w:val="00FF3245"/>
    <w:rsid w:val="00FF3BBC"/>
    <w:rsid w:val="00FF6005"/>
    <w:rsid w:val="00FF64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37E42E-7596-4C7B-8A90-6A3C657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6F"/>
    <w:pPr>
      <w:widowControl w:val="0"/>
    </w:pPr>
    <w:rPr>
      <w:snapToGrid w:val="0"/>
      <w:kern w:val="28"/>
      <w:sz w:val="22"/>
    </w:rPr>
  </w:style>
  <w:style w:type="paragraph" w:styleId="Heading1">
    <w:name w:val="heading 1"/>
    <w:basedOn w:val="Normal"/>
    <w:next w:val="ParaNum"/>
    <w:qFormat/>
    <w:rsid w:val="00A9376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376F"/>
    <w:pPr>
      <w:keepNext/>
      <w:numPr>
        <w:ilvl w:val="1"/>
        <w:numId w:val="3"/>
      </w:numPr>
      <w:spacing w:after="120"/>
      <w:outlineLvl w:val="1"/>
    </w:pPr>
    <w:rPr>
      <w:b/>
    </w:rPr>
  </w:style>
  <w:style w:type="paragraph" w:styleId="Heading3">
    <w:name w:val="heading 3"/>
    <w:basedOn w:val="Normal"/>
    <w:next w:val="ParaNum"/>
    <w:qFormat/>
    <w:rsid w:val="00A9376F"/>
    <w:pPr>
      <w:keepNext/>
      <w:numPr>
        <w:ilvl w:val="2"/>
        <w:numId w:val="3"/>
      </w:numPr>
      <w:tabs>
        <w:tab w:val="left" w:pos="2160"/>
      </w:tabs>
      <w:spacing w:after="120"/>
      <w:outlineLvl w:val="2"/>
    </w:pPr>
    <w:rPr>
      <w:b/>
    </w:rPr>
  </w:style>
  <w:style w:type="paragraph" w:styleId="Heading4">
    <w:name w:val="heading 4"/>
    <w:basedOn w:val="Normal"/>
    <w:next w:val="ParaNum"/>
    <w:qFormat/>
    <w:rsid w:val="00A9376F"/>
    <w:pPr>
      <w:keepNext/>
      <w:numPr>
        <w:ilvl w:val="3"/>
        <w:numId w:val="3"/>
      </w:numPr>
      <w:tabs>
        <w:tab w:val="left" w:pos="2880"/>
      </w:tabs>
      <w:spacing w:after="120"/>
      <w:outlineLvl w:val="3"/>
    </w:pPr>
    <w:rPr>
      <w:b/>
    </w:rPr>
  </w:style>
  <w:style w:type="paragraph" w:styleId="Heading5">
    <w:name w:val="heading 5"/>
    <w:basedOn w:val="Normal"/>
    <w:next w:val="ParaNum"/>
    <w:qFormat/>
    <w:rsid w:val="00A9376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376F"/>
    <w:pPr>
      <w:numPr>
        <w:ilvl w:val="5"/>
        <w:numId w:val="3"/>
      </w:numPr>
      <w:tabs>
        <w:tab w:val="left" w:pos="4320"/>
      </w:tabs>
      <w:spacing w:after="120"/>
      <w:outlineLvl w:val="5"/>
    </w:pPr>
    <w:rPr>
      <w:b/>
    </w:rPr>
  </w:style>
  <w:style w:type="paragraph" w:styleId="Heading7">
    <w:name w:val="heading 7"/>
    <w:basedOn w:val="Normal"/>
    <w:next w:val="ParaNum"/>
    <w:qFormat/>
    <w:rsid w:val="00A9376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376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376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937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9376F"/>
  </w:style>
  <w:style w:type="paragraph" w:customStyle="1" w:styleId="ParaNum">
    <w:name w:val="ParaNum"/>
    <w:basedOn w:val="Normal"/>
    <w:rsid w:val="00A9376F"/>
    <w:pPr>
      <w:numPr>
        <w:numId w:val="2"/>
      </w:numPr>
      <w:tabs>
        <w:tab w:val="clear" w:pos="1080"/>
        <w:tab w:val="num" w:pos="1440"/>
      </w:tabs>
      <w:spacing w:after="120"/>
    </w:pPr>
  </w:style>
  <w:style w:type="paragraph" w:styleId="EndnoteText">
    <w:name w:val="endnote text"/>
    <w:basedOn w:val="Normal"/>
    <w:semiHidden/>
    <w:rsid w:val="00A9376F"/>
    <w:rPr>
      <w:sz w:val="20"/>
    </w:rPr>
  </w:style>
  <w:style w:type="character" w:styleId="EndnoteReference">
    <w:name w:val="endnote reference"/>
    <w:semiHidden/>
    <w:rsid w:val="00A9376F"/>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A9376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9376F"/>
    <w:rPr>
      <w:rFonts w:ascii="Times New Roman" w:hAnsi="Times New Roman"/>
      <w:dstrike w:val="0"/>
      <w:color w:val="auto"/>
      <w:sz w:val="22"/>
      <w:vertAlign w:val="superscript"/>
    </w:rPr>
  </w:style>
  <w:style w:type="paragraph" w:styleId="TOC1">
    <w:name w:val="toc 1"/>
    <w:basedOn w:val="Normal"/>
    <w:next w:val="Normal"/>
    <w:uiPriority w:val="39"/>
    <w:rsid w:val="00A9376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376F"/>
    <w:pPr>
      <w:tabs>
        <w:tab w:val="left" w:pos="720"/>
        <w:tab w:val="right" w:leader="dot" w:pos="9360"/>
      </w:tabs>
      <w:suppressAutoHyphens/>
      <w:ind w:left="720" w:right="720" w:hanging="360"/>
    </w:pPr>
    <w:rPr>
      <w:noProof/>
    </w:rPr>
  </w:style>
  <w:style w:type="paragraph" w:styleId="TOC3">
    <w:name w:val="toc 3"/>
    <w:basedOn w:val="Normal"/>
    <w:next w:val="Normal"/>
    <w:semiHidden/>
    <w:rsid w:val="00A9376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376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376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376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376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376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376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376F"/>
    <w:pPr>
      <w:tabs>
        <w:tab w:val="right" w:pos="9360"/>
      </w:tabs>
      <w:suppressAutoHyphens/>
    </w:pPr>
  </w:style>
  <w:style w:type="character" w:customStyle="1" w:styleId="EquationCaption">
    <w:name w:val="_Equation Caption"/>
    <w:rsid w:val="00A9376F"/>
  </w:style>
  <w:style w:type="paragraph" w:styleId="Header">
    <w:name w:val="header"/>
    <w:basedOn w:val="Normal"/>
    <w:autoRedefine/>
    <w:rsid w:val="00A9376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9376F"/>
    <w:pPr>
      <w:tabs>
        <w:tab w:val="center" w:pos="4320"/>
        <w:tab w:val="right" w:pos="8640"/>
      </w:tabs>
    </w:pPr>
  </w:style>
  <w:style w:type="character" w:styleId="PageNumber">
    <w:name w:val="page number"/>
    <w:basedOn w:val="DefaultParagraphFont"/>
    <w:rsid w:val="00A9376F"/>
  </w:style>
  <w:style w:type="paragraph" w:styleId="BlockText">
    <w:name w:val="Block Text"/>
    <w:basedOn w:val="Normal"/>
    <w:rsid w:val="00A9376F"/>
    <w:pPr>
      <w:spacing w:after="240"/>
      <w:ind w:left="1440" w:right="1440"/>
    </w:pPr>
  </w:style>
  <w:style w:type="paragraph" w:customStyle="1" w:styleId="Paratitle">
    <w:name w:val="Para title"/>
    <w:basedOn w:val="Normal"/>
    <w:rsid w:val="00A9376F"/>
    <w:pPr>
      <w:tabs>
        <w:tab w:val="center" w:pos="9270"/>
      </w:tabs>
      <w:spacing w:after="240"/>
    </w:pPr>
    <w:rPr>
      <w:spacing w:val="-2"/>
    </w:rPr>
  </w:style>
  <w:style w:type="paragraph" w:customStyle="1" w:styleId="Bullet">
    <w:name w:val="Bullet"/>
    <w:basedOn w:val="Normal"/>
    <w:rsid w:val="00A9376F"/>
    <w:pPr>
      <w:numPr>
        <w:numId w:val="1"/>
      </w:numPr>
      <w:tabs>
        <w:tab w:val="clear" w:pos="360"/>
        <w:tab w:val="left" w:pos="2160"/>
      </w:tabs>
      <w:spacing w:after="220"/>
      <w:ind w:left="2160" w:hanging="720"/>
    </w:pPr>
  </w:style>
  <w:style w:type="paragraph" w:customStyle="1" w:styleId="TableFormat">
    <w:name w:val="TableFormat"/>
    <w:basedOn w:val="Bullet"/>
    <w:rsid w:val="00A9376F"/>
    <w:pPr>
      <w:numPr>
        <w:numId w:val="0"/>
      </w:numPr>
      <w:tabs>
        <w:tab w:val="clear" w:pos="2160"/>
        <w:tab w:val="left" w:pos="5040"/>
      </w:tabs>
      <w:ind w:left="5040" w:hanging="3600"/>
    </w:pPr>
  </w:style>
  <w:style w:type="paragraph" w:customStyle="1" w:styleId="TOCTitle">
    <w:name w:val="TOC Title"/>
    <w:basedOn w:val="Normal"/>
    <w:rsid w:val="00A9376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376F"/>
    <w:pPr>
      <w:jc w:val="center"/>
    </w:pPr>
    <w:rPr>
      <w:rFonts w:ascii="Times New Roman Bold" w:hAnsi="Times New Roman Bold"/>
      <w:b/>
      <w:bCs/>
      <w:caps/>
      <w:szCs w:val="22"/>
    </w:rPr>
  </w:style>
  <w:style w:type="character" w:styleId="Hyperlink">
    <w:name w:val="Hyperlink"/>
    <w:rsid w:val="00A9376F"/>
    <w:rPr>
      <w:color w:val="0000FF"/>
      <w:u w:val="single"/>
    </w:rPr>
  </w:style>
  <w:style w:type="character" w:customStyle="1" w:styleId="FooterChar">
    <w:name w:val="Footer Char"/>
    <w:link w:val="Footer"/>
    <w:uiPriority w:val="99"/>
    <w:rsid w:val="00A9376F"/>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character" w:customStyle="1" w:styleId="UnresolvedMention">
    <w:name w:val="Unresolved Mention"/>
    <w:uiPriority w:val="99"/>
    <w:semiHidden/>
    <w:unhideWhenUsed/>
    <w:rsid w:val="00BF01AC"/>
    <w:rPr>
      <w:color w:val="605E5C"/>
      <w:shd w:val="clear" w:color="auto" w:fill="E1DFDD"/>
    </w:rPr>
  </w:style>
  <w:style w:type="paragraph" w:styleId="Revision">
    <w:name w:val="Revision"/>
    <w:hidden/>
    <w:uiPriority w:val="99"/>
    <w:semiHidden/>
    <w:rsid w:val="003A018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funds/caf-phase-ii-auction.aspx" TargetMode="External" /><Relationship Id="rId6" Type="http://schemas.openxmlformats.org/officeDocument/2006/relationships/hyperlink" Target="http://www.fcc.gov/ocbo/" TargetMode="External" /><Relationship Id="rId7" Type="http://schemas.openxmlformats.org/officeDocument/2006/relationships/hyperlink" Target="mailto:fcc504@fcc.gov" TargetMode="External" /><Relationship Id="rId8" Type="http://schemas.openxmlformats.org/officeDocument/2006/relationships/hyperlink" Target="http://www.fcc.gov" TargetMode="External" /><Relationship Id="rId9" Type="http://schemas.openxmlformats.org/officeDocument/2006/relationships/hyperlink" Target="https://www.fcc.gov/auction/90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